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0277593" w:displacedByCustomXml="next"/>
    <w:bookmarkStart w:id="1" w:name="_Toc519096396"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4B3352" w:rsidRDefault="0078651E" w:rsidP="0078651E">
          <w:pPr>
            <w:spacing w:line="276" w:lineRule="auto"/>
            <w:jc w:val="center"/>
            <w:rPr>
              <w:rFonts w:ascii="Arial" w:hAnsi="Arial" w:cs="Arial"/>
              <w:b/>
            </w:rPr>
          </w:pPr>
          <w:r>
            <w:rPr>
              <w:rFonts w:ascii="Arial" w:hAnsi="Arial" w:cs="Arial"/>
              <w:lang w:val="es-ES"/>
            </w:rPr>
            <w:t xml:space="preserve">                                              </w:t>
          </w:r>
          <w:r w:rsidRPr="0078651E">
            <w:rPr>
              <w:rFonts w:ascii="Arial" w:hAnsi="Arial" w:cs="Arial"/>
              <w:b/>
            </w:rPr>
            <w:t>Í N   D   I   C   E</w:t>
          </w:r>
          <w:r>
            <w:rPr>
              <w:rFonts w:ascii="Arial" w:hAnsi="Arial" w:cs="Arial"/>
              <w:b/>
            </w:rPr>
            <w:t xml:space="preserve">                                              </w:t>
          </w:r>
          <w:r w:rsidRPr="004B3352">
            <w:rPr>
              <w:rFonts w:ascii="Arial" w:hAnsi="Arial" w:cs="Arial"/>
              <w:b/>
            </w:rPr>
            <w:t>PÁGINA</w:t>
          </w:r>
        </w:p>
        <w:p w14:paraId="410E017D" w14:textId="77777777" w:rsidR="0078651E" w:rsidRPr="002E28B2" w:rsidRDefault="0078651E" w:rsidP="0078651E">
          <w:pPr>
            <w:pStyle w:val="TtuloTDC"/>
            <w:spacing w:before="0" w:line="276" w:lineRule="auto"/>
            <w:jc w:val="both"/>
            <w:rPr>
              <w:rFonts w:ascii="Arial" w:hAnsi="Arial" w:cs="Arial"/>
              <w:sz w:val="24"/>
              <w:szCs w:val="24"/>
            </w:rPr>
          </w:pPr>
        </w:p>
        <w:p w14:paraId="515BF086" w14:textId="42BA2172" w:rsidR="0078651E" w:rsidRPr="002E28B2" w:rsidRDefault="0078651E" w:rsidP="004E4C6A">
          <w:pPr>
            <w:pStyle w:val="TDC1"/>
            <w:rPr>
              <w:rStyle w:val="Hipervnculo"/>
              <w:rFonts w:cs="Arial"/>
              <w:noProof/>
            </w:rPr>
          </w:pPr>
          <w:r w:rsidRPr="002E28B2">
            <w:fldChar w:fldCharType="begin"/>
          </w:r>
          <w:r w:rsidRPr="002E28B2">
            <w:instrText xml:space="preserve"> TOC \o "1-3" \h \z \u </w:instrText>
          </w:r>
          <w:r w:rsidRPr="002E28B2">
            <w:fldChar w:fldCharType="separate"/>
          </w:r>
          <w:hyperlink w:anchor="_Toc51083008" w:history="1">
            <w:r w:rsidRPr="002E28B2">
              <w:rPr>
                <w:rStyle w:val="Hipervnculo"/>
                <w:rFonts w:cs="Arial"/>
                <w:noProof/>
              </w:rPr>
              <w:t>INTRODUCCIÓN</w:t>
            </w:r>
            <w:r w:rsidR="00146399">
              <w:rPr>
                <w:rStyle w:val="Hipervnculo"/>
                <w:rFonts w:cs="Arial"/>
                <w:noProof/>
              </w:rPr>
              <w:t>………………………………………………………………………...</w:t>
            </w:r>
            <w:r w:rsidRPr="002E28B2">
              <w:rPr>
                <w:rStyle w:val="Hipervnculo"/>
                <w:rFonts w:cs="Arial"/>
                <w:noProof/>
                <w:webHidden/>
              </w:rPr>
              <w:tab/>
            </w:r>
            <w:r w:rsidRPr="002E28B2">
              <w:rPr>
                <w:rStyle w:val="Hipervnculo"/>
                <w:rFonts w:cs="Arial"/>
                <w:noProof/>
                <w:webHidden/>
              </w:rPr>
              <w:fldChar w:fldCharType="begin"/>
            </w:r>
            <w:r w:rsidRPr="002E28B2">
              <w:rPr>
                <w:rStyle w:val="Hipervnculo"/>
                <w:rFonts w:cs="Arial"/>
                <w:noProof/>
                <w:webHidden/>
              </w:rPr>
              <w:instrText xml:space="preserve"> PAGEREF _Toc51083008 \h </w:instrText>
            </w:r>
            <w:r w:rsidRPr="002E28B2">
              <w:rPr>
                <w:rStyle w:val="Hipervnculo"/>
                <w:rFonts w:cs="Arial"/>
                <w:noProof/>
                <w:webHidden/>
              </w:rPr>
            </w:r>
            <w:r w:rsidRPr="002E28B2">
              <w:rPr>
                <w:rStyle w:val="Hipervnculo"/>
                <w:rFonts w:cs="Arial"/>
                <w:noProof/>
                <w:webHidden/>
              </w:rPr>
              <w:fldChar w:fldCharType="separate"/>
            </w:r>
            <w:r w:rsidR="00A02B3F">
              <w:rPr>
                <w:rStyle w:val="Hipervnculo"/>
                <w:rFonts w:cs="Arial"/>
                <w:noProof/>
                <w:webHidden/>
              </w:rPr>
              <w:t>2</w:t>
            </w:r>
            <w:r w:rsidRPr="002E28B2">
              <w:rPr>
                <w:rStyle w:val="Hipervnculo"/>
                <w:rFonts w:cs="Arial"/>
                <w:noProof/>
                <w:webHidden/>
              </w:rPr>
              <w:fldChar w:fldCharType="end"/>
            </w:r>
          </w:hyperlink>
        </w:p>
        <w:p w14:paraId="4F2735E5" w14:textId="0FDEC1F3" w:rsidR="0078651E" w:rsidRPr="002E28B2" w:rsidRDefault="00A02B3F" w:rsidP="004E4C6A">
          <w:pPr>
            <w:pStyle w:val="TDC1"/>
            <w:rPr>
              <w:rStyle w:val="Hipervnculo"/>
              <w:rFonts w:cs="Arial"/>
              <w:noProof/>
            </w:rPr>
          </w:pPr>
          <w:hyperlink w:anchor="_Toc51083009" w:history="1">
            <w:r w:rsidR="0078651E" w:rsidRPr="002E28B2">
              <w:rPr>
                <w:rStyle w:val="Hipervnculo"/>
                <w:rFonts w:cs="Arial"/>
                <w:noProof/>
              </w:rPr>
              <w:t>I.</w:t>
            </w:r>
            <w:r w:rsidR="0078651E" w:rsidRPr="002E28B2">
              <w:rPr>
                <w:rStyle w:val="Hipervnculo"/>
                <w:rFonts w:cs="Arial"/>
                <w:noProof/>
              </w:rPr>
              <w:tab/>
              <w:t>ANTECEDENTES DE LA ENTIDAD FISCALIZADA</w:t>
            </w:r>
            <w:r w:rsidR="0014639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_Toc51083009 \h </w:instrText>
            </w:r>
            <w:r w:rsidR="0078651E" w:rsidRPr="002E28B2">
              <w:rPr>
                <w:rStyle w:val="Hipervnculo"/>
                <w:rFonts w:cs="Arial"/>
                <w:noProof/>
                <w:webHidden/>
              </w:rPr>
            </w:r>
            <w:r w:rsidR="0078651E" w:rsidRPr="002E28B2">
              <w:rPr>
                <w:rStyle w:val="Hipervnculo"/>
                <w:rFonts w:cs="Arial"/>
                <w:noProof/>
                <w:webHidden/>
              </w:rPr>
              <w:fldChar w:fldCharType="separate"/>
            </w:r>
            <w:r>
              <w:rPr>
                <w:rStyle w:val="Hipervnculo"/>
                <w:rFonts w:cs="Arial"/>
                <w:noProof/>
                <w:webHidden/>
              </w:rPr>
              <w:t>4</w:t>
            </w:r>
            <w:r w:rsidR="0078651E" w:rsidRPr="002E28B2">
              <w:rPr>
                <w:rStyle w:val="Hipervnculo"/>
                <w:rFonts w:cs="Arial"/>
                <w:noProof/>
                <w:webHidden/>
              </w:rPr>
              <w:fldChar w:fldCharType="end"/>
            </w:r>
          </w:hyperlink>
        </w:p>
        <w:p w14:paraId="2E4B7DA4" w14:textId="6FC33F2C" w:rsidR="0078651E" w:rsidRPr="002E28B2" w:rsidRDefault="00A02B3F" w:rsidP="004E4C6A">
          <w:pPr>
            <w:pStyle w:val="TDC1"/>
            <w:rPr>
              <w:rStyle w:val="Hipervnculo"/>
              <w:rFonts w:cs="Arial"/>
              <w:noProof/>
            </w:rPr>
          </w:pPr>
          <w:hyperlink w:anchor="_Toc51083010" w:history="1">
            <w:r w:rsidR="0078651E" w:rsidRPr="002E28B2">
              <w:rPr>
                <w:rStyle w:val="Hipervnculo"/>
                <w:rFonts w:cs="Arial"/>
                <w:noProof/>
              </w:rPr>
              <w:t>II.</w:t>
            </w:r>
            <w:r w:rsidR="0078651E" w:rsidRPr="002E28B2">
              <w:rPr>
                <w:rStyle w:val="Hipervnculo"/>
                <w:rFonts w:cs="Arial"/>
                <w:noProof/>
              </w:rPr>
              <w:tab/>
              <w:t>ASPECTOS GENERALES DE AUDITORÍA</w:t>
            </w:r>
            <w:r w:rsidR="00146399">
              <w:rPr>
                <w:rStyle w:val="Hipervnculo"/>
                <w:rFonts w:cs="Arial"/>
                <w:noProof/>
              </w:rPr>
              <w:t>…………………………………….</w:t>
            </w:r>
            <w:r w:rsidR="0078651E" w:rsidRPr="002E28B2">
              <w:rPr>
                <w:rStyle w:val="Hipervnculo"/>
                <w:rFonts w:cs="Arial"/>
                <w:noProof/>
                <w:webHidden/>
              </w:rPr>
              <w:tab/>
            </w:r>
            <w:r w:rsidR="00CE2DF4">
              <w:rPr>
                <w:rStyle w:val="Hipervnculo"/>
                <w:rFonts w:cs="Arial"/>
                <w:noProof/>
                <w:webHidden/>
              </w:rPr>
              <w:t>7</w:t>
            </w:r>
          </w:hyperlink>
        </w:p>
        <w:p w14:paraId="211FC230" w14:textId="305B6828" w:rsidR="0078651E" w:rsidRPr="002E28B2" w:rsidRDefault="00A02B3F" w:rsidP="0078651E">
          <w:pPr>
            <w:pStyle w:val="TDC2"/>
            <w:tabs>
              <w:tab w:val="clear" w:pos="567"/>
              <w:tab w:val="left" w:pos="709"/>
            </w:tabs>
            <w:ind w:left="851" w:hanging="284"/>
            <w:rPr>
              <w:rStyle w:val="Hipervnculo"/>
              <w:noProof/>
            </w:rPr>
          </w:pPr>
          <w:hyperlink w:anchor="_Toc51083011"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Título de la Auditoría</w:t>
            </w:r>
            <w:r w:rsidR="0078651E" w:rsidRPr="002E28B2">
              <w:rPr>
                <w:rStyle w:val="Hipervnculo"/>
                <w:noProof/>
                <w:webHidden/>
              </w:rPr>
              <w:tab/>
            </w:r>
            <w:r w:rsidR="00045008">
              <w:rPr>
                <w:rStyle w:val="Hipervnculo"/>
                <w:noProof/>
                <w:webHidden/>
              </w:rPr>
              <w:t>7</w:t>
            </w:r>
          </w:hyperlink>
        </w:p>
        <w:p w14:paraId="5A697B76" w14:textId="3DB79309" w:rsidR="0078651E" w:rsidRPr="002E28B2" w:rsidRDefault="00A02B3F" w:rsidP="0078651E">
          <w:pPr>
            <w:pStyle w:val="TDC2"/>
            <w:tabs>
              <w:tab w:val="clear" w:pos="567"/>
              <w:tab w:val="left" w:pos="709"/>
            </w:tabs>
            <w:ind w:left="851" w:hanging="284"/>
            <w:rPr>
              <w:rStyle w:val="Hipervnculo"/>
              <w:noProof/>
            </w:rPr>
          </w:pPr>
          <w:hyperlink w:anchor="_Toc51083012"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Objetivo</w:t>
            </w:r>
            <w:r w:rsidR="0078651E" w:rsidRPr="002E28B2">
              <w:rPr>
                <w:rStyle w:val="Hipervnculo"/>
                <w:noProof/>
                <w:webHidden/>
              </w:rPr>
              <w:tab/>
            </w:r>
            <w:r w:rsidR="00045008">
              <w:rPr>
                <w:rStyle w:val="Hipervnculo"/>
                <w:noProof/>
                <w:webHidden/>
              </w:rPr>
              <w:t>7</w:t>
            </w:r>
          </w:hyperlink>
        </w:p>
        <w:p w14:paraId="1BB23769" w14:textId="46908534" w:rsidR="0078651E" w:rsidRPr="002E28B2" w:rsidRDefault="00A02B3F" w:rsidP="0078651E">
          <w:pPr>
            <w:pStyle w:val="TDC2"/>
            <w:tabs>
              <w:tab w:val="clear" w:pos="567"/>
              <w:tab w:val="left" w:pos="709"/>
            </w:tabs>
            <w:ind w:left="851" w:hanging="284"/>
            <w:rPr>
              <w:rStyle w:val="Hipervnculo"/>
              <w:noProof/>
            </w:rPr>
          </w:pPr>
          <w:hyperlink w:anchor="_Toc51083013" w:history="1">
            <w:r w:rsidR="0078651E" w:rsidRPr="002E28B2">
              <w:rPr>
                <w:rStyle w:val="Hipervnculo"/>
                <w:rFonts w:cs="Arial"/>
                <w:noProof/>
              </w:rPr>
              <w:t>C.</w:t>
            </w:r>
            <w:r w:rsidR="0078651E" w:rsidRPr="002E28B2">
              <w:rPr>
                <w:rStyle w:val="Hipervnculo"/>
                <w:noProof/>
              </w:rPr>
              <w:tab/>
            </w:r>
            <w:r w:rsidR="0078651E" w:rsidRPr="002E28B2">
              <w:rPr>
                <w:rStyle w:val="Hipervnculo"/>
                <w:rFonts w:cs="Arial"/>
                <w:noProof/>
              </w:rPr>
              <w:t>Alcance</w:t>
            </w:r>
            <w:r w:rsidR="0078651E" w:rsidRPr="002E28B2">
              <w:rPr>
                <w:rStyle w:val="Hipervnculo"/>
                <w:noProof/>
                <w:webHidden/>
              </w:rPr>
              <w:tab/>
            </w:r>
            <w:r w:rsidR="00254C19">
              <w:rPr>
                <w:rStyle w:val="Hipervnculo"/>
                <w:noProof/>
                <w:webHidden/>
              </w:rPr>
              <w:t>7</w:t>
            </w:r>
          </w:hyperlink>
        </w:p>
        <w:p w14:paraId="1F046CF2" w14:textId="3152F9ED" w:rsidR="0078651E" w:rsidRPr="002E28B2" w:rsidRDefault="00A02B3F" w:rsidP="0078651E">
          <w:pPr>
            <w:pStyle w:val="TDC2"/>
            <w:tabs>
              <w:tab w:val="clear" w:pos="567"/>
              <w:tab w:val="left" w:pos="709"/>
            </w:tabs>
            <w:ind w:left="851" w:hanging="284"/>
            <w:rPr>
              <w:rStyle w:val="Hipervnculo"/>
              <w:noProof/>
            </w:rPr>
          </w:pPr>
          <w:hyperlink w:anchor="_Toc51083014" w:history="1">
            <w:r w:rsidR="0078651E" w:rsidRPr="002E28B2">
              <w:rPr>
                <w:rStyle w:val="Hipervnculo"/>
                <w:rFonts w:cs="Arial"/>
                <w:noProof/>
              </w:rPr>
              <w:t>D.</w:t>
            </w:r>
            <w:r w:rsidR="0078651E" w:rsidRPr="002E28B2">
              <w:rPr>
                <w:rStyle w:val="Hipervnculo"/>
                <w:noProof/>
              </w:rPr>
              <w:tab/>
            </w:r>
            <w:r w:rsidR="0078651E" w:rsidRPr="002E28B2">
              <w:rPr>
                <w:rStyle w:val="Hipervnculo"/>
                <w:rFonts w:cs="Arial"/>
                <w:noProof/>
              </w:rPr>
              <w:t>Criterios de Selección</w:t>
            </w:r>
            <w:r w:rsidR="0078651E" w:rsidRPr="002E28B2">
              <w:rPr>
                <w:rStyle w:val="Hipervnculo"/>
                <w:noProof/>
                <w:webHidden/>
              </w:rPr>
              <w:tab/>
            </w:r>
            <w:r w:rsidR="00644667">
              <w:rPr>
                <w:rStyle w:val="Hipervnculo"/>
                <w:noProof/>
                <w:webHidden/>
              </w:rPr>
              <w:t>8</w:t>
            </w:r>
          </w:hyperlink>
        </w:p>
        <w:p w14:paraId="07D4436E" w14:textId="574AD15D" w:rsidR="0078651E" w:rsidRPr="002E28B2" w:rsidRDefault="00A02B3F" w:rsidP="0078651E">
          <w:pPr>
            <w:pStyle w:val="TDC2"/>
            <w:tabs>
              <w:tab w:val="clear" w:pos="567"/>
              <w:tab w:val="left" w:pos="709"/>
            </w:tabs>
            <w:ind w:left="851" w:hanging="284"/>
            <w:rPr>
              <w:rStyle w:val="Hipervnculo"/>
              <w:noProof/>
            </w:rPr>
          </w:pPr>
          <w:hyperlink w:anchor="_Toc51083015" w:history="1">
            <w:r w:rsidR="0078651E" w:rsidRPr="002E28B2">
              <w:rPr>
                <w:rStyle w:val="Hipervnculo"/>
                <w:rFonts w:cs="Arial"/>
                <w:noProof/>
              </w:rPr>
              <w:t>E.</w:t>
            </w:r>
            <w:r w:rsidR="0078651E" w:rsidRPr="002E28B2">
              <w:rPr>
                <w:rStyle w:val="Hipervnculo"/>
                <w:noProof/>
              </w:rPr>
              <w:tab/>
            </w:r>
            <w:r w:rsidR="0078651E" w:rsidRPr="002E28B2">
              <w:rPr>
                <w:rStyle w:val="Hipervnculo"/>
                <w:rFonts w:cs="Arial"/>
                <w:noProof/>
              </w:rPr>
              <w:t>Áreas Revisadas</w:t>
            </w:r>
            <w:r w:rsidR="0078651E" w:rsidRPr="002E28B2">
              <w:rPr>
                <w:rStyle w:val="Hipervnculo"/>
                <w:noProof/>
                <w:webHidden/>
              </w:rPr>
              <w:tab/>
            </w:r>
            <w:r w:rsidR="00254C19">
              <w:rPr>
                <w:rStyle w:val="Hipervnculo"/>
                <w:noProof/>
                <w:webHidden/>
              </w:rPr>
              <w:t>8</w:t>
            </w:r>
          </w:hyperlink>
        </w:p>
        <w:p w14:paraId="752B7952" w14:textId="6C4EB593" w:rsidR="0078651E" w:rsidRPr="002E28B2" w:rsidRDefault="00A02B3F" w:rsidP="0078651E">
          <w:pPr>
            <w:pStyle w:val="TDC2"/>
            <w:tabs>
              <w:tab w:val="clear" w:pos="567"/>
              <w:tab w:val="left" w:pos="709"/>
            </w:tabs>
            <w:ind w:left="851" w:hanging="284"/>
            <w:rPr>
              <w:rStyle w:val="Hipervnculo"/>
              <w:noProof/>
            </w:rPr>
          </w:pPr>
          <w:hyperlink w:anchor="_Toc51083016" w:history="1">
            <w:r w:rsidR="0078651E" w:rsidRPr="002E28B2">
              <w:rPr>
                <w:rStyle w:val="Hipervnculo"/>
                <w:rFonts w:cs="Arial"/>
                <w:noProof/>
              </w:rPr>
              <w:t>F.</w:t>
            </w:r>
            <w:r w:rsidR="0078651E" w:rsidRPr="002E28B2">
              <w:rPr>
                <w:rStyle w:val="Hipervnculo"/>
                <w:noProof/>
              </w:rPr>
              <w:tab/>
            </w:r>
            <w:r w:rsidR="0078651E" w:rsidRPr="002E28B2">
              <w:rPr>
                <w:rStyle w:val="Hipervnculo"/>
                <w:rFonts w:cs="Arial"/>
                <w:noProof/>
              </w:rPr>
              <w:t>Procedimientos de Auditoría Aplicados</w:t>
            </w:r>
            <w:r w:rsidR="0078651E" w:rsidRPr="002E28B2">
              <w:rPr>
                <w:rStyle w:val="Hipervnculo"/>
                <w:noProof/>
                <w:webHidden/>
              </w:rPr>
              <w:tab/>
            </w:r>
            <w:r w:rsidR="001F32F2">
              <w:rPr>
                <w:rStyle w:val="Hipervnculo"/>
                <w:noProof/>
                <w:webHidden/>
              </w:rPr>
              <w:t>9</w:t>
            </w:r>
          </w:hyperlink>
        </w:p>
        <w:p w14:paraId="1FDA3EFE" w14:textId="2298AB9C" w:rsidR="0078651E" w:rsidRPr="00A724F7" w:rsidRDefault="00A02B3F" w:rsidP="0078651E">
          <w:pPr>
            <w:pStyle w:val="TDC2"/>
            <w:tabs>
              <w:tab w:val="clear" w:pos="567"/>
              <w:tab w:val="left" w:pos="709"/>
            </w:tabs>
            <w:ind w:left="851" w:hanging="284"/>
            <w:rPr>
              <w:rStyle w:val="Hipervnculo"/>
              <w:b w:val="0"/>
              <w:noProof/>
              <w:color w:val="auto"/>
            </w:rPr>
          </w:pPr>
          <w:hyperlink w:anchor="_Toc51083017" w:history="1">
            <w:r w:rsidR="0078651E" w:rsidRPr="002E28B2">
              <w:rPr>
                <w:rStyle w:val="Hipervnculo"/>
                <w:rFonts w:cs="Arial"/>
                <w:noProof/>
              </w:rPr>
              <w:t>G.</w:t>
            </w:r>
            <w:r w:rsidR="0078651E" w:rsidRPr="002E28B2">
              <w:rPr>
                <w:rStyle w:val="Hipervnculo"/>
                <w:noProof/>
              </w:rPr>
              <w:tab/>
            </w:r>
            <w:r w:rsidR="0078651E" w:rsidRPr="002E28B2">
              <w:rPr>
                <w:rStyle w:val="Hipervnculo"/>
                <w:rFonts w:cs="Arial"/>
                <w:noProof/>
              </w:rPr>
              <w:t xml:space="preserve">Servidores Públicos </w:t>
            </w:r>
            <w:r w:rsidR="00146399" w:rsidRPr="00146399">
              <w:rPr>
                <w:rStyle w:val="Hipervnculo"/>
                <w:rFonts w:cs="Arial"/>
                <w:noProof/>
              </w:rPr>
              <w:t>que intervinieron en la Auditoría</w:t>
            </w:r>
            <w:r w:rsidR="0078651E" w:rsidRPr="002E28B2">
              <w:rPr>
                <w:rStyle w:val="Hipervnculo"/>
                <w:noProof/>
                <w:webHidden/>
              </w:rPr>
              <w:tab/>
            </w:r>
          </w:hyperlink>
          <w:r w:rsidR="001F32F2">
            <w:rPr>
              <w:rStyle w:val="Hipervnculo"/>
              <w:bCs/>
              <w:noProof/>
              <w:color w:val="auto"/>
              <w:u w:val="none"/>
            </w:rPr>
            <w:t>10</w:t>
          </w:r>
        </w:p>
        <w:p w14:paraId="12AF6806" w14:textId="55FC4607" w:rsidR="0078651E" w:rsidRPr="002E28B2" w:rsidRDefault="00A02B3F" w:rsidP="004E4C6A">
          <w:pPr>
            <w:pStyle w:val="TDC1"/>
            <w:rPr>
              <w:rStyle w:val="Hipervnculo"/>
              <w:rFonts w:cs="Arial"/>
              <w:noProof/>
            </w:rPr>
          </w:pPr>
          <w:hyperlink w:anchor="_Toc51083018" w:history="1">
            <w:r w:rsidR="0078651E" w:rsidRPr="002E28B2">
              <w:rPr>
                <w:rStyle w:val="Hipervnculo"/>
                <w:rFonts w:cs="Arial"/>
                <w:noProof/>
              </w:rPr>
              <w:t>III.</w:t>
            </w:r>
            <w:r w:rsidR="0078651E" w:rsidRPr="002E28B2">
              <w:rPr>
                <w:rStyle w:val="Hipervnculo"/>
                <w:rFonts w:cs="Arial"/>
                <w:noProof/>
              </w:rPr>
              <w:tab/>
              <w:t>RESULTADOS</w:t>
            </w:r>
            <w:r w:rsidR="00146399">
              <w:rPr>
                <w:rStyle w:val="Hipervnculo"/>
                <w:rFonts w:cs="Arial"/>
                <w:noProof/>
              </w:rPr>
              <w:t>…………………………………………………………………….</w:t>
            </w:r>
            <w:r w:rsidR="0078651E" w:rsidRPr="002E28B2">
              <w:rPr>
                <w:rStyle w:val="Hipervnculo"/>
                <w:rFonts w:cs="Arial"/>
                <w:noProof/>
                <w:webHidden/>
              </w:rPr>
              <w:tab/>
            </w:r>
            <w:r w:rsidR="00772357">
              <w:rPr>
                <w:rStyle w:val="Hipervnculo"/>
                <w:rFonts w:cs="Arial"/>
                <w:noProof/>
                <w:webHidden/>
              </w:rPr>
              <w:t>10</w:t>
            </w:r>
          </w:hyperlink>
        </w:p>
        <w:p w14:paraId="6E36682C" w14:textId="3B80DE71" w:rsidR="0078651E" w:rsidRPr="002E28B2" w:rsidRDefault="00A02B3F" w:rsidP="0078651E">
          <w:pPr>
            <w:pStyle w:val="TDC2"/>
            <w:tabs>
              <w:tab w:val="clear" w:pos="567"/>
              <w:tab w:val="left" w:pos="851"/>
            </w:tabs>
            <w:ind w:left="851" w:hanging="284"/>
            <w:rPr>
              <w:rStyle w:val="Hipervnculo"/>
              <w:noProof/>
            </w:rPr>
          </w:pPr>
          <w:hyperlink w:anchor="_Toc51083019"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Resumen general de observaciones y acciones emitidas en materia de desempeño.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_Toc51083019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10</w:t>
            </w:r>
            <w:r w:rsidR="0078651E" w:rsidRPr="002E28B2">
              <w:rPr>
                <w:rStyle w:val="Hipervnculo"/>
                <w:noProof/>
                <w:webHidden/>
              </w:rPr>
              <w:fldChar w:fldCharType="end"/>
            </w:r>
          </w:hyperlink>
        </w:p>
        <w:p w14:paraId="38475074" w14:textId="7E2E0DE0" w:rsidR="0078651E" w:rsidRPr="002E28B2" w:rsidRDefault="00A02B3F" w:rsidP="0078651E">
          <w:pPr>
            <w:pStyle w:val="TDC2"/>
            <w:tabs>
              <w:tab w:val="clear" w:pos="567"/>
              <w:tab w:val="left" w:pos="851"/>
            </w:tabs>
            <w:ind w:left="851" w:hanging="284"/>
            <w:rPr>
              <w:rStyle w:val="Hipervnculo"/>
              <w:noProof/>
            </w:rPr>
          </w:pPr>
          <w:hyperlink w:anchor="_Toc51083020"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Detalle de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_Toc51083020 \h </w:instrText>
            </w:r>
            <w:r w:rsidR="0078651E" w:rsidRPr="002E28B2">
              <w:rPr>
                <w:rStyle w:val="Hipervnculo"/>
                <w:noProof/>
                <w:webHidden/>
              </w:rPr>
            </w:r>
            <w:r w:rsidR="0078651E" w:rsidRPr="002E28B2">
              <w:rPr>
                <w:rStyle w:val="Hipervnculo"/>
                <w:noProof/>
                <w:webHidden/>
              </w:rPr>
              <w:fldChar w:fldCharType="separate"/>
            </w:r>
            <w:r>
              <w:rPr>
                <w:rStyle w:val="Hipervnculo"/>
                <w:noProof/>
                <w:webHidden/>
              </w:rPr>
              <w:t>11</w:t>
            </w:r>
            <w:r w:rsidR="0078651E" w:rsidRPr="002E28B2">
              <w:rPr>
                <w:rStyle w:val="Hipervnculo"/>
                <w:noProof/>
                <w:webHidden/>
              </w:rPr>
              <w:fldChar w:fldCharType="end"/>
            </w:r>
          </w:hyperlink>
        </w:p>
        <w:p w14:paraId="22E63E58" w14:textId="47D75225" w:rsidR="0078651E" w:rsidRPr="002E28B2" w:rsidRDefault="00A02B3F" w:rsidP="0078651E">
          <w:pPr>
            <w:pStyle w:val="TDC2"/>
            <w:rPr>
              <w:rStyle w:val="Hipervnculo"/>
              <w:noProof/>
            </w:rPr>
          </w:pPr>
          <w:hyperlink w:anchor="_Toc51083027" w:history="1">
            <w:r w:rsidR="0078651E" w:rsidRPr="002E28B2">
              <w:rPr>
                <w:rStyle w:val="Hipervnculo"/>
                <w:rFonts w:cs="Arial"/>
                <w:noProof/>
              </w:rPr>
              <w:t>IV.</w:t>
            </w:r>
            <w:r w:rsidR="0078651E" w:rsidRPr="002E28B2">
              <w:rPr>
                <w:rStyle w:val="Hipervnculo"/>
                <w:noProof/>
              </w:rPr>
              <w:tab/>
            </w:r>
            <w:r w:rsidR="0078651E" w:rsidRPr="002E28B2">
              <w:rPr>
                <w:rStyle w:val="Hipervnculo"/>
                <w:rFonts w:cs="Arial"/>
                <w:noProof/>
              </w:rPr>
              <w:t>COMENTARIOS DE LA ENTIDAD FISCALIZADA</w:t>
            </w:r>
            <w:r w:rsidR="0078651E" w:rsidRPr="002E28B2">
              <w:rPr>
                <w:rStyle w:val="Hipervnculo"/>
                <w:noProof/>
                <w:webHidden/>
              </w:rPr>
              <w:tab/>
            </w:r>
            <w:r w:rsidR="006C7A81">
              <w:rPr>
                <w:rStyle w:val="Hipervnculo"/>
                <w:noProof/>
                <w:webHidden/>
              </w:rPr>
              <w:t>2</w:t>
            </w:r>
          </w:hyperlink>
          <w:r w:rsidR="00A4485A">
            <w:rPr>
              <w:rStyle w:val="Hipervnculo"/>
              <w:noProof/>
              <w:color w:val="auto"/>
              <w:u w:val="none"/>
            </w:rPr>
            <w:t>3</w:t>
          </w:r>
        </w:p>
        <w:p w14:paraId="75F28564" w14:textId="2A773461" w:rsidR="0078651E" w:rsidRPr="002E28B2" w:rsidRDefault="00A02B3F" w:rsidP="0078651E">
          <w:pPr>
            <w:pStyle w:val="TDC2"/>
            <w:rPr>
              <w:rStyle w:val="Hipervnculo"/>
              <w:noProof/>
            </w:rPr>
          </w:pPr>
          <w:hyperlink w:anchor="_Toc51083028" w:history="1">
            <w:r w:rsidR="0078651E" w:rsidRPr="002E28B2">
              <w:rPr>
                <w:rStyle w:val="Hipervnculo"/>
                <w:rFonts w:cs="Arial"/>
                <w:noProof/>
              </w:rPr>
              <w:t>V.</w:t>
            </w:r>
            <w:r w:rsidR="0078651E" w:rsidRPr="002E28B2">
              <w:rPr>
                <w:rStyle w:val="Hipervnculo"/>
                <w:noProof/>
              </w:rPr>
              <w:tab/>
            </w:r>
            <w:r w:rsidR="0078651E" w:rsidRPr="002E28B2">
              <w:rPr>
                <w:rStyle w:val="Hipervnculo"/>
                <w:rFonts w:cs="Arial"/>
                <w:noProof/>
              </w:rPr>
              <w:t>TABLA DE JUSTIFICACIONES Y ACLARACIONES DE LOS RESULTADOS</w:t>
            </w:r>
            <w:r w:rsidR="0078651E" w:rsidRPr="002E28B2">
              <w:rPr>
                <w:rStyle w:val="Hipervnculo"/>
                <w:noProof/>
                <w:webHidden/>
              </w:rPr>
              <w:tab/>
            </w:r>
            <w:r w:rsidR="000328C3">
              <w:rPr>
                <w:rStyle w:val="Hipervnculo"/>
                <w:noProof/>
                <w:webHidden/>
              </w:rPr>
              <w:t>2</w:t>
            </w:r>
          </w:hyperlink>
          <w:r w:rsidR="001F32F2">
            <w:rPr>
              <w:rStyle w:val="Hipervnculo"/>
              <w:noProof/>
              <w:color w:val="auto"/>
              <w:u w:val="none"/>
            </w:rPr>
            <w:t>3</w:t>
          </w:r>
        </w:p>
        <w:p w14:paraId="73F43BD8" w14:textId="3A212609" w:rsidR="0078651E" w:rsidRPr="002E28B2" w:rsidRDefault="00A02B3F" w:rsidP="0078651E">
          <w:pPr>
            <w:pStyle w:val="TDC2"/>
            <w:rPr>
              <w:rFonts w:eastAsiaTheme="minorEastAsia" w:cs="Arial"/>
              <w:noProof/>
              <w:lang w:eastAsia="es-MX"/>
            </w:rPr>
          </w:pPr>
          <w:hyperlink w:anchor="_Toc51083029" w:history="1">
            <w:r w:rsidR="0078651E" w:rsidRPr="002E28B2">
              <w:rPr>
                <w:rStyle w:val="Hipervnculo"/>
                <w:rFonts w:cs="Arial"/>
                <w:noProof/>
              </w:rPr>
              <w:t>VI.</w:t>
            </w:r>
            <w:r w:rsidR="0078651E" w:rsidRPr="002E28B2">
              <w:rPr>
                <w:rStyle w:val="Hipervnculo"/>
                <w:noProof/>
              </w:rPr>
              <w:tab/>
            </w:r>
            <w:r w:rsidR="0078651E" w:rsidRPr="002E28B2">
              <w:rPr>
                <w:rStyle w:val="Hipervnculo"/>
                <w:rFonts w:cs="Arial"/>
                <w:noProof/>
              </w:rPr>
              <w:t>DICTAMEN</w:t>
            </w:r>
            <w:r w:rsidR="0078651E" w:rsidRPr="002E28B2">
              <w:rPr>
                <w:rStyle w:val="Hipervnculo"/>
                <w:noProof/>
                <w:webHidden/>
              </w:rPr>
              <w:tab/>
            </w:r>
            <w:r w:rsidR="00C46673">
              <w:rPr>
                <w:rStyle w:val="Hipervnculo"/>
                <w:noProof/>
                <w:webHidden/>
              </w:rPr>
              <w:t>2</w:t>
            </w:r>
          </w:hyperlink>
          <w:r w:rsidR="00A4485A">
            <w:rPr>
              <w:rStyle w:val="Hipervnculo"/>
              <w:noProof/>
              <w:color w:val="auto"/>
              <w:u w:val="none"/>
            </w:rPr>
            <w:t>4</w:t>
          </w:r>
        </w:p>
        <w:p w14:paraId="7BA8CAAC" w14:textId="77777777" w:rsidR="0078651E" w:rsidRDefault="0078651E" w:rsidP="0078651E">
          <w:pPr>
            <w:spacing w:line="276" w:lineRule="auto"/>
            <w:jc w:val="both"/>
            <w:rPr>
              <w:rFonts w:ascii="Arial" w:hAnsi="Arial" w:cs="Arial"/>
              <w:b/>
              <w:bCs/>
              <w:lang w:val="es-ES"/>
            </w:rPr>
          </w:pPr>
          <w:r w:rsidRPr="002E28B2">
            <w:rPr>
              <w:rFonts w:ascii="Arial" w:hAnsi="Arial" w:cs="Arial"/>
              <w:b/>
              <w:bCs/>
              <w:lang w:val="es-ES"/>
            </w:rPr>
            <w:fldChar w:fldCharType="end"/>
          </w:r>
        </w:p>
      </w:sdtContent>
    </w:sdt>
    <w:p w14:paraId="7F5DC65E" w14:textId="77777777" w:rsidR="0078651E" w:rsidRDefault="0078651E" w:rsidP="002E28B2"/>
    <w:p w14:paraId="41EB9F4F" w14:textId="483EFFA2" w:rsidR="002E28B2" w:rsidRDefault="002E28B2" w:rsidP="002E28B2"/>
    <w:p w14:paraId="33E1C9D6" w14:textId="3D7D0149" w:rsidR="002E28B2" w:rsidRDefault="002E28B2" w:rsidP="002E28B2"/>
    <w:p w14:paraId="7FA71AEB" w14:textId="1382986F" w:rsidR="002E28B2" w:rsidRDefault="002E28B2" w:rsidP="002E28B2"/>
    <w:p w14:paraId="141EA7BA" w14:textId="2030558F" w:rsidR="0078651E" w:rsidRDefault="0078651E" w:rsidP="002E28B2"/>
    <w:p w14:paraId="794F233E" w14:textId="5F7F68AC" w:rsidR="0078651E" w:rsidRDefault="0078651E" w:rsidP="002E28B2"/>
    <w:p w14:paraId="35DF8A0B" w14:textId="77777777" w:rsidR="0078651E" w:rsidRDefault="0078651E" w:rsidP="002E28B2"/>
    <w:p w14:paraId="47304BEC" w14:textId="77777777" w:rsidR="0078651E" w:rsidRPr="002E28B2" w:rsidRDefault="0078651E" w:rsidP="002E28B2"/>
    <w:p w14:paraId="58C61C45" w14:textId="3F3E52FE" w:rsidR="00354B93" w:rsidRPr="00516362" w:rsidRDefault="00354B93" w:rsidP="00516362">
      <w:pPr>
        <w:pStyle w:val="Ttulo1"/>
        <w:spacing w:line="276" w:lineRule="auto"/>
        <w:rPr>
          <w:rFonts w:cs="Arial"/>
          <w:szCs w:val="24"/>
        </w:rPr>
      </w:pPr>
      <w:bookmarkStart w:id="2" w:name="_Toc522715964"/>
      <w:bookmarkStart w:id="3" w:name="_Toc51083008"/>
      <w:r w:rsidRPr="00516362">
        <w:rPr>
          <w:rFonts w:cs="Arial"/>
          <w:szCs w:val="24"/>
        </w:rPr>
        <w:lastRenderedPageBreak/>
        <w:t>INTRODUCCIÓN</w:t>
      </w:r>
      <w:bookmarkEnd w:id="2"/>
      <w:bookmarkEnd w:id="3"/>
      <w:bookmarkEnd w:id="1"/>
      <w:bookmarkEnd w:id="0"/>
    </w:p>
    <w:p w14:paraId="43377136" w14:textId="77777777" w:rsidR="00354B93" w:rsidRPr="00516362" w:rsidRDefault="00354B93" w:rsidP="00516362">
      <w:pPr>
        <w:spacing w:line="276" w:lineRule="auto"/>
        <w:jc w:val="both"/>
        <w:rPr>
          <w:rFonts w:ascii="Arial" w:hAnsi="Arial" w:cs="Arial"/>
          <w:b/>
          <w:bCs/>
        </w:rPr>
      </w:pPr>
    </w:p>
    <w:p w14:paraId="40FEFEE8" w14:textId="260D9537" w:rsidR="00727A09" w:rsidRPr="00516362" w:rsidRDefault="00D02732" w:rsidP="00516362">
      <w:pPr>
        <w:spacing w:line="276" w:lineRule="auto"/>
        <w:jc w:val="both"/>
        <w:rPr>
          <w:rFonts w:ascii="Arial" w:hAnsi="Arial" w:cs="Arial"/>
        </w:rPr>
      </w:pPr>
      <w:bookmarkStart w:id="4" w:name="_Hlk53395127"/>
      <w:r w:rsidRPr="00516362">
        <w:rPr>
          <w:rFonts w:ascii="Arial" w:hAnsi="Arial" w:cs="Arial"/>
          <w:bCs/>
        </w:rPr>
        <w:t xml:space="preserve">Por disposición contenida en </w:t>
      </w:r>
      <w:r w:rsidR="00D544DE" w:rsidRPr="00516362">
        <w:rPr>
          <w:rFonts w:ascii="Arial" w:hAnsi="Arial" w:cs="Arial"/>
          <w:bCs/>
        </w:rPr>
        <w:t>los artículos 75 fracción XXIX</w:t>
      </w:r>
      <w:r w:rsidRPr="00516362">
        <w:rPr>
          <w:rFonts w:ascii="Arial" w:hAnsi="Arial" w:cs="Arial"/>
          <w:bCs/>
        </w:rPr>
        <w:t xml:space="preserve"> </w:t>
      </w:r>
      <w:r w:rsidR="00727A09" w:rsidRPr="00516362">
        <w:rPr>
          <w:rFonts w:ascii="Arial" w:hAnsi="Arial" w:cs="Arial"/>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w:t>
      </w:r>
      <w:r w:rsidR="00572822" w:rsidRPr="00516362">
        <w:rPr>
          <w:rFonts w:ascii="Arial" w:hAnsi="Arial" w:cs="Arial"/>
        </w:rPr>
        <w:t xml:space="preserve"> las representan de presentar </w:t>
      </w:r>
      <w:r w:rsidR="00AB5163">
        <w:rPr>
          <w:rFonts w:ascii="Arial" w:hAnsi="Arial" w:cs="Arial"/>
        </w:rPr>
        <w:t>su</w:t>
      </w:r>
      <w:r w:rsidR="00727A09" w:rsidRPr="00516362">
        <w:rPr>
          <w:rFonts w:ascii="Arial" w:hAnsi="Arial" w:cs="Arial"/>
        </w:rPr>
        <w:t xml:space="preserve"> Cuenta Pública para efectos de que sea revisada y fiscalizada.</w:t>
      </w:r>
    </w:p>
    <w:p w14:paraId="1185DF67" w14:textId="77777777" w:rsidR="00D02732" w:rsidRPr="00516362" w:rsidRDefault="00D02732" w:rsidP="00516362">
      <w:pPr>
        <w:spacing w:line="276" w:lineRule="auto"/>
        <w:jc w:val="both"/>
        <w:rPr>
          <w:rFonts w:ascii="Arial" w:hAnsi="Arial" w:cs="Arial"/>
          <w:bCs/>
        </w:rPr>
      </w:pPr>
    </w:p>
    <w:p w14:paraId="57D83314" w14:textId="77777777" w:rsidR="00D02732" w:rsidRPr="00516362" w:rsidRDefault="00D02732" w:rsidP="00516362">
      <w:pPr>
        <w:spacing w:line="276" w:lineRule="auto"/>
        <w:jc w:val="both"/>
        <w:rPr>
          <w:rFonts w:ascii="Arial" w:hAnsi="Arial" w:cs="Arial"/>
          <w:bCs/>
        </w:rPr>
      </w:pPr>
      <w:r w:rsidRPr="00516362">
        <w:rPr>
          <w:rFonts w:ascii="Arial" w:hAnsi="Arial" w:cs="Arial"/>
          <w:bCs/>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w:t>
      </w:r>
      <w:r w:rsidR="00572822" w:rsidRPr="00516362">
        <w:rPr>
          <w:rFonts w:ascii="Arial" w:hAnsi="Arial" w:cs="Arial"/>
          <w:bCs/>
        </w:rPr>
        <w:t xml:space="preserve">Cuentas Públicas </w:t>
      </w:r>
      <w:r w:rsidR="006F37BC" w:rsidRPr="00516362">
        <w:rPr>
          <w:rFonts w:ascii="Arial" w:hAnsi="Arial" w:cs="Arial"/>
          <w:bCs/>
        </w:rPr>
        <w:t xml:space="preserve">a efecto de poder rendir el presente </w:t>
      </w:r>
      <w:r w:rsidR="00572822" w:rsidRPr="00516362">
        <w:rPr>
          <w:rFonts w:ascii="Arial" w:hAnsi="Arial" w:cs="Arial"/>
          <w:bCs/>
        </w:rPr>
        <w:t xml:space="preserve">Informe </w:t>
      </w:r>
      <w:r w:rsidR="006F37BC" w:rsidRPr="00516362">
        <w:rPr>
          <w:rFonts w:ascii="Arial" w:hAnsi="Arial" w:cs="Arial"/>
          <w:bCs/>
        </w:rPr>
        <w:t xml:space="preserve">a </w:t>
      </w:r>
      <w:r w:rsidR="000945EC" w:rsidRPr="00516362">
        <w:rPr>
          <w:rFonts w:ascii="Arial" w:hAnsi="Arial" w:cs="Arial"/>
          <w:bCs/>
        </w:rPr>
        <w:t>esta</w:t>
      </w:r>
      <w:r w:rsidR="006F37BC" w:rsidRPr="00516362">
        <w:rPr>
          <w:rFonts w:ascii="Arial" w:hAnsi="Arial" w:cs="Arial"/>
          <w:bCs/>
        </w:rPr>
        <w:t xml:space="preserve"> H. XVI Legislatura del Estado de Quintana Roo, con relación al manejo de las mismas por parte de las autoridades estatales.</w:t>
      </w:r>
    </w:p>
    <w:bookmarkEnd w:id="4"/>
    <w:p w14:paraId="1C2C7D1B" w14:textId="77777777" w:rsidR="00354B93" w:rsidRPr="00516362" w:rsidRDefault="00354B93" w:rsidP="00516362">
      <w:pPr>
        <w:spacing w:line="276" w:lineRule="auto"/>
        <w:jc w:val="both"/>
        <w:rPr>
          <w:rFonts w:ascii="Arial" w:hAnsi="Arial" w:cs="Arial"/>
          <w:bCs/>
        </w:rPr>
      </w:pPr>
    </w:p>
    <w:p w14:paraId="71C82B6E" w14:textId="70DFEB89" w:rsidR="00882AB0" w:rsidRPr="00516362" w:rsidRDefault="00882AB0" w:rsidP="00516362">
      <w:pPr>
        <w:spacing w:line="276" w:lineRule="auto"/>
        <w:jc w:val="both"/>
        <w:rPr>
          <w:rFonts w:ascii="Arial" w:hAnsi="Arial" w:cs="Arial"/>
          <w:bCs/>
        </w:rPr>
      </w:pPr>
      <w:r w:rsidRPr="00516362">
        <w:rPr>
          <w:rFonts w:ascii="Arial" w:hAnsi="Arial" w:cs="Arial"/>
          <w:bCs/>
        </w:rPr>
        <w:t>La formulación, revisión y aprobación de la Cuenta Pública de</w:t>
      </w:r>
      <w:r w:rsidR="002A6D28">
        <w:rPr>
          <w:rFonts w:ascii="Arial" w:hAnsi="Arial" w:cs="Arial"/>
          <w:bCs/>
        </w:rPr>
        <w:t xml:space="preserve">l </w:t>
      </w:r>
      <w:r w:rsidR="002A6D28" w:rsidRPr="002A6D28">
        <w:rPr>
          <w:rFonts w:ascii="Arial" w:hAnsi="Arial" w:cs="Arial"/>
          <w:b/>
          <w:bCs/>
        </w:rPr>
        <w:t>Instituto de Acceso a la Información y Protección de Datos Personales de Quintana Roo</w:t>
      </w:r>
      <w:r w:rsidR="002A6D28">
        <w:rPr>
          <w:rFonts w:ascii="Arial" w:hAnsi="Arial" w:cs="Arial"/>
          <w:bCs/>
        </w:rPr>
        <w:t>,</w:t>
      </w:r>
      <w:r w:rsidRPr="00516362">
        <w:rPr>
          <w:rFonts w:ascii="Arial" w:hAnsi="Arial" w:cs="Arial"/>
          <w:bCs/>
        </w:rPr>
        <w:t xml:space="preserve"> contiene la realización de actividades que comprenden las siguientes acciones:</w:t>
      </w:r>
    </w:p>
    <w:p w14:paraId="273704C3" w14:textId="77777777" w:rsidR="00882AB0" w:rsidRPr="00516362" w:rsidRDefault="00882AB0" w:rsidP="00516362">
      <w:pPr>
        <w:spacing w:line="276" w:lineRule="auto"/>
        <w:jc w:val="both"/>
        <w:rPr>
          <w:rFonts w:ascii="Arial" w:hAnsi="Arial" w:cs="Arial"/>
          <w:bCs/>
        </w:rPr>
      </w:pPr>
    </w:p>
    <w:p w14:paraId="04BE729A" w14:textId="1A452303" w:rsidR="00882AB0" w:rsidRPr="00516362" w:rsidRDefault="00882AB0" w:rsidP="00516362">
      <w:pPr>
        <w:spacing w:line="276" w:lineRule="auto"/>
        <w:jc w:val="both"/>
        <w:rPr>
          <w:rFonts w:ascii="Arial" w:hAnsi="Arial" w:cs="Arial"/>
          <w:bCs/>
        </w:rPr>
      </w:pPr>
      <w:r w:rsidRPr="00516362">
        <w:rPr>
          <w:rFonts w:ascii="Arial" w:hAnsi="Arial" w:cs="Arial"/>
          <w:b/>
          <w:bCs/>
        </w:rPr>
        <w:t>A.- El Proceso Administrativo;</w:t>
      </w:r>
      <w:r w:rsidRPr="00516362">
        <w:rPr>
          <w:rFonts w:ascii="Arial" w:hAnsi="Arial" w:cs="Arial"/>
          <w:bCs/>
        </w:rPr>
        <w:t xml:space="preserve"> que es desarrollado fundamentalmente por</w:t>
      </w:r>
      <w:r w:rsidR="008458F6">
        <w:rPr>
          <w:rFonts w:ascii="Arial" w:hAnsi="Arial" w:cs="Arial"/>
          <w:bCs/>
        </w:rPr>
        <w:t xml:space="preserve"> el </w:t>
      </w:r>
      <w:r w:rsidR="008458F6" w:rsidRPr="008458F6">
        <w:rPr>
          <w:rFonts w:ascii="Arial" w:hAnsi="Arial" w:cs="Arial"/>
          <w:b/>
          <w:bCs/>
        </w:rPr>
        <w:t>Instituto de Acceso a la Información y Protección de Datos Personales de Quintana Roo</w:t>
      </w:r>
      <w:r w:rsidRPr="00516362">
        <w:rPr>
          <w:rFonts w:ascii="Arial" w:hAnsi="Arial" w:cs="Arial"/>
          <w:bCs/>
        </w:rPr>
        <w:t xml:space="preserve">, </w:t>
      </w:r>
      <w:r w:rsidR="00ED1ADD" w:rsidRPr="00516362">
        <w:rPr>
          <w:rFonts w:ascii="Arial" w:hAnsi="Arial" w:cs="Arial"/>
          <w:bCs/>
        </w:rPr>
        <w:t>en la integración de la Cuenta Pública, la cual incluye los resultados de las labores administrativas realizadas en el ejercicio fiscal 201</w:t>
      </w:r>
      <w:r w:rsidR="001025E3" w:rsidRPr="00516362">
        <w:rPr>
          <w:rFonts w:ascii="Arial" w:hAnsi="Arial" w:cs="Arial"/>
          <w:bCs/>
        </w:rPr>
        <w:t>9</w:t>
      </w:r>
      <w:r w:rsidR="00ED1ADD" w:rsidRPr="00516362">
        <w:rPr>
          <w:rFonts w:ascii="Arial" w:hAnsi="Arial" w:cs="Arial"/>
          <w:bCs/>
        </w:rPr>
        <w:t xml:space="preserve">, así como las principales políticas financieras, económicas y sociales que influyeron en el resultado de los objetivos contenidos en los programas estatales, conforme a los indicadores establecidos en el Presupuesto de Egresos, tomando en cuenta el Plan </w:t>
      </w:r>
      <w:r w:rsidR="00ED1ADD" w:rsidRPr="00516362">
        <w:rPr>
          <w:rFonts w:ascii="Arial" w:hAnsi="Arial" w:cs="Arial"/>
          <w:bCs/>
        </w:rPr>
        <w:lastRenderedPageBreak/>
        <w:t xml:space="preserve">Estatal de Desarrollo, el programa sectorial, </w:t>
      </w:r>
      <w:r w:rsidR="001025E3" w:rsidRPr="00516362">
        <w:rPr>
          <w:rFonts w:ascii="Arial" w:hAnsi="Arial" w:cs="Arial"/>
          <w:bCs/>
        </w:rPr>
        <w:t xml:space="preserve">institucional, </w:t>
      </w:r>
      <w:r w:rsidR="00ED1ADD" w:rsidRPr="00516362">
        <w:rPr>
          <w:rFonts w:ascii="Arial" w:hAnsi="Arial" w:cs="Arial"/>
          <w:bCs/>
        </w:rPr>
        <w:t>regional, anuales y d</w:t>
      </w:r>
      <w:r w:rsidR="0073289B" w:rsidRPr="00516362">
        <w:rPr>
          <w:rFonts w:ascii="Arial" w:hAnsi="Arial" w:cs="Arial"/>
          <w:bCs/>
        </w:rPr>
        <w:t xml:space="preserve">emás </w:t>
      </w:r>
      <w:r w:rsidR="008B1A1E">
        <w:rPr>
          <w:rFonts w:ascii="Arial" w:hAnsi="Arial" w:cs="Arial"/>
          <w:bCs/>
        </w:rPr>
        <w:t>programas aplicados por el ente</w:t>
      </w:r>
      <w:r w:rsidR="00ED1ADD" w:rsidRPr="00516362">
        <w:rPr>
          <w:rFonts w:ascii="Arial" w:hAnsi="Arial" w:cs="Arial"/>
          <w:bCs/>
        </w:rPr>
        <w:t>.</w:t>
      </w:r>
    </w:p>
    <w:p w14:paraId="193F358B" w14:textId="77777777" w:rsidR="00C62A1D" w:rsidRPr="00516362" w:rsidRDefault="00C62A1D" w:rsidP="00516362">
      <w:pPr>
        <w:spacing w:line="276" w:lineRule="auto"/>
        <w:jc w:val="both"/>
        <w:rPr>
          <w:rFonts w:ascii="Arial" w:hAnsi="Arial" w:cs="Arial"/>
          <w:bCs/>
        </w:rPr>
      </w:pPr>
    </w:p>
    <w:p w14:paraId="28F5E6CC" w14:textId="7353E082" w:rsidR="00C62A1D" w:rsidRPr="00516362" w:rsidRDefault="00C62A1D" w:rsidP="00516362">
      <w:pPr>
        <w:spacing w:line="276" w:lineRule="auto"/>
        <w:jc w:val="both"/>
        <w:rPr>
          <w:rFonts w:ascii="Arial" w:hAnsi="Arial" w:cs="Arial"/>
          <w:bCs/>
        </w:rPr>
      </w:pPr>
      <w:r w:rsidRPr="00516362">
        <w:rPr>
          <w:rFonts w:ascii="Arial" w:hAnsi="Arial" w:cs="Arial"/>
          <w:b/>
          <w:bCs/>
        </w:rPr>
        <w:t>B.- El Proceso de Vigilancia;</w:t>
      </w:r>
      <w:r w:rsidRPr="00516362">
        <w:rPr>
          <w:rFonts w:ascii="Arial" w:hAnsi="Arial" w:cs="Arial"/>
          <w:bCs/>
        </w:rPr>
        <w:t xml:space="preserve"> que es desarrollado por la Legislatura del Estado con apoyo de la Auditoría Superior del Estado, cuya función es la revisión y fiscalización superior</w:t>
      </w:r>
      <w:r w:rsidR="008B1A1E">
        <w:rPr>
          <w:rFonts w:ascii="Arial" w:hAnsi="Arial" w:cs="Arial"/>
          <w:bCs/>
        </w:rPr>
        <w:t xml:space="preserve"> de los Ingresos, Presupuestos</w:t>
      </w:r>
      <w:r w:rsidR="004C2238">
        <w:rPr>
          <w:rFonts w:ascii="Arial" w:hAnsi="Arial" w:cs="Arial"/>
          <w:bCs/>
        </w:rPr>
        <w:t>,</w:t>
      </w:r>
      <w:r w:rsidR="008B1A1E">
        <w:rPr>
          <w:rFonts w:ascii="Arial" w:hAnsi="Arial" w:cs="Arial"/>
          <w:bCs/>
        </w:rPr>
        <w:t xml:space="preserve"> </w:t>
      </w:r>
      <w:r w:rsidRPr="00516362">
        <w:rPr>
          <w:rFonts w:ascii="Arial" w:hAnsi="Arial" w:cs="Arial"/>
          <w:bCs/>
        </w:rPr>
        <w:t>Egresos, Políticas, cumplimiento de los objetivos y metas contenidos en los programas y todo lo relacionado con la activid</w:t>
      </w:r>
      <w:r w:rsidR="00786B46">
        <w:rPr>
          <w:rFonts w:ascii="Arial" w:hAnsi="Arial" w:cs="Arial"/>
          <w:bCs/>
        </w:rPr>
        <w:t xml:space="preserve">ad financiera-administrativa del </w:t>
      </w:r>
      <w:r w:rsidR="00786B46" w:rsidRPr="00735007">
        <w:rPr>
          <w:rFonts w:ascii="Arial" w:hAnsi="Arial" w:cs="Arial"/>
          <w:b/>
          <w:bCs/>
        </w:rPr>
        <w:t>Instituto de Acceso a la Información y Protección de Datos Personales de Quintana Roo</w:t>
      </w:r>
      <w:r w:rsidR="00786B46">
        <w:rPr>
          <w:rFonts w:ascii="Arial" w:hAnsi="Arial" w:cs="Arial"/>
          <w:bCs/>
        </w:rPr>
        <w:t>.</w:t>
      </w:r>
    </w:p>
    <w:p w14:paraId="7CA3D6A7" w14:textId="77777777" w:rsidR="00882AB0" w:rsidRPr="00516362" w:rsidRDefault="00882AB0" w:rsidP="00516362">
      <w:pPr>
        <w:spacing w:line="276" w:lineRule="auto"/>
        <w:jc w:val="both"/>
        <w:rPr>
          <w:rFonts w:ascii="Arial" w:hAnsi="Arial" w:cs="Arial"/>
          <w:bCs/>
        </w:rPr>
      </w:pPr>
    </w:p>
    <w:p w14:paraId="346ECDDD" w14:textId="15819D03" w:rsidR="00882AB0" w:rsidRPr="00516362" w:rsidRDefault="007E5A30" w:rsidP="00516362">
      <w:pPr>
        <w:spacing w:line="276" w:lineRule="auto"/>
        <w:jc w:val="both"/>
        <w:rPr>
          <w:rFonts w:ascii="Arial" w:hAnsi="Arial" w:cs="Arial"/>
          <w:bCs/>
        </w:rPr>
      </w:pPr>
      <w:bookmarkStart w:id="5" w:name="_Hlk53395695"/>
      <w:r w:rsidRPr="00516362">
        <w:rPr>
          <w:rFonts w:ascii="Arial" w:hAnsi="Arial" w:cs="Arial"/>
          <w:bCs/>
        </w:rPr>
        <w:t>En la Cuenta Pública del H. Poder Ejecutivo del Gobierno del Estado Libre y Soberano de Quintana Roo, correspo</w:t>
      </w:r>
      <w:r w:rsidR="001025E3" w:rsidRPr="00516362">
        <w:rPr>
          <w:rFonts w:ascii="Arial" w:hAnsi="Arial" w:cs="Arial"/>
          <w:bCs/>
        </w:rPr>
        <w:t>ndiente al ejercicio fiscal 2019</w:t>
      </w:r>
      <w:r w:rsidRPr="00516362">
        <w:rPr>
          <w:rFonts w:ascii="Arial" w:hAnsi="Arial" w:cs="Arial"/>
          <w:bCs/>
        </w:rPr>
        <w:t>, se encuentra reflejado el</w:t>
      </w:r>
      <w:r w:rsidR="00BE20E0">
        <w:rPr>
          <w:rFonts w:ascii="Arial" w:hAnsi="Arial" w:cs="Arial"/>
          <w:bCs/>
        </w:rPr>
        <w:t xml:space="preserve"> ejercicio del gasto público</w:t>
      </w:r>
      <w:r w:rsidR="00AE38D3">
        <w:rPr>
          <w:rFonts w:ascii="Arial" w:hAnsi="Arial" w:cs="Arial"/>
          <w:bCs/>
        </w:rPr>
        <w:t xml:space="preserve"> de los órganos autónomos dentro de los cuales se encuentra el </w:t>
      </w:r>
      <w:r w:rsidR="00BE20E0" w:rsidRPr="00BE20E0">
        <w:rPr>
          <w:rFonts w:ascii="Arial" w:hAnsi="Arial" w:cs="Arial"/>
          <w:b/>
          <w:bCs/>
        </w:rPr>
        <w:t>Instituto de Acceso a la Información y Protección de Datos Personales de Quintana Roo</w:t>
      </w:r>
      <w:r w:rsidR="00693B21" w:rsidRPr="00BE20E0">
        <w:rPr>
          <w:rFonts w:ascii="Arial" w:hAnsi="Arial" w:cs="Arial"/>
          <w:b/>
          <w:bCs/>
        </w:rPr>
        <w:t xml:space="preserve">, </w:t>
      </w:r>
      <w:r w:rsidR="00693B21" w:rsidRPr="00BE20E0">
        <w:rPr>
          <w:rFonts w:ascii="Arial" w:hAnsi="Arial" w:cs="Arial"/>
          <w:bCs/>
        </w:rPr>
        <w:t>registrando la aplicación del recurso estatal</w:t>
      </w:r>
      <w:bookmarkEnd w:id="5"/>
      <w:r w:rsidR="00693B21" w:rsidRPr="00BE20E0">
        <w:rPr>
          <w:rFonts w:ascii="Arial" w:hAnsi="Arial" w:cs="Arial"/>
          <w:bCs/>
        </w:rPr>
        <w:t>.</w:t>
      </w:r>
      <w:r w:rsidR="00693B21" w:rsidRPr="00516362">
        <w:rPr>
          <w:rFonts w:ascii="Arial" w:hAnsi="Arial" w:cs="Arial"/>
          <w:bCs/>
        </w:rPr>
        <w:t xml:space="preserve"> </w:t>
      </w:r>
    </w:p>
    <w:p w14:paraId="19DC613E" w14:textId="77777777" w:rsidR="00882AB0" w:rsidRPr="00516362" w:rsidRDefault="00882AB0" w:rsidP="00516362">
      <w:pPr>
        <w:spacing w:line="276" w:lineRule="auto"/>
        <w:jc w:val="both"/>
        <w:rPr>
          <w:rFonts w:ascii="Arial" w:hAnsi="Arial" w:cs="Arial"/>
          <w:bCs/>
        </w:rPr>
      </w:pPr>
    </w:p>
    <w:p w14:paraId="368B45B7" w14:textId="77777777" w:rsidR="00354B93" w:rsidRPr="00516362" w:rsidRDefault="0090523C" w:rsidP="00516362">
      <w:pPr>
        <w:spacing w:line="276" w:lineRule="auto"/>
        <w:jc w:val="both"/>
        <w:rPr>
          <w:rFonts w:ascii="Arial" w:hAnsi="Arial" w:cs="Arial"/>
          <w:bCs/>
        </w:rPr>
      </w:pPr>
      <w:r w:rsidRPr="00516362">
        <w:rPr>
          <w:rFonts w:ascii="Arial" w:hAnsi="Arial" w:cs="Arial"/>
          <w:bCs/>
        </w:rPr>
        <w:t>El C. Auditor Superior del Estado de Quintana Roo, de conformidad con lo d</w:t>
      </w:r>
      <w:r w:rsidR="003420BF" w:rsidRPr="00516362">
        <w:rPr>
          <w:rFonts w:ascii="Arial" w:hAnsi="Arial" w:cs="Arial"/>
          <w:bCs/>
        </w:rPr>
        <w:t>ispuesto en los artículos 8, 19 fracción I y 86</w:t>
      </w:r>
      <w:r w:rsidRPr="00516362">
        <w:rPr>
          <w:rFonts w:ascii="Arial" w:hAnsi="Arial" w:cs="Arial"/>
          <w:bCs/>
        </w:rPr>
        <w:t xml:space="preserve"> fracción IV, de la Ley de Fiscalización y Rendición de Cuentas del Estado de Quintana Roo, aprobó en fecha </w:t>
      </w:r>
      <w:r w:rsidR="000C4DE9" w:rsidRPr="00AE38D3">
        <w:rPr>
          <w:rFonts w:ascii="Arial" w:hAnsi="Arial" w:cs="Arial"/>
          <w:bCs/>
        </w:rPr>
        <w:t>14</w:t>
      </w:r>
      <w:r w:rsidR="0018265B" w:rsidRPr="00AE38D3">
        <w:rPr>
          <w:rFonts w:ascii="Arial" w:hAnsi="Arial" w:cs="Arial"/>
          <w:bCs/>
        </w:rPr>
        <w:t xml:space="preserve"> de </w:t>
      </w:r>
      <w:r w:rsidR="000C4DE9" w:rsidRPr="00AE38D3">
        <w:rPr>
          <w:rFonts w:ascii="Arial" w:hAnsi="Arial" w:cs="Arial"/>
          <w:bCs/>
        </w:rPr>
        <w:t>febrero</w:t>
      </w:r>
      <w:r w:rsidR="0018265B" w:rsidRPr="00AE38D3">
        <w:rPr>
          <w:rFonts w:ascii="Arial" w:hAnsi="Arial" w:cs="Arial"/>
          <w:bCs/>
        </w:rPr>
        <w:t xml:space="preserve"> </w:t>
      </w:r>
      <w:r w:rsidR="000C4DE9" w:rsidRPr="00AE38D3">
        <w:rPr>
          <w:rFonts w:ascii="Arial" w:hAnsi="Arial" w:cs="Arial"/>
          <w:bCs/>
        </w:rPr>
        <w:t>de 2020</w:t>
      </w:r>
      <w:r w:rsidR="006F37BC" w:rsidRPr="00AE38D3">
        <w:rPr>
          <w:rFonts w:ascii="Arial" w:hAnsi="Arial" w:cs="Arial"/>
          <w:bCs/>
        </w:rPr>
        <w:t xml:space="preserve"> </w:t>
      </w:r>
      <w:r w:rsidRPr="00516362">
        <w:rPr>
          <w:rFonts w:ascii="Arial" w:hAnsi="Arial" w:cs="Arial"/>
          <w:bCs/>
        </w:rPr>
        <w:t>mediante acuerdo administrativo, el Programa Anual de Auditorías, Visitas e Inspecciones (PAA</w:t>
      </w:r>
      <w:r w:rsidR="00693B21" w:rsidRPr="00516362">
        <w:rPr>
          <w:rFonts w:ascii="Arial" w:hAnsi="Arial" w:cs="Arial"/>
          <w:bCs/>
        </w:rPr>
        <w:t>VI), correspondiente al año 2020</w:t>
      </w:r>
      <w:r w:rsidRPr="00516362">
        <w:rPr>
          <w:rFonts w:ascii="Arial" w:hAnsi="Arial" w:cs="Arial"/>
          <w:bCs/>
        </w:rPr>
        <w:t xml:space="preserve">, </w:t>
      </w:r>
      <w:r w:rsidR="00A33696" w:rsidRPr="00516362">
        <w:rPr>
          <w:rFonts w:ascii="Arial" w:hAnsi="Arial" w:cs="Arial"/>
          <w:bCs/>
        </w:rPr>
        <w:t>y que contempla la fiscalización a las Cuentas Pú</w:t>
      </w:r>
      <w:r w:rsidR="00693B21" w:rsidRPr="00516362">
        <w:rPr>
          <w:rFonts w:ascii="Arial" w:hAnsi="Arial" w:cs="Arial"/>
          <w:bCs/>
        </w:rPr>
        <w:t>blicas del ejercicio fiscal 2019</w:t>
      </w:r>
      <w:r w:rsidR="00A33696" w:rsidRPr="00516362">
        <w:rPr>
          <w:rFonts w:ascii="Arial" w:hAnsi="Arial" w:cs="Arial"/>
          <w:bCs/>
        </w:rPr>
        <w:t>, el cual fue expedido y publicado en el portal web de la Auditoría Superior del Estado de Quintana Roo.</w:t>
      </w:r>
    </w:p>
    <w:p w14:paraId="17FE4E2E" w14:textId="77777777" w:rsidR="00A33696" w:rsidRPr="00516362" w:rsidRDefault="00A33696" w:rsidP="00516362">
      <w:pPr>
        <w:spacing w:line="276" w:lineRule="auto"/>
        <w:jc w:val="both"/>
        <w:rPr>
          <w:rFonts w:ascii="Arial" w:hAnsi="Arial" w:cs="Arial"/>
        </w:rPr>
      </w:pPr>
    </w:p>
    <w:p w14:paraId="120A063E" w14:textId="2768AAA7" w:rsidR="0090523C" w:rsidRDefault="007F3D53" w:rsidP="00516362">
      <w:pPr>
        <w:spacing w:line="276" w:lineRule="auto"/>
        <w:jc w:val="both"/>
        <w:rPr>
          <w:rFonts w:ascii="Arial" w:hAnsi="Arial" w:cs="Arial"/>
        </w:rPr>
      </w:pPr>
      <w:bookmarkStart w:id="6" w:name="_Toc519096397"/>
      <w:bookmarkStart w:id="7" w:name="_Toc520277594"/>
      <w:r w:rsidRPr="00516362">
        <w:rPr>
          <w:rFonts w:ascii="Arial" w:hAnsi="Arial" w:cs="Arial"/>
        </w:rPr>
        <w:t xml:space="preserve">Por lo anterior y en cumplimiento a los artículos 2, 3, 4, 5, </w:t>
      </w:r>
      <w:r w:rsidR="003420BF" w:rsidRPr="00516362">
        <w:rPr>
          <w:rFonts w:ascii="Arial" w:hAnsi="Arial" w:cs="Arial"/>
        </w:rPr>
        <w:t>6</w:t>
      </w:r>
      <w:r w:rsidR="00FF519D" w:rsidRPr="00516362">
        <w:rPr>
          <w:rFonts w:ascii="Arial" w:hAnsi="Arial" w:cs="Arial"/>
        </w:rPr>
        <w:t xml:space="preserve"> fracciones I,</w:t>
      </w:r>
      <w:r w:rsidRPr="00516362">
        <w:rPr>
          <w:rFonts w:ascii="Arial" w:hAnsi="Arial" w:cs="Arial"/>
        </w:rPr>
        <w:t xml:space="preserve"> II</w:t>
      </w:r>
      <w:r w:rsidR="00FF519D" w:rsidRPr="00516362">
        <w:rPr>
          <w:rFonts w:ascii="Arial" w:hAnsi="Arial" w:cs="Arial"/>
        </w:rPr>
        <w:t xml:space="preserve"> y XX</w:t>
      </w:r>
      <w:r w:rsidRPr="00516362">
        <w:rPr>
          <w:rFonts w:ascii="Arial" w:hAnsi="Arial" w:cs="Arial"/>
        </w:rPr>
        <w:t xml:space="preserve">, 16, </w:t>
      </w:r>
      <w:r w:rsidR="00FF519D" w:rsidRPr="00516362">
        <w:rPr>
          <w:rFonts w:ascii="Arial" w:hAnsi="Arial" w:cs="Arial"/>
        </w:rPr>
        <w:t xml:space="preserve">17, </w:t>
      </w:r>
      <w:r w:rsidR="003420BF" w:rsidRPr="00516362">
        <w:rPr>
          <w:rFonts w:ascii="Arial" w:hAnsi="Arial" w:cs="Arial"/>
        </w:rPr>
        <w:t>19</w:t>
      </w:r>
      <w:r w:rsidRPr="00516362">
        <w:rPr>
          <w:rFonts w:ascii="Arial" w:hAnsi="Arial" w:cs="Arial"/>
        </w:rPr>
        <w:t xml:space="preserve"> fracciones </w:t>
      </w:r>
      <w:r w:rsidR="00263D33" w:rsidRPr="00516362">
        <w:rPr>
          <w:rFonts w:ascii="Arial" w:hAnsi="Arial" w:cs="Arial"/>
        </w:rPr>
        <w:t>I, V, XII, XV, XXVI y</w:t>
      </w:r>
      <w:r w:rsidRPr="00516362">
        <w:rPr>
          <w:rFonts w:ascii="Arial" w:hAnsi="Arial" w:cs="Arial"/>
        </w:rPr>
        <w:t xml:space="preserve"> XXVIII, 22</w:t>
      </w:r>
      <w:r w:rsidR="00FF519D" w:rsidRPr="00516362">
        <w:rPr>
          <w:rFonts w:ascii="Arial" w:hAnsi="Arial" w:cs="Arial"/>
        </w:rPr>
        <w:t xml:space="preserve"> en su último párrafo</w:t>
      </w:r>
      <w:r w:rsidRPr="00516362">
        <w:rPr>
          <w:rFonts w:ascii="Arial" w:hAnsi="Arial" w:cs="Arial"/>
        </w:rPr>
        <w:t xml:space="preserve">, </w:t>
      </w:r>
      <w:r w:rsidR="00FF519D" w:rsidRPr="00516362">
        <w:rPr>
          <w:rFonts w:ascii="Arial" w:hAnsi="Arial" w:cs="Arial"/>
        </w:rPr>
        <w:t>38, 41</w:t>
      </w:r>
      <w:r w:rsidRPr="00516362">
        <w:rPr>
          <w:rFonts w:ascii="Arial" w:hAnsi="Arial" w:cs="Arial"/>
        </w:rPr>
        <w:t xml:space="preserve">, </w:t>
      </w:r>
      <w:r w:rsidR="00FF519D" w:rsidRPr="00516362">
        <w:rPr>
          <w:rFonts w:ascii="Arial" w:hAnsi="Arial" w:cs="Arial"/>
        </w:rPr>
        <w:t xml:space="preserve">42 y </w:t>
      </w:r>
      <w:r w:rsidRPr="00516362">
        <w:rPr>
          <w:rFonts w:ascii="Arial" w:hAnsi="Arial" w:cs="Arial"/>
        </w:rPr>
        <w:t>86 fracciones I</w:t>
      </w:r>
      <w:r w:rsidR="00263D33" w:rsidRPr="00516362">
        <w:rPr>
          <w:rFonts w:ascii="Arial" w:hAnsi="Arial" w:cs="Arial"/>
        </w:rPr>
        <w:t>,</w:t>
      </w:r>
      <w:r w:rsidR="00FF519D" w:rsidRPr="00516362">
        <w:rPr>
          <w:rFonts w:ascii="Arial" w:hAnsi="Arial" w:cs="Arial"/>
        </w:rPr>
        <w:t xml:space="preserve"> XVII,</w:t>
      </w:r>
      <w:r w:rsidR="00263D33" w:rsidRPr="00516362">
        <w:rPr>
          <w:rFonts w:ascii="Arial" w:hAnsi="Arial" w:cs="Arial"/>
        </w:rPr>
        <w:t xml:space="preserve"> XXII</w:t>
      </w:r>
      <w:r w:rsidRPr="00516362">
        <w:rPr>
          <w:rFonts w:ascii="Arial" w:hAnsi="Arial" w:cs="Arial"/>
        </w:rPr>
        <w:t xml:space="preserve"> y XXXVI</w:t>
      </w:r>
      <w:r w:rsidR="00FF519D" w:rsidRPr="00516362">
        <w:rPr>
          <w:rFonts w:ascii="Arial" w:hAnsi="Arial" w:cs="Arial"/>
        </w:rPr>
        <w:t xml:space="preserve"> </w:t>
      </w:r>
      <w:r w:rsidRPr="00516362">
        <w:rPr>
          <w:rFonts w:ascii="Arial" w:hAnsi="Arial" w:cs="Arial"/>
        </w:rPr>
        <w:t xml:space="preserve">de la Ley de Fiscalización y Rendición de Cuentas del Estado de Quintana Roo, se tiene a bien presentar </w:t>
      </w:r>
      <w:r w:rsidR="009E77E8" w:rsidRPr="00516362">
        <w:rPr>
          <w:rFonts w:ascii="Arial" w:hAnsi="Arial" w:cs="Arial"/>
        </w:rPr>
        <w:t>el Informe Individual de Auditoría</w:t>
      </w:r>
      <w:r w:rsidR="000C4DE9" w:rsidRPr="00516362">
        <w:rPr>
          <w:rFonts w:ascii="Arial" w:hAnsi="Arial" w:cs="Arial"/>
        </w:rPr>
        <w:t xml:space="preserve"> obtenido</w:t>
      </w:r>
      <w:r w:rsidRPr="00516362">
        <w:rPr>
          <w:rFonts w:ascii="Arial" w:hAnsi="Arial" w:cs="Arial"/>
        </w:rPr>
        <w:t xml:space="preserve"> con relación a la </w:t>
      </w:r>
      <w:r w:rsidR="000C4DE9" w:rsidRPr="00516362">
        <w:rPr>
          <w:rFonts w:ascii="Arial" w:hAnsi="Arial" w:cs="Arial"/>
        </w:rPr>
        <w:t>auditoría</w:t>
      </w:r>
      <w:r w:rsidRPr="00516362">
        <w:rPr>
          <w:rFonts w:ascii="Arial" w:hAnsi="Arial" w:cs="Arial"/>
        </w:rPr>
        <w:t xml:space="preserve"> de desem</w:t>
      </w:r>
      <w:r w:rsidR="00913403">
        <w:rPr>
          <w:rFonts w:ascii="Arial" w:hAnsi="Arial" w:cs="Arial"/>
        </w:rPr>
        <w:t>peño de la Cuenta Pública del</w:t>
      </w:r>
      <w:r w:rsidRPr="00516362">
        <w:rPr>
          <w:rFonts w:ascii="Arial" w:hAnsi="Arial" w:cs="Arial"/>
        </w:rPr>
        <w:t xml:space="preserve"> </w:t>
      </w:r>
      <w:r w:rsidR="00913403" w:rsidRPr="00F2613C">
        <w:rPr>
          <w:rFonts w:ascii="Arial" w:hAnsi="Arial" w:cs="Arial"/>
          <w:b/>
          <w:bCs/>
        </w:rPr>
        <w:t>Instituto de Acceso a la Información y Protección de Datos Personales de Quintana Roo</w:t>
      </w:r>
      <w:r w:rsidRPr="00516362">
        <w:rPr>
          <w:rFonts w:ascii="Arial" w:hAnsi="Arial" w:cs="Arial"/>
        </w:rPr>
        <w:t>, correspo</w:t>
      </w:r>
      <w:r w:rsidR="000C4DE9" w:rsidRPr="00516362">
        <w:rPr>
          <w:rFonts w:ascii="Arial" w:hAnsi="Arial" w:cs="Arial"/>
        </w:rPr>
        <w:t>ndiente al ejercicio fiscal 2019</w:t>
      </w:r>
      <w:r w:rsidRPr="00516362">
        <w:rPr>
          <w:rFonts w:ascii="Arial" w:hAnsi="Arial" w:cs="Arial"/>
        </w:rPr>
        <w:t>.</w:t>
      </w:r>
    </w:p>
    <w:p w14:paraId="75679FCE" w14:textId="5CBC2262" w:rsidR="00A724F7" w:rsidRDefault="00A724F7" w:rsidP="00516362">
      <w:pPr>
        <w:spacing w:line="276" w:lineRule="auto"/>
        <w:jc w:val="both"/>
        <w:rPr>
          <w:rFonts w:ascii="Arial" w:hAnsi="Arial" w:cs="Arial"/>
        </w:rPr>
      </w:pPr>
    </w:p>
    <w:p w14:paraId="387FDE6C" w14:textId="3F86F739" w:rsidR="00B5466C" w:rsidRDefault="00B5466C" w:rsidP="00516362">
      <w:pPr>
        <w:spacing w:line="276" w:lineRule="auto"/>
        <w:jc w:val="both"/>
        <w:rPr>
          <w:rFonts w:ascii="Arial" w:hAnsi="Arial" w:cs="Arial"/>
        </w:rPr>
      </w:pPr>
    </w:p>
    <w:p w14:paraId="4094C777" w14:textId="3EF3B393" w:rsidR="00354B93" w:rsidRDefault="00354B93" w:rsidP="00516362">
      <w:pPr>
        <w:pStyle w:val="Ttulo1"/>
        <w:numPr>
          <w:ilvl w:val="0"/>
          <w:numId w:val="9"/>
        </w:numPr>
        <w:spacing w:line="276" w:lineRule="auto"/>
        <w:ind w:left="426" w:hanging="142"/>
        <w:rPr>
          <w:rFonts w:cs="Arial"/>
          <w:szCs w:val="24"/>
        </w:rPr>
      </w:pPr>
      <w:bookmarkStart w:id="8" w:name="_Toc522715965"/>
      <w:bookmarkStart w:id="9" w:name="_Toc51083009"/>
      <w:r w:rsidRPr="00516362">
        <w:rPr>
          <w:rFonts w:cs="Arial"/>
          <w:szCs w:val="24"/>
        </w:rPr>
        <w:lastRenderedPageBreak/>
        <w:t>ANTECEDENTES DE LA ENTIDAD FISCALIZADA</w:t>
      </w:r>
      <w:bookmarkEnd w:id="6"/>
      <w:bookmarkEnd w:id="7"/>
      <w:bookmarkEnd w:id="8"/>
      <w:bookmarkEnd w:id="9"/>
    </w:p>
    <w:p w14:paraId="263CE180" w14:textId="71744D50" w:rsidR="00B5466C" w:rsidRDefault="00B5466C" w:rsidP="00B5466C"/>
    <w:p w14:paraId="15C6EFC0" w14:textId="77777777" w:rsidR="00D82819" w:rsidRDefault="00D82819" w:rsidP="00B5466C"/>
    <w:p w14:paraId="26B4F3A1" w14:textId="77777777" w:rsidR="007F3D53" w:rsidRPr="00516362" w:rsidRDefault="007F3D53" w:rsidP="00516362">
      <w:pPr>
        <w:spacing w:line="276" w:lineRule="auto"/>
        <w:jc w:val="both"/>
        <w:rPr>
          <w:rFonts w:ascii="Arial" w:hAnsi="Arial" w:cs="Arial"/>
          <w:b/>
        </w:rPr>
      </w:pPr>
      <w:bookmarkStart w:id="10" w:name="_Toc519096398"/>
      <w:bookmarkStart w:id="11" w:name="_Toc520277595"/>
      <w:r w:rsidRPr="00516362">
        <w:rPr>
          <w:rFonts w:ascii="Arial" w:hAnsi="Arial" w:cs="Arial"/>
          <w:b/>
        </w:rPr>
        <w:t>DE SU CREACIÓN</w:t>
      </w:r>
    </w:p>
    <w:p w14:paraId="06F32156" w14:textId="77777777" w:rsidR="007F3D53" w:rsidRPr="00516362" w:rsidRDefault="007F3D53" w:rsidP="00516362">
      <w:pPr>
        <w:spacing w:line="276" w:lineRule="auto"/>
        <w:jc w:val="both"/>
        <w:rPr>
          <w:rFonts w:ascii="Arial" w:hAnsi="Arial" w:cs="Arial"/>
          <w:b/>
        </w:rPr>
      </w:pPr>
    </w:p>
    <w:p w14:paraId="5DCC1AF2" w14:textId="77777777" w:rsidR="00553F0D" w:rsidRPr="00F2613C" w:rsidRDefault="00553F0D" w:rsidP="00553F0D">
      <w:pPr>
        <w:spacing w:line="276" w:lineRule="auto"/>
        <w:jc w:val="both"/>
        <w:rPr>
          <w:rFonts w:ascii="Arial" w:hAnsi="Arial" w:cs="Arial"/>
          <w:szCs w:val="23"/>
        </w:rPr>
      </w:pPr>
      <w:r w:rsidRPr="00F2613C">
        <w:rPr>
          <w:rFonts w:ascii="Arial" w:hAnsi="Arial" w:cs="Arial"/>
          <w:szCs w:val="23"/>
        </w:rPr>
        <w:t>Con fecha 31 de mayo de 2004, el Ejecutivo Estatal publica en el Periódico Oficial del Gobierno del Estado Libre y Soberano de Quintana Roo; la Ley de Transparencia y Acceso a la Información Pública del Estado de Quintana Roo por el que se crea el Instituto de Transparencia y Acceso a la Información Pública del Estado de Quintana Roo como Organismo Público, Autónomo de Carácter Estatal, con Personalidad Jurídica y Patrimonio Propio, con domicilio en la Capital del Estado.</w:t>
      </w:r>
    </w:p>
    <w:p w14:paraId="54473C83" w14:textId="77777777" w:rsidR="00371C4B" w:rsidRPr="00516362" w:rsidRDefault="00371C4B" w:rsidP="00516362">
      <w:pPr>
        <w:pStyle w:val="Default"/>
        <w:spacing w:line="276" w:lineRule="auto"/>
        <w:jc w:val="both"/>
        <w:rPr>
          <w:highlight w:val="yellow"/>
        </w:rPr>
      </w:pPr>
    </w:p>
    <w:p w14:paraId="75D13276" w14:textId="77777777" w:rsidR="00553F0D" w:rsidRPr="00F2613C" w:rsidRDefault="00553F0D" w:rsidP="00553F0D">
      <w:pPr>
        <w:spacing w:line="276" w:lineRule="auto"/>
        <w:jc w:val="both"/>
        <w:rPr>
          <w:rFonts w:ascii="Arial" w:hAnsi="Arial" w:cs="Arial"/>
          <w:szCs w:val="23"/>
        </w:rPr>
      </w:pPr>
      <w:r w:rsidRPr="00F2613C">
        <w:rPr>
          <w:rFonts w:ascii="Arial" w:hAnsi="Arial" w:cs="Arial"/>
          <w:szCs w:val="23"/>
        </w:rPr>
        <w:t xml:space="preserve">A partir del 27 de febrero de 2015 que se publicó el Decreto Número 255 en el Periódico Oficial del Estado de Quintana Roo, el hasta entonces Instituto de Transparencia y Acceso a la Información Pública del Estado de Quintana Roo, sufrió una modificación en su nombre, y a partir de esa fecha se denomina </w:t>
      </w:r>
      <w:r w:rsidRPr="00F2613C">
        <w:rPr>
          <w:rFonts w:ascii="Arial" w:hAnsi="Arial" w:cs="Arial"/>
          <w:b/>
          <w:szCs w:val="23"/>
        </w:rPr>
        <w:t>Instituto de Acceso a la Información y Protección de Datos Personales de Quintana Roo</w:t>
      </w:r>
      <w:r w:rsidRPr="00F2613C">
        <w:rPr>
          <w:rFonts w:ascii="Arial" w:hAnsi="Arial" w:cs="Arial"/>
          <w:szCs w:val="23"/>
        </w:rPr>
        <w:t>.</w:t>
      </w:r>
    </w:p>
    <w:p w14:paraId="13B02780" w14:textId="162454D2" w:rsidR="00B10148" w:rsidRDefault="00B10148" w:rsidP="00516362">
      <w:pPr>
        <w:spacing w:line="276" w:lineRule="auto"/>
        <w:jc w:val="both"/>
        <w:rPr>
          <w:rFonts w:ascii="Arial" w:hAnsi="Arial" w:cs="Arial"/>
        </w:rPr>
      </w:pPr>
    </w:p>
    <w:p w14:paraId="118E1010" w14:textId="1DC7D8F6" w:rsidR="00BC47E1" w:rsidRDefault="0088747C" w:rsidP="00516362">
      <w:pPr>
        <w:spacing w:line="276" w:lineRule="auto"/>
        <w:jc w:val="both"/>
        <w:rPr>
          <w:rFonts w:ascii="Arial" w:hAnsi="Arial" w:cs="Arial"/>
          <w:szCs w:val="23"/>
        </w:rPr>
      </w:pPr>
      <w:r w:rsidRPr="00F2613C">
        <w:rPr>
          <w:rFonts w:ascii="Arial" w:hAnsi="Arial" w:cs="Arial"/>
          <w:szCs w:val="23"/>
        </w:rPr>
        <w:t>Con fecha 03 de mayo de 2016, mediante el Decreto 398 del Periódico Oficial del Gobierno del Estado de Quintana Roo, se abroga la Ley de Transparencia y Acceso a la Información Pública del Estado de Quintana Roo, expedida mediante Decreto Número 130 de la H. Legislatura del Estado y publicada en Periódico Oficial del Estado en fecha 31 de mayo de 2004, y entra en vigor el 05 de mayo de 2016 la Ley de Transparencia y Acceso a la Información Pública para el Estado de Quintana Roo.</w:t>
      </w:r>
    </w:p>
    <w:p w14:paraId="549B07F9" w14:textId="3163806F" w:rsidR="00A724F7" w:rsidRDefault="00A724F7" w:rsidP="00516362">
      <w:pPr>
        <w:spacing w:line="276" w:lineRule="auto"/>
        <w:jc w:val="both"/>
        <w:rPr>
          <w:rFonts w:ascii="Arial" w:hAnsi="Arial" w:cs="Arial"/>
          <w:szCs w:val="23"/>
        </w:rPr>
      </w:pPr>
    </w:p>
    <w:p w14:paraId="51430202" w14:textId="77777777" w:rsidR="00D82819" w:rsidRDefault="00D82819" w:rsidP="00516362">
      <w:pPr>
        <w:spacing w:line="276" w:lineRule="auto"/>
        <w:jc w:val="both"/>
        <w:rPr>
          <w:rFonts w:ascii="Arial" w:hAnsi="Arial" w:cs="Arial"/>
          <w:szCs w:val="23"/>
        </w:rPr>
      </w:pPr>
    </w:p>
    <w:p w14:paraId="67E80721" w14:textId="3E9A9436" w:rsidR="007F3D53" w:rsidRDefault="007F3D53" w:rsidP="00516362">
      <w:pPr>
        <w:spacing w:line="276" w:lineRule="auto"/>
        <w:jc w:val="both"/>
        <w:rPr>
          <w:rFonts w:ascii="Arial" w:hAnsi="Arial" w:cs="Arial"/>
          <w:b/>
        </w:rPr>
      </w:pPr>
      <w:r w:rsidRPr="00516362">
        <w:rPr>
          <w:rFonts w:ascii="Arial" w:hAnsi="Arial" w:cs="Arial"/>
          <w:b/>
        </w:rPr>
        <w:t>DE SUS FUNCIONES</w:t>
      </w:r>
    </w:p>
    <w:p w14:paraId="4B34AD83" w14:textId="77777777" w:rsidR="00E139DB" w:rsidRPr="00516362" w:rsidRDefault="00E139DB" w:rsidP="00516362">
      <w:pPr>
        <w:spacing w:line="276" w:lineRule="auto"/>
        <w:jc w:val="both"/>
        <w:rPr>
          <w:rFonts w:ascii="Arial" w:hAnsi="Arial" w:cs="Arial"/>
          <w:b/>
        </w:rPr>
      </w:pPr>
    </w:p>
    <w:p w14:paraId="5CFBE6DB" w14:textId="234744A6" w:rsidR="0005134E" w:rsidRPr="00655F3C" w:rsidRDefault="00E139DB" w:rsidP="0005134E">
      <w:pPr>
        <w:spacing w:line="276" w:lineRule="auto"/>
        <w:jc w:val="both"/>
        <w:rPr>
          <w:rFonts w:ascii="Arial" w:hAnsi="Arial" w:cs="Arial"/>
          <w:b/>
          <w:sz w:val="28"/>
          <w:szCs w:val="23"/>
        </w:rPr>
      </w:pPr>
      <w:r>
        <w:rPr>
          <w:rFonts w:ascii="Arial" w:hAnsi="Arial" w:cs="Arial"/>
          <w:szCs w:val="23"/>
        </w:rPr>
        <w:t xml:space="preserve">De acuerdo con la Ley </w:t>
      </w:r>
      <w:r w:rsidRPr="00DD72C8">
        <w:rPr>
          <w:rFonts w:ascii="Arial" w:hAnsi="Arial" w:cs="Arial"/>
          <w:szCs w:val="23"/>
        </w:rPr>
        <w:t>de Transparencia y Acceso a la Información Pública para el Estado de Quintana Roo en su artículo</w:t>
      </w:r>
      <w:r>
        <w:rPr>
          <w:rFonts w:ascii="Arial" w:hAnsi="Arial" w:cs="Arial"/>
          <w:szCs w:val="23"/>
        </w:rPr>
        <w:t xml:space="preserve"> 23, el </w:t>
      </w:r>
      <w:r w:rsidRPr="00655F3C">
        <w:rPr>
          <w:rFonts w:ascii="Arial" w:hAnsi="Arial" w:cs="Arial"/>
          <w:b/>
          <w:szCs w:val="23"/>
        </w:rPr>
        <w:t>Instituto de Acceso a la Información y Protección de Datos Personales de Quintana Roo</w:t>
      </w:r>
      <w:r>
        <w:rPr>
          <w:rFonts w:ascii="Arial" w:hAnsi="Arial" w:cs="Arial"/>
          <w:b/>
          <w:szCs w:val="23"/>
        </w:rPr>
        <w:t xml:space="preserve">, </w:t>
      </w:r>
      <w:r w:rsidRPr="00655F3C">
        <w:rPr>
          <w:rFonts w:ascii="Arial" w:hAnsi="Arial" w:cs="Arial"/>
          <w:szCs w:val="23"/>
        </w:rPr>
        <w:t xml:space="preserve">es un órgano público autónomo, especializado, imparcial y colegiado, con personalidad jurídica y </w:t>
      </w:r>
      <w:r w:rsidRPr="00655F3C">
        <w:rPr>
          <w:rFonts w:ascii="Arial" w:hAnsi="Arial" w:cs="Arial"/>
          <w:szCs w:val="23"/>
        </w:rPr>
        <w:lastRenderedPageBreak/>
        <w:t xml:space="preserve">patrimonio propios, con plena autonomía técnica, de gestión, independencia funcional y financiera, capacidad para decidir sobre el ejercicio de su presupuesto y determinar su organización interna, y responsable de garantizar el ejercicio del derecho de acceso a la información pública y la </w:t>
      </w:r>
      <w:r>
        <w:rPr>
          <w:rFonts w:ascii="Arial" w:hAnsi="Arial" w:cs="Arial"/>
          <w:szCs w:val="23"/>
        </w:rPr>
        <w:t xml:space="preserve">protección de datos personales. </w:t>
      </w:r>
      <w:r>
        <w:rPr>
          <w:rFonts w:ascii="Arial" w:hAnsi="Arial" w:cs="Arial"/>
        </w:rPr>
        <w:t xml:space="preserve">Conforme al artículo 29 de la Ley de Transparencia y Acceso a la Información Pública para el Estado de Quintana Roo al Instituto </w:t>
      </w:r>
      <w:r w:rsidRPr="00655F3C">
        <w:rPr>
          <w:rFonts w:ascii="Arial" w:hAnsi="Arial" w:cs="Arial"/>
          <w:szCs w:val="23"/>
        </w:rPr>
        <w:t>de Acceso a la</w:t>
      </w:r>
      <w:r w:rsidR="0005134E">
        <w:rPr>
          <w:rFonts w:ascii="Arial" w:hAnsi="Arial" w:cs="Arial"/>
          <w:szCs w:val="23"/>
        </w:rPr>
        <w:t xml:space="preserve"> </w:t>
      </w:r>
      <w:r w:rsidR="0005134E" w:rsidRPr="00655F3C">
        <w:rPr>
          <w:rFonts w:ascii="Arial" w:hAnsi="Arial" w:cs="Arial"/>
          <w:szCs w:val="23"/>
        </w:rPr>
        <w:t>Información y Protección de Datos Personales de Quintana Roo</w:t>
      </w:r>
      <w:r w:rsidR="0005134E">
        <w:rPr>
          <w:rFonts w:ascii="Arial" w:hAnsi="Arial" w:cs="Arial"/>
        </w:rPr>
        <w:t xml:space="preserve"> le corresponde entre otros, el despacho de los siguientes asuntos:</w:t>
      </w:r>
    </w:p>
    <w:p w14:paraId="685BA3F3" w14:textId="3AB86DC4" w:rsidR="00D82F1F" w:rsidRPr="00D82F1F" w:rsidRDefault="00D82F1F" w:rsidP="00D82F1F">
      <w:pPr>
        <w:spacing w:line="276" w:lineRule="auto"/>
        <w:jc w:val="both"/>
        <w:rPr>
          <w:rFonts w:ascii="Arial" w:hAnsi="Arial" w:cs="Arial"/>
        </w:rPr>
      </w:pPr>
    </w:p>
    <w:p w14:paraId="01531453" w14:textId="78FCC7F1" w:rsidR="00D82F1F" w:rsidRPr="000C0546" w:rsidRDefault="00D82F1F" w:rsidP="009179DA">
      <w:pPr>
        <w:numPr>
          <w:ilvl w:val="0"/>
          <w:numId w:val="13"/>
        </w:numPr>
        <w:spacing w:line="276" w:lineRule="auto"/>
        <w:contextualSpacing/>
        <w:jc w:val="both"/>
        <w:rPr>
          <w:rFonts w:ascii="Arial" w:hAnsi="Arial" w:cs="Arial"/>
          <w:szCs w:val="20"/>
        </w:rPr>
      </w:pPr>
      <w:r w:rsidRPr="000C0546">
        <w:rPr>
          <w:rFonts w:ascii="Arial" w:hAnsi="Arial" w:cs="Arial"/>
          <w:szCs w:val="20"/>
        </w:rPr>
        <w:t xml:space="preserve">Interpretar los ordenamientos que les resulten aplicables y que deriven de la Constitución Política de los Estados Unidos Mexicanos, la Constitución Política del Estado libre y Soberano de Quintana Roo, la Ley General y </w:t>
      </w:r>
      <w:r w:rsidR="000C0546">
        <w:rPr>
          <w:rFonts w:ascii="Arial" w:hAnsi="Arial" w:cs="Arial"/>
        </w:rPr>
        <w:t>Ley de Transparencia y Acceso a la Información Pública para el Estado de Quintana Roo.</w:t>
      </w:r>
    </w:p>
    <w:p w14:paraId="4FDCC7C6" w14:textId="61999F2F" w:rsidR="0003622F" w:rsidRPr="000C0546" w:rsidRDefault="00D82F1F" w:rsidP="009179DA">
      <w:pPr>
        <w:numPr>
          <w:ilvl w:val="0"/>
          <w:numId w:val="13"/>
        </w:numPr>
        <w:spacing w:line="276" w:lineRule="auto"/>
        <w:contextualSpacing/>
        <w:jc w:val="both"/>
        <w:rPr>
          <w:rFonts w:ascii="Arial" w:hAnsi="Arial" w:cs="Arial"/>
          <w:szCs w:val="20"/>
        </w:rPr>
      </w:pPr>
      <w:r w:rsidRPr="000C0546">
        <w:rPr>
          <w:rFonts w:ascii="Arial" w:hAnsi="Arial" w:cs="Arial"/>
          <w:szCs w:val="20"/>
        </w:rPr>
        <w:t xml:space="preserve">Vigilar el cumplimiento de </w:t>
      </w:r>
      <w:r w:rsidR="000C0546">
        <w:rPr>
          <w:rFonts w:ascii="Arial" w:hAnsi="Arial" w:cs="Arial"/>
        </w:rPr>
        <w:t>Ley de Transparencia y Acceso a la Información Pública para el Estado de Quintana Roo.</w:t>
      </w:r>
    </w:p>
    <w:p w14:paraId="63E8D08B" w14:textId="77777777" w:rsidR="0003622F" w:rsidRPr="0003622F" w:rsidRDefault="0003622F" w:rsidP="0003622F">
      <w:pPr>
        <w:numPr>
          <w:ilvl w:val="0"/>
          <w:numId w:val="13"/>
        </w:numPr>
        <w:spacing w:line="276" w:lineRule="auto"/>
        <w:contextualSpacing/>
        <w:jc w:val="both"/>
        <w:rPr>
          <w:rFonts w:ascii="Arial" w:hAnsi="Arial" w:cs="Arial"/>
          <w:szCs w:val="20"/>
        </w:rPr>
      </w:pPr>
      <w:r w:rsidRPr="0003622F">
        <w:rPr>
          <w:rFonts w:ascii="Arial" w:hAnsi="Arial" w:cs="Arial"/>
          <w:szCs w:val="20"/>
        </w:rPr>
        <w:t>Conocer y resolver los Recursos de Revisión que se interpongan contra los actos y resoluciones dictados por los sujetos obligados con relación a las solicitudes de acceso a la información.</w:t>
      </w:r>
    </w:p>
    <w:p w14:paraId="7AE9AAE0" w14:textId="77777777" w:rsidR="0003622F" w:rsidRPr="0003622F" w:rsidRDefault="0003622F" w:rsidP="0003622F">
      <w:pPr>
        <w:numPr>
          <w:ilvl w:val="0"/>
          <w:numId w:val="13"/>
        </w:numPr>
        <w:spacing w:line="276" w:lineRule="auto"/>
        <w:contextualSpacing/>
        <w:jc w:val="both"/>
        <w:rPr>
          <w:rFonts w:ascii="Arial" w:hAnsi="Arial" w:cs="Arial"/>
          <w:szCs w:val="20"/>
        </w:rPr>
      </w:pPr>
      <w:r w:rsidRPr="0003622F">
        <w:rPr>
          <w:rFonts w:ascii="Arial" w:hAnsi="Arial" w:cs="Arial"/>
          <w:szCs w:val="20"/>
        </w:rPr>
        <w:t>Tener acceso a la información clasificada objeto de los Recursos de Revisión a fin de determinar la procedencia de su clasificación.</w:t>
      </w:r>
    </w:p>
    <w:p w14:paraId="78745ABC" w14:textId="77777777" w:rsidR="003A3F73" w:rsidRPr="003A3F73" w:rsidRDefault="003A3F73" w:rsidP="003A3F73">
      <w:pPr>
        <w:numPr>
          <w:ilvl w:val="0"/>
          <w:numId w:val="13"/>
        </w:numPr>
        <w:spacing w:line="276" w:lineRule="auto"/>
        <w:contextualSpacing/>
        <w:jc w:val="both"/>
        <w:rPr>
          <w:rFonts w:ascii="Arial" w:hAnsi="Arial" w:cs="Arial"/>
          <w:szCs w:val="20"/>
        </w:rPr>
      </w:pPr>
      <w:r w:rsidRPr="003A3F73">
        <w:rPr>
          <w:rFonts w:ascii="Arial" w:eastAsiaTheme="minorHAnsi" w:hAnsi="Arial" w:cs="Arial"/>
          <w:color w:val="000000"/>
          <w:szCs w:val="20"/>
          <w:lang w:eastAsia="en-US"/>
        </w:rPr>
        <w:t>Imponer las medidas de apremio para asegurar el cumplimiento de sus determinaciones.</w:t>
      </w:r>
    </w:p>
    <w:p w14:paraId="34A90ED6" w14:textId="77777777" w:rsidR="003A3F73" w:rsidRPr="003A3F73" w:rsidRDefault="003A3F73" w:rsidP="003A3F73">
      <w:pPr>
        <w:numPr>
          <w:ilvl w:val="0"/>
          <w:numId w:val="13"/>
        </w:numPr>
        <w:spacing w:line="276" w:lineRule="auto"/>
        <w:contextualSpacing/>
        <w:jc w:val="both"/>
        <w:rPr>
          <w:rFonts w:ascii="Arial" w:hAnsi="Arial" w:cs="Arial"/>
          <w:szCs w:val="20"/>
        </w:rPr>
      </w:pPr>
      <w:r w:rsidRPr="003A3F73">
        <w:rPr>
          <w:rFonts w:ascii="Arial" w:eastAsiaTheme="minorHAnsi" w:hAnsi="Arial" w:cs="Arial"/>
          <w:color w:val="000000"/>
          <w:szCs w:val="20"/>
          <w:lang w:eastAsia="en-US"/>
        </w:rPr>
        <w:t>Presentar petición fundada y remitir al Instituto Nacional, los recursos de revisión que sean de competencia estatal, pero que por su interés y trascendencia ameriten que los conozca dicha autoridad nacional en ejercicio de su facultad de atracción;</w:t>
      </w:r>
    </w:p>
    <w:p w14:paraId="40799684" w14:textId="77777777" w:rsidR="003A3F73" w:rsidRPr="003A3F73" w:rsidRDefault="003A3F73" w:rsidP="003A3F73">
      <w:pPr>
        <w:numPr>
          <w:ilvl w:val="0"/>
          <w:numId w:val="13"/>
        </w:numPr>
        <w:spacing w:line="276" w:lineRule="auto"/>
        <w:contextualSpacing/>
        <w:jc w:val="both"/>
        <w:rPr>
          <w:rFonts w:ascii="Arial" w:hAnsi="Arial" w:cs="Arial"/>
          <w:szCs w:val="20"/>
        </w:rPr>
      </w:pPr>
      <w:r w:rsidRPr="003A3F73">
        <w:rPr>
          <w:rFonts w:ascii="Arial" w:hAnsi="Arial" w:cs="Arial"/>
          <w:szCs w:val="20"/>
        </w:rPr>
        <w:t>Promover, difundir y garantizar el ejercicio del derecho de acceso a la información y la protección de datos personales.</w:t>
      </w:r>
    </w:p>
    <w:p w14:paraId="666E469A" w14:textId="77777777" w:rsidR="00AA1AE5" w:rsidRPr="00655F3C" w:rsidRDefault="00AA1AE5" w:rsidP="00AA1AE5">
      <w:pPr>
        <w:pStyle w:val="Prrafodelista"/>
        <w:numPr>
          <w:ilvl w:val="0"/>
          <w:numId w:val="13"/>
        </w:numPr>
        <w:spacing w:line="276" w:lineRule="auto"/>
        <w:jc w:val="both"/>
        <w:rPr>
          <w:rFonts w:ascii="Arial" w:hAnsi="Arial" w:cs="Arial"/>
          <w:szCs w:val="20"/>
        </w:rPr>
      </w:pPr>
      <w:r w:rsidRPr="00655F3C">
        <w:rPr>
          <w:rFonts w:ascii="Arial" w:eastAsiaTheme="minorHAnsi" w:hAnsi="Arial" w:cs="Arial"/>
          <w:color w:val="000000"/>
          <w:szCs w:val="20"/>
          <w:lang w:eastAsia="en-US"/>
        </w:rPr>
        <w:t>Promover la cultura de la transparencia en el sistema educativo.</w:t>
      </w:r>
    </w:p>
    <w:p w14:paraId="5E18EF23" w14:textId="77777777" w:rsidR="00AA1AE5" w:rsidRPr="00655F3C" w:rsidRDefault="00AA1AE5" w:rsidP="00AA1AE5">
      <w:pPr>
        <w:pStyle w:val="Prrafodelista"/>
        <w:numPr>
          <w:ilvl w:val="0"/>
          <w:numId w:val="13"/>
        </w:numPr>
        <w:spacing w:line="276" w:lineRule="auto"/>
        <w:jc w:val="both"/>
        <w:rPr>
          <w:rFonts w:ascii="Arial" w:hAnsi="Arial" w:cs="Arial"/>
          <w:szCs w:val="20"/>
        </w:rPr>
      </w:pPr>
      <w:r w:rsidRPr="00655F3C">
        <w:rPr>
          <w:rFonts w:ascii="Arial" w:eastAsiaTheme="minorHAnsi" w:hAnsi="Arial" w:cs="Arial"/>
          <w:color w:val="000000"/>
          <w:szCs w:val="20"/>
          <w:lang w:eastAsia="en-US"/>
        </w:rPr>
        <w:t xml:space="preserve">Capacitar a los servidores públicos y brindar apoyo técnico a los sujetos obligados en materia de transparencia y acceso a la información, y la protección de datos personales; </w:t>
      </w:r>
    </w:p>
    <w:p w14:paraId="3CAA287B" w14:textId="77777777" w:rsidR="00AA1AE5" w:rsidRPr="00655F3C" w:rsidRDefault="00AA1AE5" w:rsidP="00AA1AE5">
      <w:pPr>
        <w:pStyle w:val="Prrafodelista"/>
        <w:numPr>
          <w:ilvl w:val="0"/>
          <w:numId w:val="13"/>
        </w:numPr>
        <w:spacing w:line="276" w:lineRule="auto"/>
        <w:jc w:val="both"/>
        <w:rPr>
          <w:rFonts w:ascii="Arial" w:hAnsi="Arial" w:cs="Arial"/>
          <w:szCs w:val="20"/>
        </w:rPr>
      </w:pPr>
      <w:r w:rsidRPr="00655F3C">
        <w:rPr>
          <w:rFonts w:ascii="Arial" w:eastAsiaTheme="minorHAnsi" w:hAnsi="Arial" w:cs="Arial"/>
          <w:color w:val="000000"/>
          <w:szCs w:val="20"/>
          <w:lang w:eastAsia="en-US"/>
        </w:rPr>
        <w:lastRenderedPageBreak/>
        <w:t>Establecer políticas de transparencia proactiva atendiendo a las condiciones económicas, sociales y culturales;</w:t>
      </w:r>
    </w:p>
    <w:p w14:paraId="441283A7" w14:textId="77777777" w:rsidR="00D82819" w:rsidRDefault="00D82819" w:rsidP="00E03E32">
      <w:pPr>
        <w:spacing w:line="276" w:lineRule="auto"/>
        <w:jc w:val="both"/>
        <w:rPr>
          <w:rFonts w:ascii="Arial" w:hAnsi="Arial"/>
          <w:b/>
        </w:rPr>
      </w:pPr>
    </w:p>
    <w:p w14:paraId="3B52BD07" w14:textId="77777777" w:rsidR="00D82819" w:rsidRDefault="00D82819" w:rsidP="00E03E32">
      <w:pPr>
        <w:spacing w:line="276" w:lineRule="auto"/>
        <w:jc w:val="both"/>
        <w:rPr>
          <w:rFonts w:ascii="Arial" w:hAnsi="Arial"/>
          <w:b/>
        </w:rPr>
      </w:pPr>
    </w:p>
    <w:p w14:paraId="118C1116" w14:textId="768DDC8B" w:rsidR="007F3D53" w:rsidRPr="00E03E32" w:rsidRDefault="007F3D53" w:rsidP="00E03E32">
      <w:pPr>
        <w:spacing w:line="276" w:lineRule="auto"/>
        <w:jc w:val="both"/>
        <w:rPr>
          <w:rFonts w:ascii="Arial" w:hAnsi="Arial"/>
          <w:b/>
        </w:rPr>
      </w:pPr>
      <w:r w:rsidRPr="00E03E32">
        <w:rPr>
          <w:rFonts w:ascii="Arial" w:hAnsi="Arial"/>
          <w:b/>
        </w:rPr>
        <w:t>DE SU INTEGRACIÓN</w:t>
      </w:r>
    </w:p>
    <w:p w14:paraId="4578299F" w14:textId="77777777" w:rsidR="00E03E32" w:rsidRPr="00E03E32" w:rsidRDefault="00E03E32" w:rsidP="00E0768F">
      <w:pPr>
        <w:jc w:val="both"/>
        <w:rPr>
          <w:rFonts w:ascii="Arial" w:hAnsi="Arial"/>
        </w:rPr>
      </w:pPr>
    </w:p>
    <w:p w14:paraId="5A3E3DE9" w14:textId="77777777" w:rsidR="002438BD" w:rsidRPr="002438BD" w:rsidRDefault="002438BD" w:rsidP="002438BD">
      <w:pPr>
        <w:spacing w:line="276" w:lineRule="auto"/>
        <w:jc w:val="both"/>
        <w:rPr>
          <w:rFonts w:ascii="Arial" w:hAnsi="Arial" w:cs="Arial"/>
        </w:rPr>
      </w:pPr>
      <w:r w:rsidRPr="002438BD">
        <w:rPr>
          <w:rFonts w:ascii="Arial" w:hAnsi="Arial" w:cs="Arial"/>
        </w:rPr>
        <w:t xml:space="preserve">Para el despacho, estudio y planeación de los asuntos que correspondan, el </w:t>
      </w:r>
      <w:r w:rsidRPr="002438BD">
        <w:rPr>
          <w:rFonts w:ascii="Arial" w:hAnsi="Arial" w:cs="Arial"/>
          <w:b/>
          <w:bCs/>
        </w:rPr>
        <w:t>Instituto de Acceso a la Información y Protección de Datos Personales de Quintana Roo</w:t>
      </w:r>
      <w:r w:rsidRPr="002438BD">
        <w:rPr>
          <w:rFonts w:ascii="Arial" w:hAnsi="Arial" w:cs="Arial"/>
        </w:rPr>
        <w:t xml:space="preserve">, contará con los siguientes órganos:  </w:t>
      </w:r>
    </w:p>
    <w:p w14:paraId="39F0DDC5" w14:textId="0BE0DCAC" w:rsidR="00657417" w:rsidRDefault="00657417" w:rsidP="001D68A6">
      <w:pPr>
        <w:spacing w:line="276" w:lineRule="auto"/>
        <w:jc w:val="both"/>
        <w:rPr>
          <w:rFonts w:ascii="Arial" w:hAnsi="Arial" w:cs="Arial"/>
        </w:rPr>
      </w:pPr>
    </w:p>
    <w:p w14:paraId="59FAE17F"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Pleno;</w:t>
      </w:r>
    </w:p>
    <w:p w14:paraId="08A9BAED"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El Comisionado Presidente;</w:t>
      </w:r>
    </w:p>
    <w:p w14:paraId="7274DE40"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Los Comisionados;</w:t>
      </w:r>
    </w:p>
    <w:p w14:paraId="087F3A62"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Comisiones y Comités;</w:t>
      </w:r>
    </w:p>
    <w:p w14:paraId="13EF8245"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Secretaría Ejecutiva;</w:t>
      </w:r>
    </w:p>
    <w:p w14:paraId="66653B2D"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Coordinación Jurídica y de Datos Personales;</w:t>
      </w:r>
    </w:p>
    <w:p w14:paraId="549C0A55"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Coordinación Administrativa;</w:t>
      </w:r>
    </w:p>
    <w:p w14:paraId="014548AF"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 xml:space="preserve">Coordinación de Capacitación; </w:t>
      </w:r>
    </w:p>
    <w:p w14:paraId="5A0200F8"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 xml:space="preserve">Coordinación de Vinculación; </w:t>
      </w:r>
    </w:p>
    <w:p w14:paraId="19EC080F" w14:textId="77777777" w:rsidR="00B57FF5" w:rsidRPr="00B57FF5" w:rsidRDefault="00B57FF5" w:rsidP="00B57FF5">
      <w:pPr>
        <w:numPr>
          <w:ilvl w:val="0"/>
          <w:numId w:val="14"/>
        </w:numPr>
        <w:spacing w:line="276" w:lineRule="auto"/>
        <w:ind w:left="709" w:hanging="142"/>
        <w:contextualSpacing/>
        <w:jc w:val="both"/>
        <w:rPr>
          <w:rFonts w:ascii="Arial" w:hAnsi="Arial" w:cs="Arial"/>
        </w:rPr>
      </w:pPr>
      <w:r w:rsidRPr="00B57FF5">
        <w:rPr>
          <w:rFonts w:ascii="Arial" w:hAnsi="Arial" w:cs="Arial"/>
        </w:rPr>
        <w:t xml:space="preserve">Direcciones: </w:t>
      </w:r>
    </w:p>
    <w:p w14:paraId="0EFDDDDA"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Ponencia;</w:t>
      </w:r>
    </w:p>
    <w:p w14:paraId="3C34A2BA"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Medios de Impugnación;</w:t>
      </w:r>
    </w:p>
    <w:p w14:paraId="4A538BB1"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 xml:space="preserve">Jurídica Consultiva; </w:t>
      </w:r>
    </w:p>
    <w:p w14:paraId="0222E224"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Consultiva y de lo Contencioso;</w:t>
      </w:r>
    </w:p>
    <w:p w14:paraId="0F4A3495"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Protección de Datos Personales;</w:t>
      </w:r>
    </w:p>
    <w:p w14:paraId="2CCFDFC5"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Recursos Financieros, Presupuesto y Contabilidad;</w:t>
      </w:r>
    </w:p>
    <w:p w14:paraId="3DC8566B"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Recursos Humanos, Materiales y Servicios Generales;</w:t>
      </w:r>
    </w:p>
    <w:p w14:paraId="49A81625"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Administración;</w:t>
      </w:r>
    </w:p>
    <w:p w14:paraId="50666A06"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Planeación;</w:t>
      </w:r>
    </w:p>
    <w:p w14:paraId="03FE4731"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Cultura para la Transparencia;</w:t>
      </w:r>
    </w:p>
    <w:p w14:paraId="4CFDE290"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Verificación de Obligaciones de Transparencia y Denuncias;</w:t>
      </w:r>
    </w:p>
    <w:p w14:paraId="42E99E41"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Comunicación Social y Relaciones Públicas;</w:t>
      </w:r>
    </w:p>
    <w:p w14:paraId="17690BB1" w14:textId="77777777" w:rsidR="00B57FF5" w:rsidRPr="00B57FF5" w:rsidRDefault="00B57FF5" w:rsidP="00B57FF5">
      <w:pPr>
        <w:numPr>
          <w:ilvl w:val="0"/>
          <w:numId w:val="15"/>
        </w:numPr>
        <w:spacing w:line="276" w:lineRule="auto"/>
        <w:ind w:left="1134" w:hanging="283"/>
        <w:contextualSpacing/>
        <w:jc w:val="both"/>
        <w:rPr>
          <w:rFonts w:ascii="Arial" w:hAnsi="Arial" w:cs="Arial"/>
        </w:rPr>
      </w:pPr>
      <w:r w:rsidRPr="00B57FF5">
        <w:rPr>
          <w:rFonts w:ascii="Arial" w:hAnsi="Arial" w:cs="Arial"/>
        </w:rPr>
        <w:t>De Tecnologías de la Información;</w:t>
      </w:r>
    </w:p>
    <w:p w14:paraId="1627030F" w14:textId="08D76F1D" w:rsidR="00A724F7" w:rsidRDefault="00A724F7" w:rsidP="001D68A6">
      <w:pPr>
        <w:spacing w:line="276" w:lineRule="auto"/>
        <w:jc w:val="both"/>
        <w:rPr>
          <w:rFonts w:ascii="Arial" w:hAnsi="Arial"/>
          <w:b/>
        </w:rPr>
      </w:pPr>
    </w:p>
    <w:p w14:paraId="68789872" w14:textId="246B7B94" w:rsidR="00354B93" w:rsidRDefault="000435DA" w:rsidP="0078651E">
      <w:pPr>
        <w:pStyle w:val="Ttulo1"/>
        <w:numPr>
          <w:ilvl w:val="0"/>
          <w:numId w:val="9"/>
        </w:numPr>
        <w:spacing w:line="276" w:lineRule="auto"/>
        <w:ind w:left="426" w:hanging="142"/>
      </w:pPr>
      <w:bookmarkStart w:id="12" w:name="_Toc51083010"/>
      <w:bookmarkEnd w:id="10"/>
      <w:bookmarkEnd w:id="11"/>
      <w:r w:rsidRPr="000435DA">
        <w:lastRenderedPageBreak/>
        <w:t>ASPECTOS GENERALES DE AUDITORÍA</w:t>
      </w:r>
      <w:bookmarkEnd w:id="12"/>
    </w:p>
    <w:p w14:paraId="7A5E5FD1" w14:textId="77777777" w:rsidR="00A759A5" w:rsidRDefault="00A759A5" w:rsidP="00EE05AC"/>
    <w:p w14:paraId="5DE773D1" w14:textId="43488B0F" w:rsidR="00EE05AC" w:rsidRPr="00EE05AC" w:rsidRDefault="00EE05AC" w:rsidP="0078651E">
      <w:pPr>
        <w:pStyle w:val="Prrafodelista"/>
        <w:numPr>
          <w:ilvl w:val="0"/>
          <w:numId w:val="1"/>
        </w:numPr>
        <w:spacing w:line="276" w:lineRule="auto"/>
        <w:ind w:left="851" w:hanging="425"/>
        <w:outlineLvl w:val="1"/>
        <w:rPr>
          <w:rFonts w:ascii="Arial" w:hAnsi="Arial" w:cs="Arial"/>
          <w:b/>
        </w:rPr>
      </w:pPr>
      <w:bookmarkStart w:id="13" w:name="_Toc51083011"/>
      <w:r w:rsidRPr="00EE05AC">
        <w:rPr>
          <w:rFonts w:ascii="Arial" w:hAnsi="Arial" w:cs="Arial"/>
          <w:b/>
        </w:rPr>
        <w:t xml:space="preserve">Título de la </w:t>
      </w:r>
      <w:r w:rsidR="00CA3406" w:rsidRPr="00EE05AC">
        <w:rPr>
          <w:rFonts w:ascii="Arial" w:hAnsi="Arial" w:cs="Arial"/>
          <w:b/>
        </w:rPr>
        <w:t>Auditoría</w:t>
      </w:r>
      <w:bookmarkEnd w:id="13"/>
    </w:p>
    <w:p w14:paraId="13530A72" w14:textId="77777777" w:rsidR="008E31BA" w:rsidRPr="00C91950" w:rsidRDefault="008E31BA" w:rsidP="00D6170F">
      <w:pPr>
        <w:spacing w:line="276" w:lineRule="auto"/>
        <w:jc w:val="both"/>
        <w:rPr>
          <w:rFonts w:ascii="Arial" w:hAnsi="Arial" w:cs="Arial"/>
          <w:bCs/>
        </w:rPr>
      </w:pPr>
    </w:p>
    <w:p w14:paraId="73C47201" w14:textId="7DAD936B" w:rsidR="00EE05AC" w:rsidRDefault="00EE05AC" w:rsidP="00D6170F">
      <w:pPr>
        <w:spacing w:line="276" w:lineRule="auto"/>
        <w:jc w:val="both"/>
        <w:rPr>
          <w:rFonts w:ascii="Arial" w:hAnsi="Arial"/>
        </w:rPr>
      </w:pPr>
      <w:r w:rsidRPr="00EE05AC">
        <w:rPr>
          <w:rFonts w:ascii="Arial" w:hAnsi="Arial"/>
        </w:rPr>
        <w:t>La auditoría que se real</w:t>
      </w:r>
      <w:r w:rsidR="004A7154">
        <w:rPr>
          <w:rFonts w:ascii="Arial" w:hAnsi="Arial"/>
        </w:rPr>
        <w:t>izó en materia de desempeño al</w:t>
      </w:r>
      <w:r w:rsidR="00255EAA">
        <w:rPr>
          <w:rFonts w:ascii="Arial" w:hAnsi="Arial"/>
        </w:rPr>
        <w:t xml:space="preserve"> </w:t>
      </w:r>
      <w:r w:rsidR="00255EAA" w:rsidRPr="00255EAA">
        <w:rPr>
          <w:rFonts w:ascii="Arial" w:hAnsi="Arial"/>
          <w:b/>
        </w:rPr>
        <w:t>Instituto de Acceso a la Información y Protección de Datos Personales de</w:t>
      </w:r>
      <w:r w:rsidR="00C01EF8" w:rsidRPr="00255EAA">
        <w:rPr>
          <w:rFonts w:ascii="Arial" w:hAnsi="Arial"/>
          <w:b/>
        </w:rPr>
        <w:t xml:space="preserve"> Quintana Roo</w:t>
      </w:r>
      <w:r w:rsidRPr="00EE05AC">
        <w:rPr>
          <w:rFonts w:ascii="Arial" w:hAnsi="Arial"/>
        </w:rPr>
        <w:t>, de manera especial y enunciativa</w:t>
      </w:r>
      <w:r>
        <w:rPr>
          <w:rFonts w:ascii="Arial" w:hAnsi="Arial"/>
        </w:rPr>
        <w:t xml:space="preserve"> </w:t>
      </w:r>
      <w:r w:rsidRPr="00EE05AC">
        <w:rPr>
          <w:rFonts w:ascii="Arial" w:hAnsi="Arial"/>
        </w:rPr>
        <w:t>mas no limitativa, fue la siguiente:</w:t>
      </w:r>
    </w:p>
    <w:p w14:paraId="0FC61531" w14:textId="7A4B5C47" w:rsidR="00D6170F" w:rsidRDefault="00D6170F" w:rsidP="00D6170F">
      <w:pPr>
        <w:spacing w:line="276" w:lineRule="auto"/>
        <w:rPr>
          <w:rFonts w:ascii="Arial" w:hAnsi="Arial" w:cs="Arial"/>
          <w:bCs/>
          <w:lang w:val="es-ES"/>
        </w:rPr>
      </w:pPr>
    </w:p>
    <w:p w14:paraId="3D27A4C9" w14:textId="647ACDBD" w:rsidR="00D6170F" w:rsidRDefault="005C48BC" w:rsidP="005C48BC">
      <w:pPr>
        <w:spacing w:line="276" w:lineRule="auto"/>
        <w:jc w:val="both"/>
        <w:rPr>
          <w:rFonts w:ascii="Arial" w:hAnsi="Arial" w:cs="Arial"/>
          <w:b/>
        </w:rPr>
      </w:pPr>
      <w:r w:rsidRPr="00874BB1">
        <w:rPr>
          <w:rFonts w:ascii="Arial" w:hAnsi="Arial" w:cs="Arial"/>
          <w:b/>
          <w:bCs/>
        </w:rPr>
        <w:t>19</w:t>
      </w:r>
      <w:r w:rsidRPr="00874BB1">
        <w:rPr>
          <w:rFonts w:ascii="Arial" w:hAnsi="Arial" w:cs="Arial"/>
          <w:bCs/>
        </w:rPr>
        <w:t>-</w:t>
      </w:r>
      <w:r w:rsidRPr="00874BB1">
        <w:rPr>
          <w:rFonts w:ascii="Arial" w:hAnsi="Arial" w:cs="Arial"/>
          <w:b/>
        </w:rPr>
        <w:t>AEMD-C-GOB-066-137</w:t>
      </w:r>
      <w:r w:rsidRPr="00874BB1">
        <w:rPr>
          <w:rFonts w:ascii="Arial" w:hAnsi="Arial" w:cs="Arial"/>
          <w:bCs/>
        </w:rPr>
        <w:t xml:space="preserve"> </w:t>
      </w:r>
      <w:r w:rsidRPr="00874BB1">
        <w:rPr>
          <w:rFonts w:ascii="Arial" w:hAnsi="Arial" w:cs="Arial"/>
          <w:b/>
          <w:bCs/>
        </w:rPr>
        <w:t>“</w:t>
      </w:r>
      <w:r w:rsidRPr="005C48BC">
        <w:rPr>
          <w:rFonts w:ascii="Arial" w:hAnsi="Arial" w:cs="Arial"/>
        </w:rPr>
        <w:t>Auditoría de Desempeño a los Programas Presupuestarios, análisis de Matriz de Indicadores de Resultados</w:t>
      </w:r>
      <w:r w:rsidR="000C0546">
        <w:rPr>
          <w:rFonts w:ascii="Arial" w:hAnsi="Arial" w:cs="Arial"/>
        </w:rPr>
        <w:t xml:space="preserve"> y </w:t>
      </w:r>
      <w:r w:rsidRPr="005C48BC">
        <w:rPr>
          <w:rFonts w:ascii="Arial" w:hAnsi="Arial" w:cs="Arial"/>
        </w:rPr>
        <w:t>revisión del cumplimiento de los objetivos, metas e indicadores</w:t>
      </w:r>
      <w:r>
        <w:rPr>
          <w:rFonts w:ascii="Arial" w:hAnsi="Arial" w:cs="Arial"/>
          <w:b/>
        </w:rPr>
        <w:t xml:space="preserve"> del Instituto de Acceso a la Información y Protección de Datos Personales de Quintana Roo”.</w:t>
      </w:r>
    </w:p>
    <w:p w14:paraId="2D761596" w14:textId="0397FC4E" w:rsidR="005C48BC" w:rsidRDefault="005C48BC" w:rsidP="00D6170F">
      <w:pPr>
        <w:spacing w:line="276" w:lineRule="auto"/>
        <w:rPr>
          <w:rFonts w:ascii="Arial" w:hAnsi="Arial"/>
        </w:rPr>
      </w:pPr>
    </w:p>
    <w:p w14:paraId="34E97E66" w14:textId="77777777" w:rsidR="008E31BA" w:rsidRPr="00EE05AC" w:rsidRDefault="00EE05AC" w:rsidP="0078651E">
      <w:pPr>
        <w:pStyle w:val="Prrafodelista"/>
        <w:numPr>
          <w:ilvl w:val="0"/>
          <w:numId w:val="1"/>
        </w:numPr>
        <w:ind w:left="851" w:hanging="425"/>
        <w:outlineLvl w:val="1"/>
        <w:rPr>
          <w:rFonts w:ascii="Arial" w:hAnsi="Arial" w:cs="Arial"/>
          <w:b/>
        </w:rPr>
      </w:pPr>
      <w:bookmarkStart w:id="14" w:name="_Toc522715967"/>
      <w:bookmarkStart w:id="15" w:name="_Toc51083012"/>
      <w:r w:rsidRPr="00EE05AC">
        <w:rPr>
          <w:rFonts w:ascii="Arial" w:hAnsi="Arial" w:cs="Arial"/>
          <w:b/>
        </w:rPr>
        <w:t>Objetivo</w:t>
      </w:r>
      <w:bookmarkEnd w:id="14"/>
      <w:bookmarkEnd w:id="15"/>
    </w:p>
    <w:p w14:paraId="7CA2DE8D" w14:textId="77777777" w:rsidR="000B1CFA" w:rsidRDefault="000B1CFA" w:rsidP="007A5C39">
      <w:pPr>
        <w:spacing w:line="276" w:lineRule="auto"/>
        <w:jc w:val="both"/>
        <w:rPr>
          <w:rFonts w:ascii="Arial" w:hAnsi="Arial"/>
        </w:rPr>
      </w:pPr>
    </w:p>
    <w:p w14:paraId="7FB1633A" w14:textId="77777777" w:rsidR="00DD27E6" w:rsidRPr="00DD27E6" w:rsidRDefault="00DD27E6" w:rsidP="00DD27E6">
      <w:pPr>
        <w:spacing w:line="276" w:lineRule="auto"/>
        <w:jc w:val="both"/>
        <w:rPr>
          <w:rFonts w:ascii="Arial" w:hAnsi="Arial"/>
        </w:rPr>
      </w:pPr>
      <w:r w:rsidRPr="00DD27E6">
        <w:rPr>
          <w:rFonts w:ascii="Arial" w:hAnsi="Arial"/>
        </w:rPr>
        <w:t xml:space="preserve">Fiscalizar que las Matrices de Indicadores para Resultados implementadas por el </w:t>
      </w:r>
      <w:r w:rsidRPr="00DD27E6">
        <w:rPr>
          <w:rFonts w:ascii="Arial" w:hAnsi="Arial" w:cs="Arial"/>
          <w:b/>
          <w:bCs/>
        </w:rPr>
        <w:t>Instituto de Acceso a la Información y Protección de Datos Personales de Quintana Roo</w:t>
      </w:r>
      <w:r w:rsidRPr="00DD27E6">
        <w:rPr>
          <w:rFonts w:ascii="Arial" w:hAnsi="Arial"/>
        </w:rPr>
        <w:t>, contribuyan al cumplimiento de los objetivos, metas e indicadores establecidos en sus Programas Presupuestarios, de acuerdo con la Metodología del Marco Lógico y normativa aplicable.</w:t>
      </w:r>
    </w:p>
    <w:p w14:paraId="157F969C" w14:textId="77777777" w:rsidR="006E18C9" w:rsidRDefault="006E18C9" w:rsidP="007A5C39">
      <w:pPr>
        <w:spacing w:line="276" w:lineRule="auto"/>
        <w:jc w:val="both"/>
        <w:rPr>
          <w:rFonts w:ascii="Arial" w:hAnsi="Arial" w:cs="Arial"/>
          <w:b/>
          <w:szCs w:val="20"/>
        </w:rPr>
      </w:pPr>
    </w:p>
    <w:p w14:paraId="707F25B1" w14:textId="55493018" w:rsidR="001631A0" w:rsidRPr="00EE05AC" w:rsidRDefault="00CA3406" w:rsidP="0078651E">
      <w:pPr>
        <w:pStyle w:val="Prrafodelista"/>
        <w:numPr>
          <w:ilvl w:val="0"/>
          <w:numId w:val="1"/>
        </w:numPr>
        <w:ind w:left="851" w:hanging="284"/>
        <w:outlineLvl w:val="1"/>
        <w:rPr>
          <w:rFonts w:ascii="Arial" w:hAnsi="Arial" w:cs="Arial"/>
          <w:b/>
        </w:rPr>
      </w:pPr>
      <w:bookmarkStart w:id="16" w:name="_Toc522715968"/>
      <w:r>
        <w:rPr>
          <w:rFonts w:ascii="Arial" w:hAnsi="Arial" w:cs="Arial"/>
          <w:b/>
        </w:rPr>
        <w:t xml:space="preserve"> </w:t>
      </w:r>
      <w:bookmarkStart w:id="17" w:name="_Toc51083013"/>
      <w:r w:rsidR="00EE05AC" w:rsidRPr="00EE05AC">
        <w:rPr>
          <w:rFonts w:ascii="Arial" w:hAnsi="Arial" w:cs="Arial"/>
          <w:b/>
        </w:rPr>
        <w:t>Alcance</w:t>
      </w:r>
      <w:bookmarkEnd w:id="16"/>
      <w:bookmarkEnd w:id="17"/>
    </w:p>
    <w:p w14:paraId="58D5E48C" w14:textId="77777777" w:rsidR="001631A0" w:rsidRPr="00C91950" w:rsidRDefault="001631A0" w:rsidP="007A5C39">
      <w:pPr>
        <w:pStyle w:val="Prrafodelista"/>
        <w:spacing w:line="276" w:lineRule="auto"/>
        <w:jc w:val="both"/>
        <w:rPr>
          <w:rFonts w:ascii="Arial" w:hAnsi="Arial" w:cs="Arial"/>
          <w:b/>
          <w:szCs w:val="20"/>
        </w:rPr>
      </w:pPr>
    </w:p>
    <w:p w14:paraId="54A7DCD1" w14:textId="79B499F4" w:rsidR="00DD27E6" w:rsidRPr="00DD27E6" w:rsidRDefault="00DD27E6" w:rsidP="00DD27E6">
      <w:pPr>
        <w:spacing w:line="276" w:lineRule="auto"/>
        <w:jc w:val="both"/>
        <w:rPr>
          <w:rFonts w:ascii="Arial" w:hAnsi="Arial"/>
        </w:rPr>
      </w:pPr>
      <w:r w:rsidRPr="00DD27E6">
        <w:rPr>
          <w:rFonts w:ascii="Arial" w:hAnsi="Arial"/>
        </w:rPr>
        <w:t xml:space="preserve">La auditoría se basó en el estudio general de las acciones emprendidas por el </w:t>
      </w:r>
      <w:r w:rsidRPr="00DD27E6">
        <w:rPr>
          <w:rFonts w:ascii="Arial" w:hAnsi="Arial" w:cs="Arial"/>
          <w:b/>
          <w:bCs/>
        </w:rPr>
        <w:t xml:space="preserve">Instituto de Acceso a la Información y Protección de Datos Personales de Quintana Roo </w:t>
      </w:r>
      <w:r w:rsidRPr="00DD27E6">
        <w:rPr>
          <w:rFonts w:ascii="Arial" w:hAnsi="Arial"/>
        </w:rPr>
        <w:t>y la evaluación de los resultados obtenidos durante el ejercicio fiscal 2019, comprendiendo el análisis de la normativa aplicable</w:t>
      </w:r>
      <w:r w:rsidR="000C0546">
        <w:rPr>
          <w:rFonts w:ascii="Arial" w:hAnsi="Arial"/>
        </w:rPr>
        <w:t xml:space="preserve">, </w:t>
      </w:r>
      <w:r w:rsidRPr="00DD27E6">
        <w:rPr>
          <w:rFonts w:ascii="Arial" w:hAnsi="Arial"/>
        </w:rPr>
        <w:t>las Matrices de Indicadores para Resultados y el cumplimiento de objetivos y metas de los programas presupuestarios con base a indicadores.</w:t>
      </w:r>
    </w:p>
    <w:p w14:paraId="5BE9FD00" w14:textId="5BAF3984" w:rsidR="00DD27E6" w:rsidRPr="00E1059F" w:rsidRDefault="00DD27E6" w:rsidP="001F3F32">
      <w:pPr>
        <w:spacing w:line="276" w:lineRule="auto"/>
        <w:jc w:val="both"/>
        <w:rPr>
          <w:rFonts w:ascii="Arial" w:hAnsi="Arial"/>
          <w:highlight w:val="yellow"/>
        </w:rPr>
      </w:pPr>
    </w:p>
    <w:p w14:paraId="612C6999" w14:textId="62E3DAD0" w:rsidR="00F3408E" w:rsidRDefault="00263DB3" w:rsidP="00516362">
      <w:pPr>
        <w:spacing w:line="276" w:lineRule="auto"/>
        <w:jc w:val="both"/>
        <w:rPr>
          <w:rFonts w:ascii="Arial" w:hAnsi="Arial"/>
        </w:rPr>
      </w:pPr>
      <w:r w:rsidRPr="00E323C4">
        <w:rPr>
          <w:rFonts w:ascii="Arial" w:hAnsi="Arial" w:cs="Arial"/>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w:t>
      </w:r>
      <w:r w:rsidR="000C0546">
        <w:rPr>
          <w:rFonts w:ascii="Arial" w:hAnsi="Arial" w:cs="Arial"/>
        </w:rPr>
        <w:t xml:space="preserve">Auditoría Superior del Estado de </w:t>
      </w:r>
      <w:r w:rsidR="000C0546">
        <w:rPr>
          <w:rFonts w:ascii="Arial" w:hAnsi="Arial" w:cs="Arial"/>
        </w:rPr>
        <w:lastRenderedPageBreak/>
        <w:t>Quintana Roo</w:t>
      </w:r>
      <w:r w:rsidRPr="00E323C4">
        <w:rPr>
          <w:rFonts w:ascii="Arial" w:hAnsi="Arial" w:cs="Arial"/>
        </w:rPr>
        <w:t xml:space="preserve">, la Norma Profesional de Auditoría del Sistema Nacional de Fiscalización </w:t>
      </w:r>
      <w:r>
        <w:rPr>
          <w:rFonts w:ascii="Arial" w:hAnsi="Arial" w:cs="Arial"/>
        </w:rPr>
        <w:t>No.</w:t>
      </w:r>
      <w:r w:rsidRPr="00E323C4">
        <w:rPr>
          <w:rFonts w:ascii="Arial" w:hAnsi="Arial" w:cs="Arial"/>
        </w:rPr>
        <w:t xml:space="preserve">300 Principios Fundamentales de la Auditoría de Desempeño, así como lo relativo a los procesos y procedimientos de Auditoría en Materia de Desempeño </w:t>
      </w:r>
      <w:r w:rsidRPr="00263DB3">
        <w:rPr>
          <w:rFonts w:ascii="Arial" w:hAnsi="Arial" w:cs="Arial"/>
          <w:lang w:val="es-ES"/>
        </w:rPr>
        <w:t>del Sistema de Gestión de Calidad de la Auditoría Superior del Estado de Quintana Roo</w:t>
      </w:r>
      <w:r w:rsidRPr="00F3408E">
        <w:rPr>
          <w:rFonts w:ascii="Arial" w:hAnsi="Arial" w:cs="Arial"/>
        </w:rPr>
        <w:t xml:space="preserve">, para asegurar el logro del objetivo y el alcance establecido. Los datos proporcionados por </w:t>
      </w:r>
      <w:r w:rsidR="00DD27E6">
        <w:rPr>
          <w:rFonts w:ascii="Arial" w:hAnsi="Arial"/>
        </w:rPr>
        <w:t>el</w:t>
      </w:r>
      <w:r w:rsidR="00DD27E6" w:rsidRPr="002A5690">
        <w:rPr>
          <w:rFonts w:ascii="Arial" w:hAnsi="Arial"/>
        </w:rPr>
        <w:t xml:space="preserve"> </w:t>
      </w:r>
      <w:r w:rsidR="00DD27E6" w:rsidRPr="00735007">
        <w:rPr>
          <w:rFonts w:ascii="Arial" w:hAnsi="Arial" w:cs="Arial"/>
          <w:b/>
          <w:bCs/>
        </w:rPr>
        <w:t xml:space="preserve">Instituto de Acceso a la Información y Protección de Datos Personales de Quintana </w:t>
      </w:r>
      <w:r w:rsidR="00D86BEC" w:rsidRPr="00735007">
        <w:rPr>
          <w:rFonts w:ascii="Arial" w:hAnsi="Arial" w:cs="Arial"/>
          <w:b/>
          <w:bCs/>
        </w:rPr>
        <w:t>Roo</w:t>
      </w:r>
      <w:r w:rsidR="00D86BEC">
        <w:rPr>
          <w:rFonts w:ascii="Arial" w:hAnsi="Arial" w:cs="Arial"/>
          <w:b/>
          <w:bCs/>
        </w:rPr>
        <w:t xml:space="preserve">, </w:t>
      </w:r>
      <w:r w:rsidR="00D86BEC" w:rsidRPr="00D86BEC">
        <w:rPr>
          <w:rFonts w:ascii="Arial" w:hAnsi="Arial"/>
        </w:rPr>
        <w:t>fueron</w:t>
      </w:r>
      <w:r w:rsidRPr="00F3408E">
        <w:rPr>
          <w:rFonts w:ascii="Arial" w:hAnsi="Arial" w:cs="Arial"/>
        </w:rPr>
        <w:t xml:space="preserve"> en lo general, suficientes, de calidad, confiables y consistentes para aplicar los procedimientos establecidos y para sustentar los hallazgos y la opinión de la Auditoría Superior del Estado sobre </w:t>
      </w:r>
      <w:r w:rsidR="002B2B22">
        <w:rPr>
          <w:rFonts w:ascii="Arial" w:hAnsi="Arial" w:cs="Arial"/>
        </w:rPr>
        <w:t xml:space="preserve">la normativa del ente, </w:t>
      </w:r>
      <w:r w:rsidR="00F3408E">
        <w:rPr>
          <w:rFonts w:ascii="Arial" w:hAnsi="Arial"/>
        </w:rPr>
        <w:t xml:space="preserve">los </w:t>
      </w:r>
      <w:r w:rsidR="00F3408E" w:rsidRPr="00F3408E">
        <w:rPr>
          <w:rFonts w:ascii="Arial" w:hAnsi="Arial"/>
        </w:rPr>
        <w:t>Programas Presupuestarios, análisis de Matriz de Indicadores de Resultados y revisión del cumplimiento de los objetivos, metas e indicadores</w:t>
      </w:r>
      <w:r w:rsidR="00F3408E">
        <w:rPr>
          <w:rFonts w:ascii="Arial" w:hAnsi="Arial"/>
        </w:rPr>
        <w:t xml:space="preserve">. </w:t>
      </w:r>
    </w:p>
    <w:p w14:paraId="7FDC0E0F" w14:textId="77777777" w:rsidR="00263DB3" w:rsidRDefault="00263DB3" w:rsidP="00516362">
      <w:pPr>
        <w:spacing w:line="276" w:lineRule="auto"/>
        <w:jc w:val="both"/>
        <w:rPr>
          <w:rFonts w:ascii="Arial" w:hAnsi="Arial" w:cs="Arial"/>
        </w:rPr>
      </w:pPr>
    </w:p>
    <w:p w14:paraId="0120A2A8" w14:textId="77777777" w:rsidR="00EE05AC" w:rsidRDefault="00EE05AC" w:rsidP="0078651E">
      <w:pPr>
        <w:pStyle w:val="Prrafodelista"/>
        <w:numPr>
          <w:ilvl w:val="0"/>
          <w:numId w:val="1"/>
        </w:numPr>
        <w:spacing w:line="276" w:lineRule="auto"/>
        <w:ind w:left="851"/>
        <w:jc w:val="both"/>
        <w:outlineLvl w:val="1"/>
        <w:rPr>
          <w:rFonts w:ascii="Arial" w:hAnsi="Arial" w:cs="Arial"/>
          <w:b/>
        </w:rPr>
      </w:pPr>
      <w:bookmarkStart w:id="18" w:name="_Toc51083014"/>
      <w:r>
        <w:rPr>
          <w:rFonts w:ascii="Arial" w:hAnsi="Arial" w:cs="Arial"/>
          <w:b/>
        </w:rPr>
        <w:t>Criterios de Selección</w:t>
      </w:r>
      <w:bookmarkEnd w:id="18"/>
      <w:r>
        <w:rPr>
          <w:rFonts w:ascii="Arial" w:hAnsi="Arial" w:cs="Arial"/>
          <w:b/>
        </w:rPr>
        <w:t xml:space="preserve"> </w:t>
      </w:r>
    </w:p>
    <w:p w14:paraId="5C0CC49F" w14:textId="77777777" w:rsidR="00EE05AC" w:rsidRDefault="00EE05AC" w:rsidP="00516362">
      <w:pPr>
        <w:spacing w:line="276" w:lineRule="auto"/>
        <w:jc w:val="both"/>
        <w:rPr>
          <w:rFonts w:ascii="Arial" w:hAnsi="Arial" w:cs="Arial"/>
          <w:b/>
        </w:rPr>
      </w:pPr>
    </w:p>
    <w:p w14:paraId="11A275C4" w14:textId="681A0F6E" w:rsidR="00162DED" w:rsidRDefault="000C0546" w:rsidP="001F3F32">
      <w:pPr>
        <w:spacing w:line="276" w:lineRule="auto"/>
        <w:jc w:val="both"/>
        <w:rPr>
          <w:rFonts w:ascii="Arial" w:hAnsi="Arial"/>
        </w:rPr>
      </w:pPr>
      <w:r w:rsidRPr="000C0546">
        <w:rPr>
          <w:rFonts w:ascii="Arial" w:hAnsi="Arial" w:cs="Arial"/>
          <w:lang w:val="es-ES"/>
        </w:rPr>
        <w:t>Esta auditoría se seleccionó con base en los criterios cuantitativos y cualitativos establecidos en la Normativa Institucional de la Auditoría Superior del Estado de Quintana Roo para la integración del Programa Anual de Auditorías, Visitas e Inspecciones (PAAVI), correspondiente al año 2020, que comprende la Fiscalización Superior de la Cuenta Pública del ejercicio fiscal 2019, considerando la importancia, pertinencia y factibilidad de su realización; así como impulsar la utilización de sistemas de medición del desempeño, fomentar la calidad de los bienes y la prestación de los servicios.</w:t>
      </w:r>
    </w:p>
    <w:p w14:paraId="35CC533C" w14:textId="16094573" w:rsidR="00CA37DF" w:rsidRDefault="00CA37DF" w:rsidP="001F3F32">
      <w:pPr>
        <w:spacing w:line="276" w:lineRule="auto"/>
        <w:jc w:val="both"/>
        <w:rPr>
          <w:rFonts w:ascii="Arial" w:hAnsi="Arial"/>
        </w:rPr>
      </w:pPr>
    </w:p>
    <w:p w14:paraId="4947B8A4" w14:textId="77777777" w:rsidR="00EE05AC" w:rsidRPr="00162DED" w:rsidRDefault="00EE05AC" w:rsidP="0078651E">
      <w:pPr>
        <w:pStyle w:val="Prrafodelista"/>
        <w:numPr>
          <w:ilvl w:val="0"/>
          <w:numId w:val="1"/>
        </w:numPr>
        <w:spacing w:line="276" w:lineRule="auto"/>
        <w:ind w:left="851"/>
        <w:jc w:val="both"/>
        <w:outlineLvl w:val="1"/>
        <w:rPr>
          <w:rFonts w:ascii="Arial" w:hAnsi="Arial" w:cs="Arial"/>
          <w:b/>
        </w:rPr>
      </w:pPr>
      <w:bookmarkStart w:id="19" w:name="_Toc51083015"/>
      <w:r w:rsidRPr="00162DED">
        <w:rPr>
          <w:rFonts w:ascii="Arial" w:hAnsi="Arial" w:cs="Arial"/>
          <w:b/>
        </w:rPr>
        <w:t>Áreas Revisadas</w:t>
      </w:r>
      <w:bookmarkEnd w:id="19"/>
      <w:r w:rsidRPr="00162DED">
        <w:rPr>
          <w:rFonts w:ascii="Arial" w:hAnsi="Arial" w:cs="Arial"/>
          <w:b/>
        </w:rPr>
        <w:t xml:space="preserve"> </w:t>
      </w:r>
    </w:p>
    <w:p w14:paraId="5F833B73" w14:textId="77777777" w:rsidR="00EE05AC" w:rsidRPr="00516362" w:rsidRDefault="00EE05AC" w:rsidP="00516362">
      <w:pPr>
        <w:spacing w:line="276" w:lineRule="auto"/>
        <w:jc w:val="both"/>
        <w:rPr>
          <w:rFonts w:ascii="Arial" w:hAnsi="Arial" w:cs="Arial"/>
        </w:rPr>
      </w:pPr>
    </w:p>
    <w:p w14:paraId="488C9CBE" w14:textId="5FAC5B92" w:rsidR="00F025DB" w:rsidRDefault="00EE05AC" w:rsidP="00516362">
      <w:pPr>
        <w:spacing w:line="276" w:lineRule="auto"/>
        <w:jc w:val="both"/>
        <w:rPr>
          <w:rFonts w:ascii="Arial" w:hAnsi="Arial" w:cs="Arial"/>
          <w:b/>
          <w:bCs/>
        </w:rPr>
      </w:pPr>
      <w:r w:rsidRPr="00516362">
        <w:rPr>
          <w:rFonts w:ascii="Arial" w:hAnsi="Arial" w:cs="Arial"/>
          <w:lang w:val="es-ES"/>
        </w:rPr>
        <w:t>Se revis</w:t>
      </w:r>
      <w:r w:rsidR="007713A3" w:rsidRPr="00516362">
        <w:rPr>
          <w:rFonts w:ascii="Arial" w:hAnsi="Arial" w:cs="Arial"/>
          <w:lang w:val="es-ES"/>
        </w:rPr>
        <w:t xml:space="preserve">aron las </w:t>
      </w:r>
      <w:r w:rsidR="00F025DB" w:rsidRPr="00516362">
        <w:rPr>
          <w:rFonts w:ascii="Arial" w:hAnsi="Arial" w:cs="Arial"/>
          <w:lang w:val="es-ES"/>
        </w:rPr>
        <w:t>área</w:t>
      </w:r>
      <w:r w:rsidR="007713A3" w:rsidRPr="00516362">
        <w:rPr>
          <w:rFonts w:ascii="Arial" w:hAnsi="Arial" w:cs="Arial"/>
          <w:lang w:val="es-ES"/>
        </w:rPr>
        <w:t>s</w:t>
      </w:r>
      <w:r w:rsidR="00B479F7" w:rsidRPr="00516362">
        <w:rPr>
          <w:rFonts w:ascii="Arial" w:hAnsi="Arial" w:cs="Arial"/>
          <w:lang w:val="es-ES"/>
        </w:rPr>
        <w:t xml:space="preserve"> de </w:t>
      </w:r>
      <w:r w:rsidR="008033CD">
        <w:rPr>
          <w:rFonts w:ascii="Arial" w:hAnsi="Arial" w:cs="Arial"/>
          <w:lang w:val="es-ES"/>
        </w:rPr>
        <w:t xml:space="preserve">Dirección de Planeación, Dirección de Administración, Dirección de Vinculación y Unidad de </w:t>
      </w:r>
      <w:r w:rsidR="00A41222" w:rsidRPr="00A41222">
        <w:rPr>
          <w:rFonts w:ascii="Arial" w:hAnsi="Arial" w:cs="Arial"/>
          <w:lang w:val="es-ES"/>
        </w:rPr>
        <w:t>Transparencia</w:t>
      </w:r>
      <w:r w:rsidR="00A41222" w:rsidRPr="00A41222">
        <w:rPr>
          <w:rStyle w:val="Refdecomentario"/>
          <w:rFonts w:ascii="Arial" w:hAnsi="Arial" w:cs="Arial"/>
          <w:sz w:val="24"/>
          <w:szCs w:val="24"/>
        </w:rPr>
        <w:t xml:space="preserve"> del</w:t>
      </w:r>
      <w:r w:rsidR="008033CD" w:rsidRPr="00D13952">
        <w:rPr>
          <w:rFonts w:ascii="Arial" w:hAnsi="Arial" w:cs="Arial"/>
          <w:lang w:val="es-ES"/>
        </w:rPr>
        <w:t xml:space="preserve"> </w:t>
      </w:r>
      <w:r w:rsidR="00D13952" w:rsidRPr="00735007">
        <w:rPr>
          <w:rFonts w:ascii="Arial" w:hAnsi="Arial" w:cs="Arial"/>
          <w:b/>
          <w:bCs/>
        </w:rPr>
        <w:t>Instituto de Acceso a la Información y Protección de Datos Personales de Quintana Roo</w:t>
      </w:r>
      <w:r w:rsidR="00D13952">
        <w:rPr>
          <w:rFonts w:ascii="Arial" w:hAnsi="Arial" w:cs="Arial"/>
          <w:b/>
          <w:bCs/>
        </w:rPr>
        <w:t>.</w:t>
      </w:r>
    </w:p>
    <w:p w14:paraId="7241E4C6" w14:textId="0B671A32" w:rsidR="00254C19" w:rsidRDefault="00254C19" w:rsidP="00516362">
      <w:pPr>
        <w:spacing w:line="276" w:lineRule="auto"/>
        <w:jc w:val="both"/>
        <w:rPr>
          <w:rFonts w:ascii="Arial" w:hAnsi="Arial" w:cs="Arial"/>
          <w:b/>
        </w:rPr>
      </w:pPr>
    </w:p>
    <w:p w14:paraId="0D64AFA2" w14:textId="57466B78" w:rsidR="00D82819" w:rsidRDefault="00D82819" w:rsidP="00516362">
      <w:pPr>
        <w:spacing w:line="276" w:lineRule="auto"/>
        <w:jc w:val="both"/>
        <w:rPr>
          <w:rFonts w:ascii="Arial" w:hAnsi="Arial" w:cs="Arial"/>
          <w:b/>
        </w:rPr>
      </w:pPr>
    </w:p>
    <w:p w14:paraId="4395CB23" w14:textId="798C866E" w:rsidR="00D82819" w:rsidRDefault="00D82819" w:rsidP="00516362">
      <w:pPr>
        <w:spacing w:line="276" w:lineRule="auto"/>
        <w:jc w:val="both"/>
        <w:rPr>
          <w:rFonts w:ascii="Arial" w:hAnsi="Arial" w:cs="Arial"/>
          <w:b/>
        </w:rPr>
      </w:pPr>
    </w:p>
    <w:p w14:paraId="1F0E310F" w14:textId="77777777" w:rsidR="00D82819" w:rsidRPr="00516362" w:rsidRDefault="00D82819" w:rsidP="00516362">
      <w:pPr>
        <w:spacing w:line="276" w:lineRule="auto"/>
        <w:jc w:val="both"/>
        <w:rPr>
          <w:rFonts w:ascii="Arial" w:hAnsi="Arial" w:cs="Arial"/>
          <w:b/>
        </w:rPr>
      </w:pPr>
    </w:p>
    <w:p w14:paraId="64BE23FA" w14:textId="77777777" w:rsidR="00F025DB" w:rsidRPr="00516362" w:rsidRDefault="00F025DB" w:rsidP="0078651E">
      <w:pPr>
        <w:pStyle w:val="Prrafodelista"/>
        <w:numPr>
          <w:ilvl w:val="0"/>
          <w:numId w:val="1"/>
        </w:numPr>
        <w:spacing w:line="276" w:lineRule="auto"/>
        <w:ind w:left="851"/>
        <w:jc w:val="both"/>
        <w:outlineLvl w:val="1"/>
        <w:rPr>
          <w:rFonts w:ascii="Arial" w:hAnsi="Arial" w:cs="Arial"/>
          <w:b/>
        </w:rPr>
      </w:pPr>
      <w:bookmarkStart w:id="20" w:name="_Toc535405160"/>
      <w:bookmarkStart w:id="21" w:name="_Toc51083016"/>
      <w:r w:rsidRPr="00516362">
        <w:rPr>
          <w:rFonts w:ascii="Arial" w:hAnsi="Arial" w:cs="Arial"/>
          <w:b/>
        </w:rPr>
        <w:lastRenderedPageBreak/>
        <w:t>Procedimientos de Auditoría Aplicados</w:t>
      </w:r>
      <w:bookmarkEnd w:id="20"/>
      <w:bookmarkEnd w:id="21"/>
    </w:p>
    <w:p w14:paraId="6A82F2F1" w14:textId="77777777" w:rsidR="00254C19" w:rsidRPr="00516362" w:rsidRDefault="00254C19" w:rsidP="00516362">
      <w:pPr>
        <w:spacing w:line="276" w:lineRule="auto"/>
        <w:jc w:val="both"/>
        <w:rPr>
          <w:rFonts w:ascii="Arial" w:hAnsi="Arial" w:cs="Arial"/>
          <w:bCs/>
        </w:rPr>
      </w:pPr>
    </w:p>
    <w:p w14:paraId="0ADAEB28" w14:textId="4468C6D5" w:rsidR="006531A5" w:rsidRDefault="006531A5" w:rsidP="0078651E">
      <w:pPr>
        <w:pStyle w:val="Prrafodelista"/>
        <w:numPr>
          <w:ilvl w:val="0"/>
          <w:numId w:val="7"/>
        </w:numPr>
        <w:spacing w:line="276" w:lineRule="auto"/>
        <w:ind w:left="284" w:hanging="142"/>
        <w:jc w:val="both"/>
        <w:rPr>
          <w:rFonts w:ascii="Arial" w:hAnsi="Arial" w:cs="Arial"/>
          <w:b/>
        </w:rPr>
      </w:pPr>
      <w:r w:rsidRPr="00516362">
        <w:rPr>
          <w:rFonts w:ascii="Arial" w:hAnsi="Arial" w:cs="Arial"/>
          <w:b/>
        </w:rPr>
        <w:t>Control Interno/ Ambiente De Control</w:t>
      </w:r>
    </w:p>
    <w:p w14:paraId="02A0C402" w14:textId="77777777" w:rsidR="006E18C9" w:rsidRDefault="006E18C9" w:rsidP="006E18C9">
      <w:pPr>
        <w:pStyle w:val="Prrafodelista"/>
        <w:spacing w:line="276" w:lineRule="auto"/>
        <w:ind w:left="284"/>
        <w:jc w:val="both"/>
        <w:rPr>
          <w:rFonts w:ascii="Arial" w:hAnsi="Arial" w:cs="Arial"/>
          <w:b/>
        </w:rPr>
      </w:pPr>
    </w:p>
    <w:p w14:paraId="0B7C0D6A" w14:textId="57DD9B50" w:rsidR="00FD2966" w:rsidRPr="00516362" w:rsidRDefault="00FD2966" w:rsidP="0078651E">
      <w:pPr>
        <w:pStyle w:val="Prrafodelista"/>
        <w:numPr>
          <w:ilvl w:val="0"/>
          <w:numId w:val="8"/>
        </w:numPr>
        <w:spacing w:line="276" w:lineRule="auto"/>
        <w:ind w:left="851" w:hanging="142"/>
        <w:jc w:val="both"/>
        <w:rPr>
          <w:rFonts w:ascii="Arial" w:hAnsi="Arial" w:cs="Arial"/>
          <w:b/>
        </w:rPr>
      </w:pPr>
      <w:r w:rsidRPr="00516362">
        <w:rPr>
          <w:rFonts w:ascii="Arial" w:hAnsi="Arial" w:cs="Arial"/>
        </w:rPr>
        <w:t>Verificar que el marco normativo y Jurídico</w:t>
      </w:r>
      <w:r w:rsidR="00CE0E84">
        <w:rPr>
          <w:rFonts w:ascii="Arial" w:hAnsi="Arial" w:cs="Arial"/>
        </w:rPr>
        <w:t xml:space="preserve"> que regula la actuación del Instituto de Acceso a la Información y Protección de Datos Personales de Quintana Roo</w:t>
      </w:r>
      <w:r w:rsidRPr="00516362">
        <w:rPr>
          <w:rFonts w:ascii="Arial" w:hAnsi="Arial" w:cs="Arial"/>
        </w:rPr>
        <w:t>, se encuentre vigente, actualizado y homologado</w:t>
      </w:r>
      <w:r w:rsidR="005A54BC">
        <w:rPr>
          <w:rFonts w:ascii="Arial" w:hAnsi="Arial" w:cs="Arial"/>
        </w:rPr>
        <w:t xml:space="preserve"> </w:t>
      </w:r>
      <w:r w:rsidRPr="00516362">
        <w:rPr>
          <w:rFonts w:ascii="Arial" w:hAnsi="Arial" w:cs="Arial"/>
        </w:rPr>
        <w:t>entre sí. Así como constatar que cuente con la normativa del enfoque de Presupuesto basado en Resultados, y Metodología del Marco Lógico.</w:t>
      </w:r>
    </w:p>
    <w:p w14:paraId="311B519B" w14:textId="77777777" w:rsidR="00FD2966" w:rsidRPr="00516362" w:rsidRDefault="00FD2966" w:rsidP="00516362">
      <w:pPr>
        <w:pStyle w:val="Prrafodelista"/>
        <w:spacing w:line="276" w:lineRule="auto"/>
        <w:ind w:left="851"/>
        <w:jc w:val="both"/>
        <w:rPr>
          <w:rFonts w:ascii="Arial" w:hAnsi="Arial" w:cs="Arial"/>
          <w:b/>
        </w:rPr>
      </w:pPr>
    </w:p>
    <w:p w14:paraId="5D27693D" w14:textId="2942C01E" w:rsidR="009D1DFB" w:rsidRDefault="009D1DFB" w:rsidP="0078651E">
      <w:pPr>
        <w:pStyle w:val="Prrafodelista"/>
        <w:numPr>
          <w:ilvl w:val="0"/>
          <w:numId w:val="7"/>
        </w:numPr>
        <w:spacing w:line="276" w:lineRule="auto"/>
        <w:ind w:left="284" w:hanging="142"/>
        <w:jc w:val="both"/>
        <w:rPr>
          <w:rFonts w:ascii="Arial" w:hAnsi="Arial" w:cs="Arial"/>
          <w:b/>
        </w:rPr>
      </w:pPr>
      <w:r w:rsidRPr="009D1DFB">
        <w:rPr>
          <w:rFonts w:ascii="Arial" w:hAnsi="Arial" w:cs="Arial"/>
          <w:b/>
        </w:rPr>
        <w:t>Matriz de Indicadores para Resultados (MIR)</w:t>
      </w:r>
    </w:p>
    <w:p w14:paraId="00D1125F" w14:textId="77777777" w:rsidR="006E18C9" w:rsidRPr="009D1DFB" w:rsidRDefault="006E18C9" w:rsidP="006E18C9">
      <w:pPr>
        <w:pStyle w:val="Prrafodelista"/>
        <w:spacing w:line="276" w:lineRule="auto"/>
        <w:ind w:left="284"/>
        <w:jc w:val="both"/>
        <w:rPr>
          <w:rFonts w:ascii="Arial" w:hAnsi="Arial" w:cs="Arial"/>
          <w:b/>
        </w:rPr>
      </w:pPr>
    </w:p>
    <w:p w14:paraId="1DF0656D" w14:textId="77777777" w:rsidR="005A54BC" w:rsidRPr="00E15CFD" w:rsidRDefault="005A54BC" w:rsidP="005A54BC">
      <w:pPr>
        <w:pStyle w:val="Prrafodelista"/>
        <w:numPr>
          <w:ilvl w:val="0"/>
          <w:numId w:val="8"/>
        </w:numPr>
        <w:spacing w:line="276" w:lineRule="auto"/>
        <w:ind w:left="851" w:hanging="142"/>
        <w:jc w:val="both"/>
        <w:rPr>
          <w:rFonts w:ascii="Arial" w:hAnsi="Arial" w:cs="Arial"/>
          <w:b/>
        </w:rPr>
      </w:pPr>
      <w:r w:rsidRPr="00E15CFD">
        <w:rPr>
          <w:rFonts w:ascii="Arial" w:hAnsi="Arial" w:cs="Arial"/>
        </w:rPr>
        <w:t>Comprobar que el presupuesto por programa presupuestario se ajustó a los montos aprobados y que las modificaciones presupuestales tuvieron sustento financiero.</w:t>
      </w:r>
    </w:p>
    <w:p w14:paraId="2A6FCE28" w14:textId="77777777" w:rsidR="005A54BC" w:rsidRPr="00E15CFD" w:rsidRDefault="005A54BC" w:rsidP="005A54BC">
      <w:pPr>
        <w:pStyle w:val="Prrafodelista"/>
        <w:spacing w:line="276" w:lineRule="auto"/>
        <w:ind w:left="851"/>
        <w:jc w:val="both"/>
        <w:rPr>
          <w:rFonts w:ascii="Arial" w:hAnsi="Arial" w:cs="Arial"/>
          <w:b/>
        </w:rPr>
      </w:pPr>
    </w:p>
    <w:p w14:paraId="1E4499EB" w14:textId="0E12526D" w:rsidR="005A54BC" w:rsidRPr="00E15CFD" w:rsidRDefault="005A54BC" w:rsidP="005A54BC">
      <w:pPr>
        <w:pStyle w:val="Prrafodelista"/>
        <w:numPr>
          <w:ilvl w:val="1"/>
          <w:numId w:val="9"/>
        </w:numPr>
        <w:spacing w:line="276" w:lineRule="auto"/>
        <w:ind w:left="851" w:hanging="425"/>
        <w:jc w:val="both"/>
        <w:rPr>
          <w:rFonts w:ascii="Arial" w:hAnsi="Arial" w:cs="Arial"/>
          <w:b/>
        </w:rPr>
      </w:pPr>
      <w:r w:rsidRPr="00E15CFD">
        <w:rPr>
          <w:rFonts w:ascii="Arial" w:hAnsi="Arial" w:cs="Arial"/>
        </w:rPr>
        <w:t>Verificar que la Matriz de Indicadores para Resultados</w:t>
      </w:r>
      <w:r w:rsidRPr="00E15CFD">
        <w:rPr>
          <w:rFonts w:ascii="Arial" w:hAnsi="Arial" w:cs="Arial"/>
          <w:lang w:val="es-ES_tradnl"/>
        </w:rPr>
        <w:t xml:space="preserve"> de </w:t>
      </w:r>
      <w:r w:rsidRPr="00E15CFD">
        <w:rPr>
          <w:rFonts w:ascii="Arial" w:hAnsi="Arial" w:cs="Arial"/>
        </w:rPr>
        <w:t xml:space="preserve">los Programas Presupuestarios del </w:t>
      </w:r>
      <w:r w:rsidRPr="00735007">
        <w:rPr>
          <w:rFonts w:ascii="Arial" w:hAnsi="Arial" w:cs="Arial"/>
          <w:b/>
          <w:bCs/>
        </w:rPr>
        <w:t>Instituto de Acceso a la Información y Protección de Datos Personales de Quintana Roo</w:t>
      </w:r>
      <w:r w:rsidRPr="00E15CFD">
        <w:rPr>
          <w:rFonts w:ascii="Arial" w:hAnsi="Arial" w:cs="Arial"/>
        </w:rPr>
        <w:t xml:space="preserve"> presenten </w:t>
      </w:r>
      <w:r w:rsidRPr="00E15CFD">
        <w:rPr>
          <w:rFonts w:ascii="Arial" w:hAnsi="Arial" w:cs="Arial"/>
          <w:lang w:val="es-ES_tradnl"/>
        </w:rPr>
        <w:t xml:space="preserve">congruencia y alineación </w:t>
      </w:r>
      <w:r w:rsidRPr="00E15CFD">
        <w:rPr>
          <w:rFonts w:ascii="Arial" w:hAnsi="Arial" w:cs="Arial"/>
        </w:rPr>
        <w:t>con los objetivos, metas e indicadores establecidos en el Plan Estatal de Desarrollo (PED) 2016-2022, de acuerdo con la Metodología del Marco Lógico.</w:t>
      </w:r>
    </w:p>
    <w:p w14:paraId="48D1877D" w14:textId="77777777" w:rsidR="005A54BC" w:rsidRPr="00E15CFD" w:rsidRDefault="005A54BC" w:rsidP="005A54BC">
      <w:pPr>
        <w:pStyle w:val="Prrafodelista"/>
        <w:spacing w:line="276" w:lineRule="auto"/>
        <w:ind w:left="851" w:hanging="425"/>
        <w:jc w:val="both"/>
        <w:rPr>
          <w:rFonts w:ascii="Arial" w:hAnsi="Arial" w:cs="Arial"/>
          <w:b/>
        </w:rPr>
      </w:pPr>
    </w:p>
    <w:p w14:paraId="2947AC50" w14:textId="6175DA9C" w:rsidR="005A54BC" w:rsidRPr="00E15CFD" w:rsidRDefault="005A54BC" w:rsidP="005A54BC">
      <w:pPr>
        <w:pStyle w:val="Prrafodelista"/>
        <w:numPr>
          <w:ilvl w:val="1"/>
          <w:numId w:val="9"/>
        </w:numPr>
        <w:spacing w:line="276" w:lineRule="auto"/>
        <w:ind w:left="851" w:hanging="425"/>
        <w:jc w:val="both"/>
        <w:rPr>
          <w:rFonts w:ascii="Arial" w:hAnsi="Arial" w:cs="Arial"/>
          <w:b/>
        </w:rPr>
      </w:pPr>
      <w:r w:rsidRPr="00E15CFD">
        <w:rPr>
          <w:rFonts w:ascii="Arial" w:hAnsi="Arial" w:cs="Arial"/>
        </w:rPr>
        <w:t xml:space="preserve">Verificar que el </w:t>
      </w:r>
      <w:r w:rsidRPr="00735007">
        <w:rPr>
          <w:rFonts w:ascii="Arial" w:hAnsi="Arial" w:cs="Arial"/>
          <w:b/>
          <w:bCs/>
        </w:rPr>
        <w:t>Instituto de Acceso a la Información y Protección de Datos Personales de Quintana Roo</w:t>
      </w:r>
      <w:r w:rsidRPr="00E15CFD">
        <w:rPr>
          <w:rFonts w:ascii="Arial" w:hAnsi="Arial" w:cs="Arial"/>
        </w:rPr>
        <w:t xml:space="preserve"> haya cumplido con el seguimiento del avance de metas y objetivos establecidos en las Matrices de Indicadores para Resultados.</w:t>
      </w:r>
    </w:p>
    <w:p w14:paraId="19E4AE10" w14:textId="35606FEC" w:rsidR="006531A5" w:rsidRDefault="006531A5" w:rsidP="00516362">
      <w:pPr>
        <w:spacing w:line="276" w:lineRule="auto"/>
        <w:jc w:val="both"/>
        <w:rPr>
          <w:rFonts w:ascii="Arial" w:hAnsi="Arial" w:cs="Arial"/>
          <w:bCs/>
        </w:rPr>
      </w:pPr>
    </w:p>
    <w:p w14:paraId="4FB27DE9" w14:textId="08F0C990" w:rsidR="00D82819" w:rsidRDefault="00D82819" w:rsidP="00516362">
      <w:pPr>
        <w:spacing w:line="276" w:lineRule="auto"/>
        <w:jc w:val="both"/>
        <w:rPr>
          <w:rFonts w:ascii="Arial" w:hAnsi="Arial" w:cs="Arial"/>
          <w:bCs/>
        </w:rPr>
      </w:pPr>
    </w:p>
    <w:p w14:paraId="18715B07" w14:textId="1E033BB4" w:rsidR="00D82819" w:rsidRDefault="00D82819" w:rsidP="00516362">
      <w:pPr>
        <w:spacing w:line="276" w:lineRule="auto"/>
        <w:jc w:val="both"/>
        <w:rPr>
          <w:rFonts w:ascii="Arial" w:hAnsi="Arial" w:cs="Arial"/>
          <w:bCs/>
        </w:rPr>
      </w:pPr>
    </w:p>
    <w:p w14:paraId="7D162B3A" w14:textId="5F7D42E5" w:rsidR="00D82819" w:rsidRDefault="00D82819" w:rsidP="00516362">
      <w:pPr>
        <w:spacing w:line="276" w:lineRule="auto"/>
        <w:jc w:val="both"/>
        <w:rPr>
          <w:rFonts w:ascii="Arial" w:hAnsi="Arial" w:cs="Arial"/>
          <w:bCs/>
        </w:rPr>
      </w:pPr>
    </w:p>
    <w:p w14:paraId="637C3E94" w14:textId="08B75FA5" w:rsidR="00D82819" w:rsidRDefault="00D82819" w:rsidP="00516362">
      <w:pPr>
        <w:spacing w:line="276" w:lineRule="auto"/>
        <w:jc w:val="both"/>
        <w:rPr>
          <w:rFonts w:ascii="Arial" w:hAnsi="Arial" w:cs="Arial"/>
          <w:bCs/>
        </w:rPr>
      </w:pPr>
    </w:p>
    <w:p w14:paraId="7DDD016C" w14:textId="77777777" w:rsidR="00D82819" w:rsidRPr="00516362" w:rsidRDefault="00D82819" w:rsidP="00516362">
      <w:pPr>
        <w:spacing w:line="276" w:lineRule="auto"/>
        <w:jc w:val="both"/>
        <w:rPr>
          <w:rFonts w:ascii="Arial" w:hAnsi="Arial" w:cs="Arial"/>
          <w:bCs/>
        </w:rPr>
      </w:pPr>
    </w:p>
    <w:p w14:paraId="74F6526F" w14:textId="4C825D9A" w:rsidR="006F7207" w:rsidRPr="00516362" w:rsidRDefault="006F7207" w:rsidP="0078651E">
      <w:pPr>
        <w:pStyle w:val="Prrafodelista"/>
        <w:numPr>
          <w:ilvl w:val="0"/>
          <w:numId w:val="1"/>
        </w:numPr>
        <w:spacing w:line="276" w:lineRule="auto"/>
        <w:ind w:left="851" w:hanging="425"/>
        <w:jc w:val="both"/>
        <w:outlineLvl w:val="1"/>
        <w:rPr>
          <w:rFonts w:ascii="Arial" w:hAnsi="Arial" w:cs="Arial"/>
          <w:b/>
        </w:rPr>
      </w:pPr>
      <w:bookmarkStart w:id="22" w:name="_Toc51083017"/>
      <w:r w:rsidRPr="00516362">
        <w:rPr>
          <w:rFonts w:ascii="Arial" w:hAnsi="Arial" w:cs="Arial"/>
          <w:b/>
        </w:rPr>
        <w:lastRenderedPageBreak/>
        <w:t xml:space="preserve">Servidores Públicos </w:t>
      </w:r>
      <w:bookmarkEnd w:id="22"/>
      <w:r w:rsidR="00146399">
        <w:rPr>
          <w:rFonts w:ascii="Arial" w:hAnsi="Arial" w:cs="Arial"/>
          <w:b/>
        </w:rPr>
        <w:t xml:space="preserve">que intervinieron en </w:t>
      </w:r>
      <w:r w:rsidR="00146399" w:rsidRPr="00516362">
        <w:rPr>
          <w:rFonts w:ascii="Arial" w:hAnsi="Arial" w:cs="Arial"/>
          <w:b/>
        </w:rPr>
        <w:t>la Auditoría</w:t>
      </w:r>
    </w:p>
    <w:p w14:paraId="28C55620" w14:textId="77777777" w:rsidR="006F7207" w:rsidRPr="00516362" w:rsidRDefault="006F7207" w:rsidP="00516362">
      <w:pPr>
        <w:autoSpaceDE w:val="0"/>
        <w:autoSpaceDN w:val="0"/>
        <w:adjustRightInd w:val="0"/>
        <w:spacing w:line="276" w:lineRule="auto"/>
        <w:jc w:val="both"/>
        <w:rPr>
          <w:rFonts w:ascii="Arial" w:hAnsi="Arial" w:cs="Arial"/>
        </w:rPr>
      </w:pPr>
    </w:p>
    <w:p w14:paraId="446457B9" w14:textId="4E1BA80B" w:rsidR="00146399" w:rsidRDefault="00146399" w:rsidP="00146399">
      <w:pPr>
        <w:spacing w:line="276" w:lineRule="auto"/>
        <w:jc w:val="both"/>
        <w:rPr>
          <w:rFonts w:ascii="Arial" w:hAnsi="Arial" w:cs="Arial"/>
          <w:bCs/>
        </w:rPr>
      </w:pPr>
      <w:r>
        <w:rPr>
          <w:rFonts w:ascii="Arial" w:hAnsi="Arial" w:cs="Arial"/>
          <w:bCs/>
        </w:rPr>
        <w:t xml:space="preserve">El personal designado adscrito a la Auditoría Especial en Materia de Desempeño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ASEQROO/ASE/AEMD/0450/08/2020, siendo los servidores públicos a cargo de coordinar y supervisar la auditoría, los siguientes: </w:t>
      </w:r>
    </w:p>
    <w:p w14:paraId="58863889" w14:textId="77777777" w:rsidR="00146399" w:rsidRDefault="00146399" w:rsidP="00146399">
      <w:pPr>
        <w:spacing w:line="276" w:lineRule="auto"/>
        <w:jc w:val="both"/>
        <w:rPr>
          <w:rFonts w:ascii="Arial" w:hAnsi="Arial" w:cs="Arial"/>
          <w:bCs/>
        </w:rPr>
      </w:pPr>
      <w:r>
        <w:rPr>
          <w:rFonts w:ascii="Arial" w:hAnsi="Arial" w:cs="Arial"/>
          <w:bCs/>
        </w:rPr>
        <w:t xml:space="preserve"> </w:t>
      </w:r>
    </w:p>
    <w:tbl>
      <w:tblPr>
        <w:tblStyle w:val="Tablaconcuadrcula"/>
        <w:tblW w:w="8930" w:type="dxa"/>
        <w:jc w:val="center"/>
        <w:tblLook w:val="04A0" w:firstRow="1" w:lastRow="0" w:firstColumn="1" w:lastColumn="0" w:noHBand="0" w:noVBand="1"/>
      </w:tblPr>
      <w:tblGrid>
        <w:gridCol w:w="4536"/>
        <w:gridCol w:w="4394"/>
      </w:tblGrid>
      <w:tr w:rsidR="00146399" w:rsidRPr="00146399" w14:paraId="36655E39" w14:textId="77777777" w:rsidTr="00146399">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3C1ED" w14:textId="77777777" w:rsidR="00146399" w:rsidRPr="00146399" w:rsidRDefault="00146399">
            <w:pPr>
              <w:spacing w:line="276" w:lineRule="auto"/>
              <w:jc w:val="center"/>
              <w:rPr>
                <w:rFonts w:ascii="Arial" w:hAnsi="Arial" w:cs="Arial"/>
                <w:b/>
                <w:bCs/>
                <w:sz w:val="20"/>
                <w:szCs w:val="20"/>
              </w:rPr>
            </w:pPr>
            <w:r w:rsidRPr="00146399">
              <w:rPr>
                <w:rFonts w:ascii="Arial" w:hAnsi="Arial" w:cs="Arial"/>
                <w:b/>
                <w:bCs/>
                <w:sz w:val="20"/>
                <w:szCs w:val="20"/>
              </w:rPr>
              <w:t>NOMBRE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378FD" w14:textId="77777777" w:rsidR="00146399" w:rsidRPr="00146399" w:rsidRDefault="00146399">
            <w:pPr>
              <w:spacing w:line="276" w:lineRule="auto"/>
              <w:jc w:val="center"/>
              <w:rPr>
                <w:rFonts w:ascii="Arial" w:hAnsi="Arial" w:cs="Arial"/>
                <w:b/>
                <w:bCs/>
                <w:sz w:val="20"/>
                <w:szCs w:val="20"/>
              </w:rPr>
            </w:pPr>
            <w:r w:rsidRPr="00146399">
              <w:rPr>
                <w:rFonts w:ascii="Arial" w:hAnsi="Arial" w:cs="Arial"/>
                <w:b/>
                <w:bCs/>
                <w:sz w:val="20"/>
                <w:szCs w:val="20"/>
              </w:rPr>
              <w:t>CARGO</w:t>
            </w:r>
          </w:p>
        </w:tc>
      </w:tr>
      <w:tr w:rsidR="00146399" w:rsidRPr="00146399" w14:paraId="21EC5D0B" w14:textId="77777777" w:rsidTr="00146399">
        <w:trPr>
          <w:jc w:val="center"/>
        </w:trPr>
        <w:tc>
          <w:tcPr>
            <w:tcW w:w="4536" w:type="dxa"/>
            <w:tcBorders>
              <w:top w:val="single" w:sz="4" w:space="0" w:color="auto"/>
              <w:left w:val="single" w:sz="4" w:space="0" w:color="auto"/>
              <w:bottom w:val="single" w:sz="4" w:space="0" w:color="auto"/>
              <w:right w:val="single" w:sz="4" w:space="0" w:color="auto"/>
            </w:tcBorders>
            <w:hideMark/>
          </w:tcPr>
          <w:p w14:paraId="69DC8227" w14:textId="77777777" w:rsidR="00146399" w:rsidRPr="00146399" w:rsidRDefault="00146399">
            <w:pPr>
              <w:spacing w:line="276" w:lineRule="auto"/>
              <w:jc w:val="both"/>
              <w:rPr>
                <w:rFonts w:ascii="Arial" w:hAnsi="Arial" w:cs="Arial"/>
                <w:bCs/>
                <w:sz w:val="20"/>
                <w:szCs w:val="20"/>
              </w:rPr>
            </w:pPr>
            <w:r w:rsidRPr="00146399">
              <w:rPr>
                <w:rFonts w:ascii="Arial" w:hAnsi="Arial" w:cs="Arial"/>
                <w:sz w:val="20"/>
                <w:szCs w:val="20"/>
              </w:rPr>
              <w:t>L.A.E. Saidy Espinosa Ramírez</w:t>
            </w:r>
          </w:p>
        </w:tc>
        <w:tc>
          <w:tcPr>
            <w:tcW w:w="4394" w:type="dxa"/>
            <w:tcBorders>
              <w:top w:val="single" w:sz="4" w:space="0" w:color="auto"/>
              <w:left w:val="single" w:sz="4" w:space="0" w:color="auto"/>
              <w:bottom w:val="single" w:sz="4" w:space="0" w:color="auto"/>
              <w:right w:val="single" w:sz="4" w:space="0" w:color="auto"/>
            </w:tcBorders>
            <w:hideMark/>
          </w:tcPr>
          <w:p w14:paraId="4B79FD04" w14:textId="77777777" w:rsidR="00146399" w:rsidRPr="00146399" w:rsidRDefault="00146399">
            <w:pPr>
              <w:spacing w:line="276" w:lineRule="auto"/>
              <w:jc w:val="both"/>
              <w:rPr>
                <w:rFonts w:ascii="Arial" w:hAnsi="Arial" w:cs="Arial"/>
                <w:bCs/>
                <w:sz w:val="20"/>
                <w:szCs w:val="20"/>
              </w:rPr>
            </w:pPr>
            <w:r w:rsidRPr="00146399">
              <w:rPr>
                <w:rFonts w:ascii="Arial" w:hAnsi="Arial" w:cs="Arial"/>
                <w:bCs/>
                <w:sz w:val="20"/>
                <w:szCs w:val="20"/>
              </w:rPr>
              <w:t xml:space="preserve">Coordinadora de la Dirección de Fiscalización en Materia al Desempeño C. </w:t>
            </w:r>
          </w:p>
        </w:tc>
      </w:tr>
      <w:tr w:rsidR="00146399" w:rsidRPr="00146399" w14:paraId="64963E9E" w14:textId="77777777" w:rsidTr="00146399">
        <w:trPr>
          <w:jc w:val="center"/>
        </w:trPr>
        <w:tc>
          <w:tcPr>
            <w:tcW w:w="4536" w:type="dxa"/>
            <w:tcBorders>
              <w:top w:val="single" w:sz="4" w:space="0" w:color="auto"/>
              <w:left w:val="single" w:sz="4" w:space="0" w:color="auto"/>
              <w:bottom w:val="single" w:sz="4" w:space="0" w:color="auto"/>
              <w:right w:val="single" w:sz="4" w:space="0" w:color="auto"/>
            </w:tcBorders>
          </w:tcPr>
          <w:p w14:paraId="03BA39A1" w14:textId="77777777" w:rsidR="00146399" w:rsidRPr="00146399" w:rsidRDefault="00146399">
            <w:pPr>
              <w:spacing w:line="276" w:lineRule="auto"/>
              <w:jc w:val="both"/>
              <w:rPr>
                <w:rFonts w:ascii="Arial" w:hAnsi="Arial" w:cs="Arial"/>
                <w:bCs/>
                <w:sz w:val="20"/>
                <w:szCs w:val="20"/>
              </w:rPr>
            </w:pPr>
            <w:r w:rsidRPr="00146399">
              <w:rPr>
                <w:rFonts w:ascii="Arial" w:hAnsi="Arial" w:cs="Arial"/>
                <w:bCs/>
                <w:sz w:val="20"/>
                <w:szCs w:val="20"/>
              </w:rPr>
              <w:t xml:space="preserve">Ing. en Admón. Ingrid </w:t>
            </w:r>
            <w:proofErr w:type="spellStart"/>
            <w:r w:rsidRPr="00146399">
              <w:rPr>
                <w:rFonts w:ascii="Arial" w:hAnsi="Arial" w:cs="Arial"/>
                <w:bCs/>
                <w:sz w:val="20"/>
                <w:szCs w:val="20"/>
              </w:rPr>
              <w:t>Darany</w:t>
            </w:r>
            <w:proofErr w:type="spellEnd"/>
            <w:r w:rsidRPr="00146399">
              <w:rPr>
                <w:rFonts w:ascii="Arial" w:hAnsi="Arial" w:cs="Arial"/>
                <w:bCs/>
                <w:sz w:val="20"/>
                <w:szCs w:val="20"/>
              </w:rPr>
              <w:t xml:space="preserve"> </w:t>
            </w:r>
            <w:proofErr w:type="spellStart"/>
            <w:r w:rsidRPr="00146399">
              <w:rPr>
                <w:rFonts w:ascii="Arial" w:hAnsi="Arial" w:cs="Arial"/>
                <w:bCs/>
                <w:sz w:val="20"/>
                <w:szCs w:val="20"/>
              </w:rPr>
              <w:t>Sanzores</w:t>
            </w:r>
            <w:proofErr w:type="spellEnd"/>
            <w:r w:rsidRPr="00146399">
              <w:rPr>
                <w:rFonts w:ascii="Arial" w:hAnsi="Arial" w:cs="Arial"/>
                <w:bCs/>
                <w:sz w:val="20"/>
                <w:szCs w:val="20"/>
              </w:rPr>
              <w:t xml:space="preserve"> Burgos</w:t>
            </w:r>
          </w:p>
          <w:p w14:paraId="1A4185AB" w14:textId="77777777" w:rsidR="00146399" w:rsidRPr="00146399" w:rsidRDefault="00146399">
            <w:pPr>
              <w:spacing w:line="276" w:lineRule="auto"/>
              <w:jc w:val="both"/>
              <w:rPr>
                <w:rFonts w:ascii="Arial" w:hAnsi="Arial" w:cs="Arial"/>
                <w:bCs/>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5EB1C317" w14:textId="77777777" w:rsidR="00146399" w:rsidRPr="00146399" w:rsidRDefault="00146399">
            <w:pPr>
              <w:spacing w:line="276" w:lineRule="auto"/>
              <w:jc w:val="both"/>
              <w:rPr>
                <w:rFonts w:ascii="Arial" w:hAnsi="Arial" w:cs="Arial"/>
                <w:bCs/>
                <w:sz w:val="20"/>
                <w:szCs w:val="20"/>
              </w:rPr>
            </w:pPr>
            <w:r w:rsidRPr="00146399">
              <w:rPr>
                <w:rFonts w:ascii="Arial" w:hAnsi="Arial" w:cs="Arial"/>
                <w:bCs/>
                <w:sz w:val="20"/>
                <w:szCs w:val="20"/>
              </w:rPr>
              <w:t xml:space="preserve">Supervisora de la Dirección de Fiscalización en Materia al Desempeño C. </w:t>
            </w:r>
          </w:p>
        </w:tc>
      </w:tr>
    </w:tbl>
    <w:p w14:paraId="39B962D3" w14:textId="77777777" w:rsidR="00D82819" w:rsidRDefault="00D82819" w:rsidP="006F7207">
      <w:pPr>
        <w:spacing w:line="276" w:lineRule="auto"/>
        <w:jc w:val="both"/>
        <w:rPr>
          <w:rFonts w:ascii="Arial" w:hAnsi="Arial" w:cs="Arial"/>
          <w:bCs/>
          <w:szCs w:val="20"/>
        </w:rPr>
      </w:pPr>
    </w:p>
    <w:p w14:paraId="1FE83DD2" w14:textId="3C426A0B" w:rsidR="00354B93" w:rsidRDefault="00354B93" w:rsidP="0078651E">
      <w:pPr>
        <w:pStyle w:val="Ttulo1"/>
        <w:numPr>
          <w:ilvl w:val="0"/>
          <w:numId w:val="10"/>
        </w:numPr>
        <w:spacing w:line="276" w:lineRule="auto"/>
        <w:ind w:left="426" w:hanging="142"/>
      </w:pPr>
      <w:bookmarkStart w:id="23" w:name="_Toc51083018"/>
      <w:bookmarkStart w:id="24" w:name="_Toc519096400"/>
      <w:bookmarkStart w:id="25" w:name="_Toc520277597"/>
      <w:bookmarkStart w:id="26" w:name="_Toc522715969"/>
      <w:r w:rsidRPr="00C91950">
        <w:t>RESULTADOS</w:t>
      </w:r>
      <w:bookmarkEnd w:id="23"/>
      <w:r w:rsidRPr="00C91950">
        <w:t xml:space="preserve"> </w:t>
      </w:r>
      <w:bookmarkEnd w:id="24"/>
      <w:bookmarkEnd w:id="25"/>
      <w:bookmarkEnd w:id="26"/>
    </w:p>
    <w:p w14:paraId="3C122D38" w14:textId="77777777" w:rsidR="00A724F7" w:rsidRDefault="00A724F7" w:rsidP="00C40818">
      <w:pPr>
        <w:spacing w:line="276" w:lineRule="auto"/>
      </w:pPr>
    </w:p>
    <w:p w14:paraId="117F4C45" w14:textId="4E4DFCBC" w:rsidR="009C1560" w:rsidRPr="00CA3406" w:rsidRDefault="009C1560" w:rsidP="0078651E">
      <w:pPr>
        <w:pStyle w:val="Prrafodelista"/>
        <w:numPr>
          <w:ilvl w:val="0"/>
          <w:numId w:val="11"/>
        </w:numPr>
        <w:spacing w:line="276" w:lineRule="auto"/>
        <w:ind w:left="851" w:hanging="425"/>
        <w:jc w:val="both"/>
        <w:outlineLvl w:val="1"/>
        <w:rPr>
          <w:rFonts w:ascii="Arial" w:hAnsi="Arial" w:cs="Arial"/>
          <w:b/>
        </w:rPr>
      </w:pPr>
      <w:bookmarkStart w:id="27" w:name="_Toc51083019"/>
      <w:r w:rsidRPr="00CA3406">
        <w:rPr>
          <w:rFonts w:ascii="Arial" w:hAnsi="Arial" w:cs="Arial"/>
          <w:b/>
        </w:rPr>
        <w:t>Resumen general de observaciones y acciones emitidas en materia de desempeño.</w:t>
      </w:r>
      <w:bookmarkEnd w:id="27"/>
    </w:p>
    <w:p w14:paraId="5B9DB06E" w14:textId="77777777" w:rsidR="00354B93" w:rsidRPr="00C91950" w:rsidRDefault="00354B93" w:rsidP="00C40818">
      <w:pPr>
        <w:spacing w:line="276" w:lineRule="auto"/>
        <w:jc w:val="both"/>
        <w:rPr>
          <w:rFonts w:ascii="Arial" w:hAnsi="Arial" w:cs="Arial"/>
          <w:b/>
        </w:rPr>
      </w:pPr>
    </w:p>
    <w:p w14:paraId="4B866319" w14:textId="137FD798" w:rsidR="00ED4FAF" w:rsidRDefault="007E491A" w:rsidP="00C40818">
      <w:pPr>
        <w:spacing w:line="276" w:lineRule="auto"/>
        <w:jc w:val="both"/>
        <w:rPr>
          <w:rFonts w:ascii="Arial" w:hAnsi="Arial" w:cs="Arial"/>
        </w:rPr>
      </w:pPr>
      <w:r w:rsidRPr="00972149">
        <w:rPr>
          <w:rFonts w:ascii="Arial" w:hAnsi="Arial" w:cs="Arial"/>
        </w:rPr>
        <w:t>De conformidad con los</w:t>
      </w:r>
      <w:r w:rsidR="004E26C1">
        <w:rPr>
          <w:rFonts w:ascii="Arial" w:hAnsi="Arial" w:cs="Arial"/>
        </w:rPr>
        <w:t xml:space="preserve"> artículos 17 </w:t>
      </w:r>
      <w:r w:rsidR="004E26C1" w:rsidRPr="00FB31CB">
        <w:rPr>
          <w:rFonts w:ascii="Arial" w:hAnsi="Arial" w:cs="Arial"/>
        </w:rPr>
        <w:t xml:space="preserve">fracción </w:t>
      </w:r>
      <w:r w:rsidR="004E26C1">
        <w:rPr>
          <w:rFonts w:ascii="Arial" w:hAnsi="Arial" w:cs="Arial"/>
        </w:rPr>
        <w:t>II,</w:t>
      </w:r>
      <w:r w:rsidR="006F7207">
        <w:rPr>
          <w:rFonts w:ascii="Arial" w:hAnsi="Arial" w:cs="Arial"/>
        </w:rPr>
        <w:t xml:space="preserve"> 38, 41 en su segundo párrafo, </w:t>
      </w:r>
      <w:r w:rsidR="004E26C1">
        <w:rPr>
          <w:rFonts w:ascii="Arial" w:hAnsi="Arial" w:cs="Arial"/>
        </w:rPr>
        <w:t>y 61</w:t>
      </w:r>
      <w:r w:rsidRPr="00972149">
        <w:rPr>
          <w:rFonts w:ascii="Arial" w:hAnsi="Arial" w:cs="Arial"/>
        </w:rPr>
        <w:t xml:space="preserve"> párrafo primero de la Ley de Fiscalización y Rendición de Cuentas del Estado de Quintana Roo, y artículos 4, 8 y 9, fracciones X</w:t>
      </w:r>
      <w:r w:rsidR="006F7207">
        <w:rPr>
          <w:rFonts w:ascii="Arial" w:hAnsi="Arial" w:cs="Arial"/>
        </w:rPr>
        <w:t>, XI, XVIII</w:t>
      </w:r>
      <w:r w:rsidRPr="00972149">
        <w:rPr>
          <w:rFonts w:ascii="Arial" w:hAnsi="Arial" w:cs="Arial"/>
        </w:rPr>
        <w:t xml:space="preserve"> y XXVI del Reglamento Interior de la Auditoría Superior del Estado de Quintana Roo, durante este proceso se determin</w:t>
      </w:r>
      <w:r w:rsidR="005B59EA">
        <w:rPr>
          <w:rFonts w:ascii="Arial" w:hAnsi="Arial" w:cs="Arial"/>
        </w:rPr>
        <w:t>aron</w:t>
      </w:r>
      <w:r w:rsidRPr="00972149">
        <w:rPr>
          <w:rFonts w:ascii="Arial" w:hAnsi="Arial" w:cs="Arial"/>
        </w:rPr>
        <w:t xml:space="preserve"> </w:t>
      </w:r>
      <w:r w:rsidR="00456BB3">
        <w:rPr>
          <w:rFonts w:ascii="Arial" w:hAnsi="Arial" w:cs="Arial"/>
        </w:rPr>
        <w:t>2</w:t>
      </w:r>
      <w:r w:rsidRPr="00972149">
        <w:rPr>
          <w:rFonts w:ascii="Arial" w:hAnsi="Arial" w:cs="Arial"/>
        </w:rPr>
        <w:t xml:space="preserve"> resultado</w:t>
      </w:r>
      <w:r w:rsidR="00456BB3">
        <w:rPr>
          <w:rFonts w:ascii="Arial" w:hAnsi="Arial" w:cs="Arial"/>
        </w:rPr>
        <w:t>s</w:t>
      </w:r>
      <w:r w:rsidRPr="00972149">
        <w:rPr>
          <w:rFonts w:ascii="Arial" w:hAnsi="Arial" w:cs="Arial"/>
        </w:rPr>
        <w:t xml:space="preserve"> de la fiscalización correspondiente</w:t>
      </w:r>
      <w:r w:rsidR="00607614">
        <w:rPr>
          <w:rFonts w:ascii="Arial" w:hAnsi="Arial" w:cs="Arial"/>
        </w:rPr>
        <w:t>s</w:t>
      </w:r>
      <w:r w:rsidRPr="00972149">
        <w:rPr>
          <w:rFonts w:ascii="Arial" w:hAnsi="Arial" w:cs="Arial"/>
        </w:rPr>
        <w:t xml:space="preserve"> </w:t>
      </w:r>
      <w:r w:rsidR="008F452A">
        <w:rPr>
          <w:rFonts w:ascii="Arial" w:hAnsi="Arial" w:cs="Arial"/>
        </w:rPr>
        <w:t>a</w:t>
      </w:r>
      <w:r w:rsidR="000D79CB">
        <w:rPr>
          <w:rFonts w:ascii="Arial" w:hAnsi="Arial" w:cs="Arial"/>
        </w:rPr>
        <w:t xml:space="preserve"> la</w:t>
      </w:r>
      <w:r w:rsidR="005B59EA">
        <w:rPr>
          <w:rFonts w:ascii="Arial" w:hAnsi="Arial" w:cs="Arial"/>
        </w:rPr>
        <w:t xml:space="preserve"> </w:t>
      </w:r>
      <w:r w:rsidR="000D79CB" w:rsidRPr="00874BB1">
        <w:rPr>
          <w:rFonts w:ascii="Arial" w:hAnsi="Arial" w:cs="Arial"/>
          <w:b/>
          <w:bCs/>
        </w:rPr>
        <w:t>“</w:t>
      </w:r>
      <w:r w:rsidR="000D79CB" w:rsidRPr="000D79CB">
        <w:rPr>
          <w:rFonts w:ascii="Arial" w:hAnsi="Arial" w:cs="Arial"/>
        </w:rPr>
        <w:t>Auditoría de Desempeño a los Programas Presupuestarios, análisis de Matriz de Indicadores de Resultados</w:t>
      </w:r>
      <w:r w:rsidR="005A54BC">
        <w:rPr>
          <w:rFonts w:ascii="Arial" w:hAnsi="Arial" w:cs="Arial"/>
        </w:rPr>
        <w:t xml:space="preserve"> y</w:t>
      </w:r>
      <w:r w:rsidR="000D79CB" w:rsidRPr="000D79CB">
        <w:rPr>
          <w:rFonts w:ascii="Arial" w:hAnsi="Arial" w:cs="Arial"/>
        </w:rPr>
        <w:t xml:space="preserve"> revisión del cumplimiento de los objetivos, metas e indicadores</w:t>
      </w:r>
      <w:r w:rsidR="005B59EA">
        <w:rPr>
          <w:rFonts w:ascii="Arial" w:hAnsi="Arial" w:cs="Arial"/>
        </w:rPr>
        <w:t>”</w:t>
      </w:r>
      <w:r w:rsidR="000D79CB">
        <w:rPr>
          <w:rFonts w:ascii="Arial" w:hAnsi="Arial" w:cs="Arial"/>
          <w:b/>
        </w:rPr>
        <w:t xml:space="preserve"> </w:t>
      </w:r>
      <w:r w:rsidR="000D79CB" w:rsidRPr="000D79CB">
        <w:rPr>
          <w:rFonts w:ascii="Arial" w:hAnsi="Arial" w:cs="Arial"/>
        </w:rPr>
        <w:t>del</w:t>
      </w:r>
      <w:r w:rsidR="000D79CB">
        <w:rPr>
          <w:rFonts w:ascii="Arial" w:hAnsi="Arial" w:cs="Arial"/>
          <w:b/>
        </w:rPr>
        <w:t xml:space="preserve"> Instituto de Acceso a la Información y Protección de Datos Personales de Quintana Roo</w:t>
      </w:r>
      <w:r w:rsidR="000D79CB" w:rsidRPr="000D79CB">
        <w:rPr>
          <w:rFonts w:ascii="Arial" w:hAnsi="Arial" w:cs="Arial"/>
          <w:b/>
        </w:rPr>
        <w:t>”</w:t>
      </w:r>
      <w:r w:rsidRPr="00972149">
        <w:rPr>
          <w:rFonts w:ascii="Arial" w:hAnsi="Arial" w:cs="Arial"/>
          <w:bCs/>
          <w:lang w:val="es-ES"/>
        </w:rPr>
        <w:t>, que</w:t>
      </w:r>
      <w:r w:rsidRPr="00972149">
        <w:rPr>
          <w:rFonts w:ascii="Arial" w:hAnsi="Arial" w:cs="Arial"/>
        </w:rPr>
        <w:t xml:space="preserve"> </w:t>
      </w:r>
      <w:r w:rsidRPr="00DC23E8">
        <w:rPr>
          <w:rFonts w:ascii="Arial" w:hAnsi="Arial" w:cs="Arial"/>
        </w:rPr>
        <w:t>gener</w:t>
      </w:r>
      <w:r w:rsidR="00456BB3" w:rsidRPr="00DC23E8">
        <w:rPr>
          <w:rFonts w:ascii="Arial" w:hAnsi="Arial" w:cs="Arial"/>
        </w:rPr>
        <w:t>aron</w:t>
      </w:r>
      <w:r w:rsidRPr="00DC23E8">
        <w:rPr>
          <w:rFonts w:ascii="Arial" w:hAnsi="Arial" w:cs="Arial"/>
        </w:rPr>
        <w:t xml:space="preserve"> </w:t>
      </w:r>
      <w:r w:rsidR="00A759A5">
        <w:rPr>
          <w:rFonts w:ascii="Arial" w:hAnsi="Arial" w:cs="Arial"/>
        </w:rPr>
        <w:t>4</w:t>
      </w:r>
      <w:r w:rsidRPr="00972149">
        <w:rPr>
          <w:rFonts w:ascii="Arial" w:hAnsi="Arial" w:cs="Arial"/>
          <w:b/>
        </w:rPr>
        <w:t xml:space="preserve"> </w:t>
      </w:r>
      <w:r w:rsidR="00FB31CB">
        <w:rPr>
          <w:rFonts w:ascii="Arial" w:hAnsi="Arial" w:cs="Arial"/>
        </w:rPr>
        <w:t>observaciones</w:t>
      </w:r>
      <w:r w:rsidR="00456BB3">
        <w:rPr>
          <w:rFonts w:ascii="Arial" w:hAnsi="Arial" w:cs="Arial"/>
        </w:rPr>
        <w:t>.</w:t>
      </w:r>
      <w:r>
        <w:rPr>
          <w:rFonts w:ascii="Arial" w:hAnsi="Arial" w:cs="Arial"/>
        </w:rPr>
        <w:t xml:space="preserve"> </w:t>
      </w:r>
      <w:r w:rsidR="00456BB3" w:rsidRPr="00456BB3">
        <w:rPr>
          <w:rFonts w:ascii="Arial" w:hAnsi="Arial" w:cs="Arial"/>
        </w:rPr>
        <w:t>De lo anterior se derivan las acciones que a continuación se señalan:</w:t>
      </w:r>
    </w:p>
    <w:p w14:paraId="2A7EAF66" w14:textId="4DDB36C6" w:rsidR="00607614" w:rsidRDefault="00607614" w:rsidP="00C40818">
      <w:pPr>
        <w:spacing w:line="276" w:lineRule="auto"/>
        <w:jc w:val="both"/>
        <w:rPr>
          <w:rFonts w:ascii="Arial" w:hAnsi="Arial" w:cs="Arial"/>
        </w:rPr>
      </w:pPr>
    </w:p>
    <w:p w14:paraId="6DD11D53" w14:textId="415ED9B6" w:rsidR="00607614" w:rsidRDefault="00607614" w:rsidP="00C40818">
      <w:pPr>
        <w:spacing w:line="276" w:lineRule="auto"/>
        <w:jc w:val="both"/>
        <w:rPr>
          <w:rFonts w:ascii="Arial" w:hAnsi="Arial" w:cs="Arial"/>
        </w:rPr>
      </w:pPr>
    </w:p>
    <w:p w14:paraId="6ED2EA50" w14:textId="38DBFE71" w:rsidR="00607614" w:rsidRDefault="00607614" w:rsidP="00C40818">
      <w:pPr>
        <w:spacing w:line="276" w:lineRule="auto"/>
        <w:jc w:val="both"/>
        <w:rPr>
          <w:rFonts w:ascii="Arial" w:hAnsi="Arial" w:cs="Arial"/>
        </w:rPr>
      </w:pPr>
    </w:p>
    <w:p w14:paraId="6ABD0752" w14:textId="5B8CDD11" w:rsidR="00607614" w:rsidRDefault="00607614" w:rsidP="00C40818">
      <w:pPr>
        <w:spacing w:line="276" w:lineRule="auto"/>
        <w:jc w:val="both"/>
        <w:rPr>
          <w:rFonts w:ascii="Arial" w:hAnsi="Arial" w:cs="Arial"/>
        </w:rPr>
      </w:pPr>
    </w:p>
    <w:p w14:paraId="4609C7E4" w14:textId="77777777" w:rsidR="00607614" w:rsidRDefault="00607614" w:rsidP="00C40818">
      <w:pPr>
        <w:spacing w:line="276" w:lineRule="auto"/>
        <w:jc w:val="both"/>
        <w:rPr>
          <w:rFonts w:ascii="Arial" w:hAnsi="Arial" w:cs="Arial"/>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185461"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185461" w:rsidRDefault="00D70251" w:rsidP="00263DB3">
            <w:pPr>
              <w:spacing w:line="276" w:lineRule="auto"/>
              <w:jc w:val="center"/>
              <w:rPr>
                <w:rFonts w:ascii="Arial" w:hAnsi="Arial" w:cs="Arial"/>
                <w:b/>
                <w:bCs/>
                <w:color w:val="000000"/>
              </w:rPr>
            </w:pPr>
            <w:r w:rsidRPr="00185461">
              <w:rPr>
                <w:rFonts w:ascii="Arial" w:hAnsi="Arial" w:cs="Arial"/>
                <w:b/>
                <w:bCs/>
                <w:color w:val="000000"/>
              </w:rPr>
              <w:t>Acciones Emitidas</w:t>
            </w:r>
          </w:p>
        </w:tc>
      </w:tr>
      <w:tr w:rsidR="00D70251" w:rsidRPr="00185461"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185461" w:rsidRDefault="00D70251" w:rsidP="00263DB3">
            <w:pPr>
              <w:spacing w:line="276" w:lineRule="auto"/>
              <w:jc w:val="center"/>
              <w:rPr>
                <w:rFonts w:ascii="Arial" w:hAnsi="Arial" w:cs="Arial"/>
                <w:b/>
                <w:bCs/>
                <w:color w:val="000000"/>
              </w:rPr>
            </w:pPr>
            <w:r w:rsidRPr="00185461">
              <w:rPr>
                <w:rFonts w:ascii="Arial" w:hAnsi="Arial" w:cs="Arial"/>
                <w:b/>
                <w:bCs/>
                <w:color w:val="00000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185461" w:rsidRDefault="00D70251" w:rsidP="00263DB3">
            <w:pPr>
              <w:spacing w:line="276" w:lineRule="auto"/>
              <w:jc w:val="center"/>
              <w:rPr>
                <w:rFonts w:ascii="Arial" w:hAnsi="Arial" w:cs="Arial"/>
                <w:b/>
                <w:bCs/>
                <w:color w:val="000000"/>
              </w:rPr>
            </w:pPr>
            <w:r w:rsidRPr="00185461">
              <w:rPr>
                <w:rFonts w:ascii="Arial" w:hAnsi="Arial" w:cs="Arial"/>
                <w:b/>
                <w:bCs/>
                <w:color w:val="000000"/>
              </w:rPr>
              <w:t>Número</w:t>
            </w:r>
          </w:p>
        </w:tc>
      </w:tr>
      <w:tr w:rsidR="00D70251" w:rsidRPr="00185461"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185461" w:rsidRDefault="00D70251" w:rsidP="00263DB3">
            <w:pPr>
              <w:spacing w:line="276" w:lineRule="auto"/>
              <w:rPr>
                <w:rFonts w:ascii="Arial" w:hAnsi="Arial" w:cs="Arial"/>
                <w:b/>
                <w:color w:val="000000"/>
              </w:rPr>
            </w:pPr>
            <w:r w:rsidRPr="00185461">
              <w:rPr>
                <w:rFonts w:ascii="Arial" w:hAnsi="Arial" w:cs="Arial"/>
                <w:b/>
                <w:color w:val="00000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7F94BF05" w:rsidR="00D70251" w:rsidRPr="00FB31CB" w:rsidRDefault="001255BB" w:rsidP="00263DB3">
            <w:pPr>
              <w:spacing w:line="276" w:lineRule="auto"/>
              <w:jc w:val="center"/>
              <w:rPr>
                <w:rFonts w:ascii="Arial" w:hAnsi="Arial" w:cs="Arial"/>
                <w:b/>
                <w:color w:val="000000"/>
              </w:rPr>
            </w:pPr>
            <w:r w:rsidRPr="00FE6058">
              <w:rPr>
                <w:rFonts w:ascii="Arial" w:hAnsi="Arial" w:cs="Arial"/>
                <w:b/>
                <w:color w:val="000000"/>
              </w:rPr>
              <w:t>0</w:t>
            </w:r>
            <w:r w:rsidR="00A759A5">
              <w:rPr>
                <w:rFonts w:ascii="Arial" w:hAnsi="Arial" w:cs="Arial"/>
                <w:b/>
                <w:color w:val="000000"/>
              </w:rPr>
              <w:t>3</w:t>
            </w:r>
          </w:p>
        </w:tc>
      </w:tr>
      <w:tr w:rsidR="00D70251" w:rsidRPr="00185461"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185461" w:rsidRDefault="00D70251" w:rsidP="00263DB3">
            <w:pPr>
              <w:spacing w:line="276" w:lineRule="auto"/>
              <w:rPr>
                <w:rFonts w:ascii="Arial" w:hAnsi="Arial" w:cs="Arial"/>
                <w:b/>
                <w:color w:val="00000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FB31CB" w:rsidRDefault="00D70251" w:rsidP="00263DB3">
            <w:pPr>
              <w:spacing w:line="276" w:lineRule="auto"/>
              <w:jc w:val="center"/>
              <w:rPr>
                <w:rFonts w:ascii="Arial" w:hAnsi="Arial" w:cs="Arial"/>
                <w:b/>
                <w:color w:val="000000"/>
              </w:rPr>
            </w:pPr>
          </w:p>
        </w:tc>
      </w:tr>
      <w:tr w:rsidR="00D70251" w:rsidRPr="00185461" w14:paraId="6E320E4C" w14:textId="77777777" w:rsidTr="00D70251">
        <w:trPr>
          <w:trHeight w:val="315"/>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185461" w:rsidRDefault="00D70251" w:rsidP="00263DB3">
            <w:pPr>
              <w:spacing w:line="276" w:lineRule="auto"/>
              <w:rPr>
                <w:rFonts w:ascii="Arial" w:hAnsi="Arial" w:cs="Arial"/>
                <w:b/>
                <w:bCs/>
                <w:color w:val="000000"/>
              </w:rPr>
            </w:pPr>
            <w:r w:rsidRPr="00185461">
              <w:rPr>
                <w:rFonts w:ascii="Arial" w:hAnsi="Arial" w:cs="Arial"/>
                <w:b/>
                <w:bCs/>
                <w:color w:val="000000"/>
              </w:rPr>
              <w:t>Total</w:t>
            </w:r>
          </w:p>
        </w:tc>
        <w:tc>
          <w:tcPr>
            <w:tcW w:w="1352" w:type="dxa"/>
            <w:tcBorders>
              <w:top w:val="single" w:sz="4" w:space="0" w:color="auto"/>
              <w:left w:val="nil"/>
              <w:bottom w:val="nil"/>
              <w:right w:val="nil"/>
            </w:tcBorders>
            <w:shd w:val="clear" w:color="auto" w:fill="auto"/>
            <w:noWrap/>
            <w:vAlign w:val="bottom"/>
          </w:tcPr>
          <w:p w14:paraId="2DCB6017" w14:textId="796A30C4" w:rsidR="00D70251" w:rsidRPr="00FB31CB" w:rsidRDefault="001255BB" w:rsidP="00263DB3">
            <w:pPr>
              <w:spacing w:line="276" w:lineRule="auto"/>
              <w:jc w:val="center"/>
              <w:rPr>
                <w:rFonts w:ascii="Arial" w:hAnsi="Arial" w:cs="Arial"/>
                <w:b/>
                <w:bCs/>
                <w:color w:val="000000"/>
              </w:rPr>
            </w:pPr>
            <w:r w:rsidRPr="00FE6058">
              <w:rPr>
                <w:rFonts w:ascii="Arial" w:hAnsi="Arial" w:cs="Arial"/>
                <w:b/>
                <w:bCs/>
                <w:color w:val="000000"/>
              </w:rPr>
              <w:t>0</w:t>
            </w:r>
            <w:r w:rsidR="00A759A5">
              <w:rPr>
                <w:rFonts w:ascii="Arial" w:hAnsi="Arial" w:cs="Arial"/>
                <w:b/>
                <w:bCs/>
                <w:color w:val="000000"/>
              </w:rPr>
              <w:t>3</w:t>
            </w:r>
          </w:p>
        </w:tc>
      </w:tr>
    </w:tbl>
    <w:p w14:paraId="6CCA9029" w14:textId="77777777" w:rsidR="00607614" w:rsidRDefault="00607614" w:rsidP="00607614">
      <w:pPr>
        <w:pStyle w:val="Prrafodelista"/>
        <w:spacing w:line="276" w:lineRule="auto"/>
        <w:ind w:left="851"/>
        <w:jc w:val="both"/>
        <w:outlineLvl w:val="1"/>
        <w:rPr>
          <w:rFonts w:ascii="Arial" w:hAnsi="Arial" w:cs="Arial"/>
          <w:b/>
        </w:rPr>
      </w:pPr>
      <w:bookmarkStart w:id="28" w:name="_Toc51083020"/>
    </w:p>
    <w:p w14:paraId="50F7078B" w14:textId="5CE232FA" w:rsidR="00D70251" w:rsidRPr="00CA3406" w:rsidRDefault="00D70251" w:rsidP="0078651E">
      <w:pPr>
        <w:pStyle w:val="Prrafodelista"/>
        <w:numPr>
          <w:ilvl w:val="0"/>
          <w:numId w:val="11"/>
        </w:numPr>
        <w:spacing w:line="276" w:lineRule="auto"/>
        <w:ind w:left="851" w:hanging="425"/>
        <w:jc w:val="both"/>
        <w:outlineLvl w:val="1"/>
        <w:rPr>
          <w:rFonts w:ascii="Arial" w:hAnsi="Arial" w:cs="Arial"/>
          <w:b/>
        </w:rPr>
      </w:pPr>
      <w:r w:rsidRPr="00CA3406">
        <w:rPr>
          <w:rFonts w:ascii="Arial" w:hAnsi="Arial" w:cs="Arial"/>
          <w:b/>
        </w:rPr>
        <w:t>Detalle de Resultados</w:t>
      </w:r>
      <w:bookmarkEnd w:id="28"/>
    </w:p>
    <w:p w14:paraId="2FE93F55" w14:textId="3A4866DD" w:rsidR="00D70251" w:rsidRDefault="00D70251" w:rsidP="00C40818">
      <w:pPr>
        <w:spacing w:line="276" w:lineRule="auto"/>
        <w:jc w:val="both"/>
        <w:rPr>
          <w:rFonts w:ascii="Arial" w:hAnsi="Arial" w:cs="Arial"/>
          <w:b/>
        </w:rPr>
      </w:pPr>
    </w:p>
    <w:p w14:paraId="222F5F92" w14:textId="77777777" w:rsidR="00456BB3" w:rsidRDefault="00456BB3" w:rsidP="00456BB3">
      <w:pPr>
        <w:autoSpaceDE w:val="0"/>
        <w:autoSpaceDN w:val="0"/>
        <w:adjustRightInd w:val="0"/>
        <w:rPr>
          <w:rFonts w:ascii="Arial" w:hAnsi="Arial" w:cs="Arial"/>
          <w:b/>
          <w:bCs/>
        </w:rPr>
      </w:pPr>
      <w:r>
        <w:rPr>
          <w:rFonts w:ascii="Arial" w:hAnsi="Arial" w:cs="Arial"/>
          <w:b/>
        </w:rPr>
        <w:t xml:space="preserve">CONTROL INTERNO/ </w:t>
      </w:r>
      <w:r w:rsidRPr="00E26D41">
        <w:rPr>
          <w:rFonts w:ascii="Arial" w:hAnsi="Arial" w:cs="Arial"/>
          <w:b/>
        </w:rPr>
        <w:t>A</w:t>
      </w:r>
      <w:r>
        <w:rPr>
          <w:rFonts w:ascii="Arial" w:hAnsi="Arial" w:cs="Arial"/>
          <w:b/>
        </w:rPr>
        <w:t>MBIENTE DE CONTROL</w:t>
      </w:r>
      <w:r>
        <w:rPr>
          <w:rFonts w:ascii="Arial" w:hAnsi="Arial" w:cs="Arial"/>
          <w:b/>
          <w:bCs/>
        </w:rPr>
        <w:t xml:space="preserve"> </w:t>
      </w:r>
    </w:p>
    <w:p w14:paraId="0E7226A7" w14:textId="77617AD6" w:rsidR="00456BB3" w:rsidRDefault="00456BB3" w:rsidP="00456BB3">
      <w:pPr>
        <w:pStyle w:val="Prrafodelista"/>
        <w:rPr>
          <w:rFonts w:ascii="Arial" w:hAnsi="Arial" w:cs="Arial"/>
          <w:b/>
        </w:rPr>
      </w:pPr>
    </w:p>
    <w:p w14:paraId="4C419A80" w14:textId="0019D3F9" w:rsidR="00456BB3" w:rsidRDefault="00456BB3" w:rsidP="00456BB3">
      <w:pPr>
        <w:autoSpaceDE w:val="0"/>
        <w:autoSpaceDN w:val="0"/>
        <w:adjustRightInd w:val="0"/>
        <w:spacing w:line="276" w:lineRule="auto"/>
        <w:jc w:val="both"/>
        <w:rPr>
          <w:rFonts w:ascii="Arial" w:hAnsi="Arial" w:cs="Arial"/>
          <w:b/>
        </w:rPr>
      </w:pPr>
      <w:r w:rsidRPr="005756DE">
        <w:rPr>
          <w:rFonts w:ascii="Arial" w:hAnsi="Arial" w:cs="Arial"/>
          <w:b/>
        </w:rPr>
        <w:t>Resultado Número 1</w:t>
      </w:r>
      <w:r>
        <w:rPr>
          <w:rFonts w:ascii="Arial" w:hAnsi="Arial" w:cs="Arial"/>
          <w:b/>
        </w:rPr>
        <w:t>,</w:t>
      </w:r>
      <w:r w:rsidRPr="005756DE">
        <w:rPr>
          <w:rFonts w:ascii="Arial" w:hAnsi="Arial" w:cs="Arial"/>
          <w:b/>
        </w:rPr>
        <w:t xml:space="preserve"> con Observaciones</w:t>
      </w:r>
    </w:p>
    <w:p w14:paraId="79E5B8F1" w14:textId="77777777" w:rsidR="00C10D4F" w:rsidRDefault="00C10D4F" w:rsidP="00456BB3">
      <w:pPr>
        <w:autoSpaceDE w:val="0"/>
        <w:autoSpaceDN w:val="0"/>
        <w:adjustRightInd w:val="0"/>
        <w:spacing w:line="276" w:lineRule="auto"/>
        <w:jc w:val="both"/>
        <w:rPr>
          <w:rFonts w:ascii="Arial" w:hAnsi="Arial" w:cs="Arial"/>
          <w:b/>
        </w:rPr>
      </w:pPr>
    </w:p>
    <w:p w14:paraId="60BD1B36" w14:textId="65E31631" w:rsidR="008C5AC2" w:rsidRPr="008C5AC2" w:rsidRDefault="008C5AC2" w:rsidP="00D82819">
      <w:pPr>
        <w:pStyle w:val="Prrafodelista"/>
        <w:numPr>
          <w:ilvl w:val="0"/>
          <w:numId w:val="16"/>
        </w:numPr>
        <w:spacing w:after="160" w:line="276" w:lineRule="auto"/>
        <w:ind w:left="284" w:hanging="284"/>
        <w:jc w:val="both"/>
        <w:rPr>
          <w:rFonts w:ascii="Arial" w:hAnsi="Arial" w:cs="Arial"/>
        </w:rPr>
      </w:pPr>
      <w:r w:rsidRPr="008C5AC2">
        <w:rPr>
          <w:rFonts w:ascii="Arial" w:hAnsi="Arial" w:cs="Arial"/>
        </w:rPr>
        <w:t xml:space="preserve">Se observó que el marco normativo del Instituto de Acceso a la Información y Protección de Datos Personales de Quintana Roo presenta debilidades debido a la falta de actualización y homologación entre sí, por lo que, </w:t>
      </w:r>
      <w:r w:rsidR="005A54BC">
        <w:rPr>
          <w:rFonts w:ascii="Arial" w:hAnsi="Arial" w:cs="Arial"/>
        </w:rPr>
        <w:t>los</w:t>
      </w:r>
      <w:r w:rsidR="002828C1">
        <w:rPr>
          <w:rFonts w:ascii="Arial" w:hAnsi="Arial" w:cs="Arial"/>
        </w:rPr>
        <w:t xml:space="preserve"> documentos normativos </w:t>
      </w:r>
      <w:r w:rsidRPr="008C5AC2">
        <w:rPr>
          <w:rFonts w:ascii="Arial" w:hAnsi="Arial" w:cs="Arial"/>
        </w:rPr>
        <w:t>presentan incongruencia</w:t>
      </w:r>
      <w:r w:rsidR="00CA30DD">
        <w:rPr>
          <w:rFonts w:ascii="Arial" w:hAnsi="Arial" w:cs="Arial"/>
        </w:rPr>
        <w:t>,</w:t>
      </w:r>
      <w:r w:rsidRPr="008C5AC2">
        <w:rPr>
          <w:rFonts w:ascii="Arial" w:hAnsi="Arial" w:cs="Arial"/>
        </w:rPr>
        <w:t xml:space="preserve"> mostrando diferencias en la denominación de algunas Unidades Administrativas con respecto a lo establecido en la </w:t>
      </w:r>
      <w:r w:rsidRPr="002A7E98">
        <w:rPr>
          <w:rFonts w:ascii="Arial" w:hAnsi="Arial" w:cs="Arial"/>
        </w:rPr>
        <w:t>Ley</w:t>
      </w:r>
      <w:r w:rsidRPr="008C5AC2">
        <w:rPr>
          <w:rFonts w:ascii="Arial" w:hAnsi="Arial" w:cs="Arial"/>
        </w:rPr>
        <w:t xml:space="preserve"> de Transparencia y Acceso a la Información Pública para el Estado de Quintana Roo, </w:t>
      </w:r>
      <w:r w:rsidRPr="002A7E98">
        <w:rPr>
          <w:rFonts w:ascii="Arial" w:hAnsi="Arial" w:cs="Arial"/>
        </w:rPr>
        <w:t xml:space="preserve">el </w:t>
      </w:r>
      <w:bookmarkStart w:id="29" w:name="_Hlk53545619"/>
      <w:r w:rsidRPr="002A7E98">
        <w:rPr>
          <w:rFonts w:ascii="Arial" w:hAnsi="Arial" w:cs="Arial"/>
        </w:rPr>
        <w:t>Reglamento Interior y Condiciones Generales de Trabajo del Instituto de Transparencia y Acceso a la Información Pública de Quintana Roo</w:t>
      </w:r>
      <w:r w:rsidR="002A7E98">
        <w:rPr>
          <w:rFonts w:ascii="Arial" w:hAnsi="Arial" w:cs="Arial"/>
        </w:rPr>
        <w:t>,</w:t>
      </w:r>
      <w:r w:rsidRPr="002A7E98">
        <w:rPr>
          <w:rFonts w:ascii="Arial" w:hAnsi="Arial" w:cs="Arial"/>
        </w:rPr>
        <w:t xml:space="preserve"> </w:t>
      </w:r>
      <w:bookmarkEnd w:id="29"/>
      <w:r w:rsidRPr="002A7E98">
        <w:rPr>
          <w:rFonts w:ascii="Arial" w:hAnsi="Arial" w:cs="Arial"/>
        </w:rPr>
        <w:t>y la Estru</w:t>
      </w:r>
      <w:r w:rsidR="00A671F1" w:rsidRPr="002A7E98">
        <w:rPr>
          <w:rFonts w:ascii="Arial" w:hAnsi="Arial" w:cs="Arial"/>
        </w:rPr>
        <w:t>ctura Orgánica del mismo. Por otro lado</w:t>
      </w:r>
      <w:r w:rsidRPr="002A7E98">
        <w:rPr>
          <w:rFonts w:ascii="Arial" w:hAnsi="Arial" w:cs="Arial"/>
        </w:rPr>
        <w:t>, se constató</w:t>
      </w:r>
      <w:r w:rsidR="005A54BC" w:rsidRPr="002A7E98">
        <w:rPr>
          <w:rFonts w:ascii="Arial" w:hAnsi="Arial" w:cs="Arial"/>
        </w:rPr>
        <w:t xml:space="preserve"> </w:t>
      </w:r>
      <w:r w:rsidRPr="002A7E98">
        <w:rPr>
          <w:rFonts w:ascii="Arial" w:hAnsi="Arial" w:cs="Arial"/>
        </w:rPr>
        <w:t>que las unidades administrativas de</w:t>
      </w:r>
      <w:r w:rsidRPr="008C5AC2">
        <w:rPr>
          <w:rFonts w:ascii="Arial" w:hAnsi="Arial" w:cs="Arial"/>
        </w:rPr>
        <w:t xml:space="preserve"> la </w:t>
      </w:r>
      <w:r w:rsidR="008F452A">
        <w:rPr>
          <w:rFonts w:ascii="Arial" w:hAnsi="Arial" w:cs="Arial"/>
        </w:rPr>
        <w:t>Estructura O</w:t>
      </w:r>
      <w:r w:rsidRPr="008C5AC2">
        <w:rPr>
          <w:rFonts w:ascii="Arial" w:hAnsi="Arial" w:cs="Arial"/>
        </w:rPr>
        <w:t xml:space="preserve">rgánica, no se encuentran contempladas en los demás documentos normativos que rigen al Instituto para el desempeño de sus funciones.  </w:t>
      </w:r>
    </w:p>
    <w:p w14:paraId="51C9DB34" w14:textId="77777777" w:rsidR="008C5AC2" w:rsidRPr="008C5AC2" w:rsidRDefault="008C5AC2" w:rsidP="00C10D4F">
      <w:pPr>
        <w:pStyle w:val="Prrafodelista"/>
        <w:spacing w:line="276" w:lineRule="auto"/>
        <w:ind w:left="0"/>
        <w:jc w:val="both"/>
        <w:rPr>
          <w:rFonts w:ascii="Arial" w:hAnsi="Arial" w:cs="Arial"/>
        </w:rPr>
      </w:pPr>
    </w:p>
    <w:p w14:paraId="1D5258E7" w14:textId="133152FB" w:rsidR="00050CA8" w:rsidRDefault="008C5AC2" w:rsidP="00D82819">
      <w:pPr>
        <w:spacing w:line="276" w:lineRule="auto"/>
        <w:ind w:left="284"/>
        <w:contextualSpacing/>
        <w:jc w:val="both"/>
        <w:rPr>
          <w:rFonts w:ascii="Arial" w:hAnsi="Arial" w:cs="Arial"/>
        </w:rPr>
      </w:pPr>
      <w:r w:rsidRPr="008C5AC2">
        <w:rPr>
          <w:rFonts w:ascii="Arial" w:hAnsi="Arial" w:cs="Arial"/>
        </w:rPr>
        <w:t xml:space="preserve">Del mismo modo, se identificó que el título del Reglamento Interior y Condiciones Generales de Trabajo hace referencia en su denominación </w:t>
      </w:r>
      <w:r w:rsidR="0033533C">
        <w:rPr>
          <w:rFonts w:ascii="Arial" w:hAnsi="Arial" w:cs="Arial"/>
        </w:rPr>
        <w:t>al</w:t>
      </w:r>
      <w:r w:rsidR="0033533C" w:rsidRPr="008C5AC2">
        <w:rPr>
          <w:rFonts w:ascii="Arial" w:hAnsi="Arial" w:cs="Arial"/>
        </w:rPr>
        <w:t xml:space="preserve"> Instituto de Transparencia y Acceso a la Información Pública de Quintana Roo</w:t>
      </w:r>
      <w:r w:rsidR="0033533C">
        <w:rPr>
          <w:rFonts w:ascii="Arial" w:hAnsi="Arial" w:cs="Arial"/>
        </w:rPr>
        <w:t xml:space="preserve"> (ITAIPQROO)</w:t>
      </w:r>
      <w:r w:rsidR="0033533C" w:rsidRPr="008C5AC2">
        <w:rPr>
          <w:rFonts w:ascii="Arial" w:hAnsi="Arial" w:cs="Arial"/>
        </w:rPr>
        <w:t>,</w:t>
      </w:r>
      <w:r w:rsidR="0033533C">
        <w:rPr>
          <w:rFonts w:ascii="Arial" w:hAnsi="Arial" w:cs="Arial"/>
        </w:rPr>
        <w:t xml:space="preserve"> lo que es incongruente</w:t>
      </w:r>
      <w:r w:rsidRPr="008C5AC2">
        <w:rPr>
          <w:rFonts w:ascii="Arial" w:hAnsi="Arial" w:cs="Arial"/>
        </w:rPr>
        <w:t xml:space="preserve"> debido </w:t>
      </w:r>
      <w:r w:rsidR="00FC2725">
        <w:rPr>
          <w:rFonts w:ascii="Arial" w:hAnsi="Arial" w:cs="Arial"/>
        </w:rPr>
        <w:t xml:space="preserve">a </w:t>
      </w:r>
      <w:r w:rsidRPr="008C5AC2">
        <w:rPr>
          <w:rFonts w:ascii="Arial" w:hAnsi="Arial" w:cs="Arial"/>
        </w:rPr>
        <w:t>que actualmente se denomina Instituto de Acceso a la Información y Protección de Datos Personales de Quintana Roo</w:t>
      </w:r>
      <w:r w:rsidR="0033533C">
        <w:rPr>
          <w:rFonts w:ascii="Arial" w:hAnsi="Arial" w:cs="Arial"/>
        </w:rPr>
        <w:t xml:space="preserve"> (IDAIPQROO)</w:t>
      </w:r>
      <w:r w:rsidRPr="008C5AC2">
        <w:rPr>
          <w:rFonts w:ascii="Arial" w:hAnsi="Arial" w:cs="Arial"/>
        </w:rPr>
        <w:t xml:space="preserve">, el cual cuenta con funciones sustantivas en materia al acceso a la información y la protección de datos personales. </w:t>
      </w:r>
    </w:p>
    <w:p w14:paraId="66491F87" w14:textId="32264937" w:rsidR="00D82819" w:rsidRDefault="00D82819" w:rsidP="00D82819">
      <w:pPr>
        <w:spacing w:line="276" w:lineRule="auto"/>
        <w:ind w:left="284"/>
        <w:contextualSpacing/>
        <w:jc w:val="both"/>
        <w:rPr>
          <w:rFonts w:ascii="Arial" w:hAnsi="Arial" w:cs="Arial"/>
        </w:rPr>
      </w:pPr>
    </w:p>
    <w:p w14:paraId="01D389CB" w14:textId="7D9C1C01" w:rsidR="00D82819" w:rsidRDefault="00D82819" w:rsidP="00D82819">
      <w:pPr>
        <w:spacing w:line="276" w:lineRule="auto"/>
        <w:ind w:left="284"/>
        <w:contextualSpacing/>
        <w:jc w:val="both"/>
        <w:rPr>
          <w:rFonts w:ascii="Arial" w:hAnsi="Arial" w:cs="Arial"/>
        </w:rPr>
      </w:pPr>
    </w:p>
    <w:p w14:paraId="0B02E231" w14:textId="3B8981D9" w:rsidR="00160F98" w:rsidRDefault="00160F98" w:rsidP="00D82819">
      <w:pPr>
        <w:spacing w:line="276" w:lineRule="auto"/>
        <w:ind w:left="284"/>
        <w:contextualSpacing/>
        <w:jc w:val="both"/>
        <w:rPr>
          <w:rFonts w:ascii="Arial" w:hAnsi="Arial" w:cs="Arial"/>
        </w:rPr>
      </w:pPr>
      <w:r>
        <w:rPr>
          <w:rFonts w:ascii="Arial" w:hAnsi="Arial" w:cs="Arial"/>
        </w:rPr>
        <w:t>Resumen de observación</w:t>
      </w:r>
      <w:r w:rsidR="007B0FC8">
        <w:rPr>
          <w:rFonts w:ascii="Arial" w:hAnsi="Arial" w:cs="Arial"/>
        </w:rPr>
        <w:t xml:space="preserve"> 1</w:t>
      </w:r>
      <w:r>
        <w:rPr>
          <w:rFonts w:ascii="Arial" w:hAnsi="Arial" w:cs="Arial"/>
        </w:rPr>
        <w:t>:</w:t>
      </w:r>
    </w:p>
    <w:tbl>
      <w:tblPr>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551"/>
        <w:gridCol w:w="1701"/>
        <w:gridCol w:w="1701"/>
        <w:gridCol w:w="2596"/>
      </w:tblGrid>
      <w:tr w:rsidR="00953535" w:rsidRPr="00D82819" w14:paraId="5C31E18A" w14:textId="74528D6B" w:rsidTr="0080718F">
        <w:trPr>
          <w:trHeight w:val="67"/>
          <w:jc w:val="right"/>
        </w:trPr>
        <w:tc>
          <w:tcPr>
            <w:tcW w:w="8549" w:type="dxa"/>
            <w:gridSpan w:val="4"/>
            <w:shd w:val="clear" w:color="auto" w:fill="D9D9D9" w:themeFill="background1" w:themeFillShade="D9"/>
            <w:vAlign w:val="center"/>
          </w:tcPr>
          <w:p w14:paraId="1E08272D" w14:textId="69D66B89" w:rsidR="00953535" w:rsidRPr="00D82819" w:rsidRDefault="00231525" w:rsidP="00231525">
            <w:pPr>
              <w:spacing w:before="60" w:line="276" w:lineRule="auto"/>
              <w:jc w:val="center"/>
              <w:rPr>
                <w:rFonts w:ascii="Arial" w:hAnsi="Arial" w:cs="Arial"/>
                <w:b/>
                <w:sz w:val="18"/>
                <w:szCs w:val="18"/>
              </w:rPr>
            </w:pPr>
            <w:r w:rsidRPr="00D82819">
              <w:rPr>
                <w:rFonts w:ascii="Arial" w:hAnsi="Arial" w:cs="Arial"/>
                <w:b/>
                <w:sz w:val="18"/>
                <w:szCs w:val="18"/>
              </w:rPr>
              <w:t>Homologación de documentos normativos</w:t>
            </w:r>
          </w:p>
        </w:tc>
      </w:tr>
      <w:tr w:rsidR="00953535" w:rsidRPr="00D82819" w14:paraId="3CC3697F" w14:textId="39D3B301" w:rsidTr="0080718F">
        <w:trPr>
          <w:trHeight w:val="67"/>
          <w:jc w:val="right"/>
        </w:trPr>
        <w:tc>
          <w:tcPr>
            <w:tcW w:w="2551" w:type="dxa"/>
            <w:shd w:val="clear" w:color="auto" w:fill="F2F2F2" w:themeFill="background1" w:themeFillShade="F2"/>
            <w:vAlign w:val="center"/>
          </w:tcPr>
          <w:p w14:paraId="06015283" w14:textId="1963BA2F" w:rsidR="00953535" w:rsidRPr="00D82819" w:rsidRDefault="00953535" w:rsidP="00922983">
            <w:pPr>
              <w:spacing w:before="60" w:line="276" w:lineRule="auto"/>
              <w:jc w:val="center"/>
              <w:rPr>
                <w:rFonts w:ascii="Arial" w:hAnsi="Arial" w:cs="Arial"/>
                <w:b/>
                <w:sz w:val="18"/>
                <w:szCs w:val="18"/>
              </w:rPr>
            </w:pPr>
            <w:r w:rsidRPr="00D82819">
              <w:rPr>
                <w:rFonts w:ascii="Arial" w:hAnsi="Arial" w:cs="Arial"/>
                <w:b/>
                <w:sz w:val="18"/>
                <w:szCs w:val="18"/>
              </w:rPr>
              <w:t>Documento normativo</w:t>
            </w:r>
          </w:p>
        </w:tc>
        <w:tc>
          <w:tcPr>
            <w:tcW w:w="5998" w:type="dxa"/>
            <w:gridSpan w:val="3"/>
            <w:shd w:val="clear" w:color="auto" w:fill="F2F2F2" w:themeFill="background1" w:themeFillShade="F2"/>
            <w:vAlign w:val="center"/>
          </w:tcPr>
          <w:p w14:paraId="0986F60C" w14:textId="31BE9528" w:rsidR="00953535" w:rsidRPr="00D82819" w:rsidRDefault="00087F67" w:rsidP="00922983">
            <w:pPr>
              <w:spacing w:before="60" w:line="276" w:lineRule="auto"/>
              <w:jc w:val="center"/>
              <w:rPr>
                <w:rFonts w:ascii="Arial" w:hAnsi="Arial" w:cs="Arial"/>
                <w:b/>
                <w:sz w:val="18"/>
                <w:szCs w:val="18"/>
              </w:rPr>
            </w:pPr>
            <w:r>
              <w:rPr>
                <w:rFonts w:ascii="Arial" w:hAnsi="Arial" w:cs="Arial"/>
                <w:b/>
                <w:sz w:val="18"/>
                <w:szCs w:val="18"/>
              </w:rPr>
              <w:t>Observación</w:t>
            </w:r>
          </w:p>
        </w:tc>
      </w:tr>
      <w:tr w:rsidR="00953535" w:rsidRPr="00D82819" w14:paraId="17D84709" w14:textId="1999E52E" w:rsidTr="00D82819">
        <w:trPr>
          <w:trHeight w:val="911"/>
          <w:jc w:val="right"/>
        </w:trPr>
        <w:tc>
          <w:tcPr>
            <w:tcW w:w="2551" w:type="dxa"/>
            <w:shd w:val="clear" w:color="auto" w:fill="auto"/>
            <w:vAlign w:val="center"/>
          </w:tcPr>
          <w:p w14:paraId="1EE11082" w14:textId="771CD5D1" w:rsidR="00953535" w:rsidRPr="00D82819" w:rsidRDefault="00953535" w:rsidP="00D80B55">
            <w:pPr>
              <w:spacing w:before="60" w:line="276" w:lineRule="auto"/>
              <w:jc w:val="both"/>
              <w:rPr>
                <w:rFonts w:ascii="Arial" w:hAnsi="Arial" w:cs="Arial"/>
                <w:sz w:val="18"/>
                <w:szCs w:val="18"/>
              </w:rPr>
            </w:pPr>
            <w:bookmarkStart w:id="30" w:name="_Hlk54059978"/>
            <w:r w:rsidRPr="00D82819">
              <w:rPr>
                <w:rFonts w:ascii="Arial" w:hAnsi="Arial" w:cs="Arial"/>
                <w:sz w:val="18"/>
                <w:szCs w:val="18"/>
              </w:rPr>
              <w:t>Ley de Transparencia y Acceso a la Información Pública para el Estado de Quintana Roo.</w:t>
            </w:r>
            <w:bookmarkEnd w:id="30"/>
          </w:p>
        </w:tc>
        <w:tc>
          <w:tcPr>
            <w:tcW w:w="1701" w:type="dxa"/>
            <w:vMerge w:val="restart"/>
            <w:shd w:val="clear" w:color="auto" w:fill="auto"/>
          </w:tcPr>
          <w:p w14:paraId="3B43170E" w14:textId="7C2EF04E" w:rsidR="00953535" w:rsidRPr="00D82819" w:rsidRDefault="00953535" w:rsidP="00D80B55">
            <w:pPr>
              <w:spacing w:before="60" w:line="276" w:lineRule="auto"/>
              <w:jc w:val="both"/>
              <w:rPr>
                <w:rFonts w:ascii="Arial" w:hAnsi="Arial" w:cs="Arial"/>
                <w:sz w:val="18"/>
                <w:szCs w:val="18"/>
              </w:rPr>
            </w:pPr>
            <w:r w:rsidRPr="00D82819">
              <w:rPr>
                <w:rFonts w:ascii="Arial" w:hAnsi="Arial" w:cs="Arial"/>
                <w:sz w:val="18"/>
                <w:szCs w:val="18"/>
              </w:rPr>
              <w:t>Diferencias en la denominación de algunas Unidades Administrativas</w:t>
            </w:r>
            <w:r w:rsidR="00A8504E">
              <w:rPr>
                <w:rFonts w:ascii="Arial" w:hAnsi="Arial" w:cs="Arial"/>
                <w:sz w:val="18"/>
                <w:szCs w:val="18"/>
              </w:rPr>
              <w:t>.</w:t>
            </w:r>
          </w:p>
        </w:tc>
        <w:tc>
          <w:tcPr>
            <w:tcW w:w="1701" w:type="dxa"/>
          </w:tcPr>
          <w:p w14:paraId="52DF0D40" w14:textId="77777777" w:rsidR="00953535" w:rsidRPr="00D82819" w:rsidRDefault="00953535" w:rsidP="00D80B55">
            <w:pPr>
              <w:spacing w:before="60" w:line="276" w:lineRule="auto"/>
              <w:jc w:val="both"/>
              <w:rPr>
                <w:rFonts w:ascii="Arial" w:hAnsi="Arial" w:cs="Arial"/>
                <w:sz w:val="18"/>
                <w:szCs w:val="18"/>
              </w:rPr>
            </w:pPr>
          </w:p>
        </w:tc>
        <w:tc>
          <w:tcPr>
            <w:tcW w:w="2596" w:type="dxa"/>
            <w:vMerge w:val="restart"/>
          </w:tcPr>
          <w:p w14:paraId="3FF9DFBE" w14:textId="643EA8D0" w:rsidR="00953535" w:rsidRPr="00D82819" w:rsidRDefault="00953535" w:rsidP="00D80B55">
            <w:pPr>
              <w:spacing w:before="60" w:line="276" w:lineRule="auto"/>
              <w:jc w:val="both"/>
              <w:rPr>
                <w:rFonts w:ascii="Arial" w:hAnsi="Arial" w:cs="Arial"/>
                <w:sz w:val="18"/>
                <w:szCs w:val="18"/>
              </w:rPr>
            </w:pPr>
          </w:p>
        </w:tc>
      </w:tr>
      <w:tr w:rsidR="00953535" w:rsidRPr="00D82819" w14:paraId="05D4D34D" w14:textId="7009412E" w:rsidTr="00D82819">
        <w:trPr>
          <w:trHeight w:val="96"/>
          <w:jc w:val="right"/>
        </w:trPr>
        <w:tc>
          <w:tcPr>
            <w:tcW w:w="2551" w:type="dxa"/>
            <w:tcBorders>
              <w:bottom w:val="single" w:sz="4" w:space="0" w:color="767171" w:themeColor="background2" w:themeShade="80"/>
            </w:tcBorders>
            <w:shd w:val="clear" w:color="auto" w:fill="auto"/>
            <w:vAlign w:val="center"/>
          </w:tcPr>
          <w:p w14:paraId="7ACA2368" w14:textId="741C137E" w:rsidR="00953535" w:rsidRPr="00D82819" w:rsidRDefault="00953535" w:rsidP="008F452A">
            <w:pPr>
              <w:spacing w:before="60" w:line="276" w:lineRule="auto"/>
              <w:jc w:val="both"/>
              <w:rPr>
                <w:rFonts w:ascii="Arial" w:hAnsi="Arial" w:cs="Arial"/>
                <w:b/>
                <w:sz w:val="18"/>
                <w:szCs w:val="18"/>
              </w:rPr>
            </w:pPr>
            <w:r w:rsidRPr="00D82819">
              <w:rPr>
                <w:rFonts w:ascii="Arial" w:hAnsi="Arial" w:cs="Arial"/>
                <w:sz w:val="18"/>
                <w:szCs w:val="18"/>
              </w:rPr>
              <w:t xml:space="preserve">Estructura </w:t>
            </w:r>
            <w:r w:rsidR="008F452A" w:rsidRPr="00D82819">
              <w:rPr>
                <w:rFonts w:ascii="Arial" w:hAnsi="Arial" w:cs="Arial"/>
                <w:sz w:val="18"/>
                <w:szCs w:val="18"/>
              </w:rPr>
              <w:t>O</w:t>
            </w:r>
            <w:r w:rsidRPr="00D82819">
              <w:rPr>
                <w:rFonts w:ascii="Arial" w:hAnsi="Arial" w:cs="Arial"/>
                <w:sz w:val="18"/>
                <w:szCs w:val="18"/>
              </w:rPr>
              <w:t>rgánica.</w:t>
            </w:r>
          </w:p>
        </w:tc>
        <w:tc>
          <w:tcPr>
            <w:tcW w:w="1701" w:type="dxa"/>
            <w:vMerge/>
            <w:shd w:val="clear" w:color="auto" w:fill="auto"/>
            <w:vAlign w:val="center"/>
          </w:tcPr>
          <w:p w14:paraId="75D19F2F" w14:textId="5ABEA792" w:rsidR="00953535" w:rsidRPr="00D82819" w:rsidRDefault="00953535" w:rsidP="00D80B55">
            <w:pPr>
              <w:spacing w:before="60" w:line="276" w:lineRule="auto"/>
              <w:jc w:val="both"/>
              <w:rPr>
                <w:rFonts w:ascii="Arial" w:hAnsi="Arial" w:cs="Arial"/>
                <w:sz w:val="18"/>
                <w:szCs w:val="18"/>
              </w:rPr>
            </w:pPr>
          </w:p>
        </w:tc>
        <w:tc>
          <w:tcPr>
            <w:tcW w:w="1701" w:type="dxa"/>
            <w:vMerge w:val="restart"/>
          </w:tcPr>
          <w:p w14:paraId="3A2749F7" w14:textId="7B8373B2" w:rsidR="00953535" w:rsidRPr="00D82819" w:rsidRDefault="00953535" w:rsidP="00D80B55">
            <w:pPr>
              <w:spacing w:before="60" w:line="276" w:lineRule="auto"/>
              <w:jc w:val="both"/>
              <w:rPr>
                <w:rFonts w:ascii="Arial" w:hAnsi="Arial" w:cs="Arial"/>
                <w:sz w:val="18"/>
                <w:szCs w:val="18"/>
              </w:rPr>
            </w:pPr>
            <w:r w:rsidRPr="00D82819">
              <w:rPr>
                <w:rFonts w:ascii="Arial" w:hAnsi="Arial" w:cs="Arial"/>
                <w:sz w:val="18"/>
                <w:szCs w:val="18"/>
              </w:rPr>
              <w:t xml:space="preserve">Las </w:t>
            </w:r>
            <w:r w:rsidR="008F452A" w:rsidRPr="00D82819">
              <w:rPr>
                <w:rFonts w:ascii="Arial" w:hAnsi="Arial" w:cs="Arial"/>
                <w:sz w:val="18"/>
                <w:szCs w:val="18"/>
              </w:rPr>
              <w:t>unidades administrativas de la E</w:t>
            </w:r>
            <w:r w:rsidRPr="00D82819">
              <w:rPr>
                <w:rFonts w:ascii="Arial" w:hAnsi="Arial" w:cs="Arial"/>
                <w:sz w:val="18"/>
                <w:szCs w:val="18"/>
              </w:rPr>
              <w:t>structura orgánica, no se encuentran contempladas en el Reglamento Interior.</w:t>
            </w:r>
          </w:p>
        </w:tc>
        <w:tc>
          <w:tcPr>
            <w:tcW w:w="2596" w:type="dxa"/>
            <w:vMerge/>
            <w:tcBorders>
              <w:bottom w:val="single" w:sz="4" w:space="0" w:color="767171" w:themeColor="background2" w:themeShade="80"/>
            </w:tcBorders>
          </w:tcPr>
          <w:p w14:paraId="2E1674A7" w14:textId="520C3A59" w:rsidR="00953535" w:rsidRPr="00D82819" w:rsidRDefault="00953535" w:rsidP="00D80B55">
            <w:pPr>
              <w:spacing w:before="60" w:line="276" w:lineRule="auto"/>
              <w:jc w:val="both"/>
              <w:rPr>
                <w:rFonts w:ascii="Arial" w:hAnsi="Arial" w:cs="Arial"/>
                <w:sz w:val="18"/>
                <w:szCs w:val="18"/>
              </w:rPr>
            </w:pPr>
          </w:p>
        </w:tc>
      </w:tr>
      <w:tr w:rsidR="00953535" w:rsidRPr="00D82819" w14:paraId="25C5770D" w14:textId="2E85F6B9" w:rsidTr="00D82819">
        <w:trPr>
          <w:trHeight w:val="303"/>
          <w:jc w:val="right"/>
        </w:trPr>
        <w:tc>
          <w:tcPr>
            <w:tcW w:w="2551" w:type="dxa"/>
            <w:tcBorders>
              <w:bottom w:val="single" w:sz="4" w:space="0" w:color="767171" w:themeColor="background2" w:themeShade="80"/>
            </w:tcBorders>
            <w:shd w:val="clear" w:color="auto" w:fill="auto"/>
            <w:vAlign w:val="center"/>
          </w:tcPr>
          <w:p w14:paraId="29F7F24E" w14:textId="071BBDB0" w:rsidR="00953535" w:rsidRPr="00D82819" w:rsidRDefault="00953535" w:rsidP="00D80B55">
            <w:pPr>
              <w:spacing w:before="60" w:line="276" w:lineRule="auto"/>
              <w:jc w:val="both"/>
              <w:rPr>
                <w:rFonts w:ascii="Arial" w:hAnsi="Arial" w:cs="Arial"/>
                <w:sz w:val="18"/>
                <w:szCs w:val="18"/>
              </w:rPr>
            </w:pPr>
            <w:r w:rsidRPr="00D82819">
              <w:rPr>
                <w:rFonts w:ascii="Arial" w:hAnsi="Arial" w:cs="Arial"/>
                <w:sz w:val="18"/>
                <w:szCs w:val="18"/>
              </w:rPr>
              <w:t>Reglamento Interior y Condiciones Generales de Trabajo del Instituto de Transparencia y Acceso a la Información Pública de Quintana Roo.</w:t>
            </w:r>
          </w:p>
        </w:tc>
        <w:tc>
          <w:tcPr>
            <w:tcW w:w="1701" w:type="dxa"/>
            <w:vMerge/>
            <w:tcBorders>
              <w:bottom w:val="single" w:sz="4" w:space="0" w:color="767171" w:themeColor="background2" w:themeShade="80"/>
            </w:tcBorders>
            <w:shd w:val="clear" w:color="auto" w:fill="auto"/>
            <w:vAlign w:val="center"/>
          </w:tcPr>
          <w:p w14:paraId="28176D36" w14:textId="10437A49" w:rsidR="00953535" w:rsidRPr="00D82819" w:rsidRDefault="00953535" w:rsidP="00D80B55">
            <w:pPr>
              <w:spacing w:before="60" w:line="276" w:lineRule="auto"/>
              <w:jc w:val="both"/>
              <w:rPr>
                <w:rFonts w:ascii="Arial" w:hAnsi="Arial" w:cs="Arial"/>
                <w:sz w:val="18"/>
                <w:szCs w:val="18"/>
              </w:rPr>
            </w:pPr>
          </w:p>
        </w:tc>
        <w:tc>
          <w:tcPr>
            <w:tcW w:w="1701" w:type="dxa"/>
            <w:vMerge/>
            <w:tcBorders>
              <w:bottom w:val="single" w:sz="4" w:space="0" w:color="767171" w:themeColor="background2" w:themeShade="80"/>
            </w:tcBorders>
          </w:tcPr>
          <w:p w14:paraId="01F1020E" w14:textId="77777777" w:rsidR="00953535" w:rsidRPr="00D82819" w:rsidRDefault="00953535" w:rsidP="00D80B55">
            <w:pPr>
              <w:spacing w:before="60" w:line="276" w:lineRule="auto"/>
              <w:jc w:val="both"/>
              <w:rPr>
                <w:rFonts w:ascii="Arial" w:hAnsi="Arial" w:cs="Arial"/>
                <w:sz w:val="18"/>
                <w:szCs w:val="18"/>
              </w:rPr>
            </w:pPr>
          </w:p>
        </w:tc>
        <w:tc>
          <w:tcPr>
            <w:tcW w:w="2596" w:type="dxa"/>
            <w:tcBorders>
              <w:bottom w:val="single" w:sz="4" w:space="0" w:color="767171" w:themeColor="background2" w:themeShade="80"/>
            </w:tcBorders>
            <w:vAlign w:val="center"/>
          </w:tcPr>
          <w:p w14:paraId="6456D8B1" w14:textId="104D5636" w:rsidR="00953535" w:rsidRPr="00D82819" w:rsidRDefault="00953535" w:rsidP="00D80B55">
            <w:pPr>
              <w:spacing w:before="60" w:line="276" w:lineRule="auto"/>
              <w:jc w:val="both"/>
              <w:rPr>
                <w:rFonts w:ascii="Arial" w:hAnsi="Arial" w:cs="Arial"/>
                <w:sz w:val="18"/>
                <w:szCs w:val="18"/>
              </w:rPr>
            </w:pPr>
            <w:r w:rsidRPr="00D82819">
              <w:rPr>
                <w:rFonts w:ascii="Arial" w:hAnsi="Arial" w:cs="Arial"/>
                <w:sz w:val="18"/>
                <w:szCs w:val="18"/>
              </w:rPr>
              <w:t>Hace referencia en su denominación al Instituto de Transparencia y Acceso a la Información Pública de Quintana Roo (ITAIPQROO).</w:t>
            </w:r>
          </w:p>
        </w:tc>
      </w:tr>
      <w:tr w:rsidR="00953535" w:rsidRPr="00D82819" w14:paraId="46224234" w14:textId="72C3F50F" w:rsidTr="00D82819">
        <w:trPr>
          <w:trHeight w:val="303"/>
          <w:jc w:val="right"/>
        </w:trPr>
        <w:tc>
          <w:tcPr>
            <w:tcW w:w="8549" w:type="dxa"/>
            <w:gridSpan w:val="4"/>
            <w:tcBorders>
              <w:top w:val="single" w:sz="4" w:space="0" w:color="767171" w:themeColor="background2" w:themeShade="80"/>
              <w:left w:val="nil"/>
              <w:bottom w:val="nil"/>
              <w:right w:val="nil"/>
            </w:tcBorders>
            <w:shd w:val="clear" w:color="auto" w:fill="auto"/>
            <w:vAlign w:val="center"/>
          </w:tcPr>
          <w:p w14:paraId="629D3CD4" w14:textId="0940CBC9" w:rsidR="00953535" w:rsidRPr="00D82819" w:rsidRDefault="00953535" w:rsidP="00231525">
            <w:pPr>
              <w:spacing w:line="276" w:lineRule="auto"/>
              <w:jc w:val="center"/>
              <w:rPr>
                <w:rFonts w:ascii="Arial" w:hAnsi="Arial" w:cs="Arial"/>
                <w:b/>
                <w:sz w:val="18"/>
                <w:szCs w:val="18"/>
              </w:rPr>
            </w:pPr>
            <w:r w:rsidRPr="00D82819">
              <w:rPr>
                <w:rFonts w:ascii="Arial" w:hAnsi="Arial" w:cs="Arial"/>
                <w:b/>
                <w:sz w:val="18"/>
                <w:szCs w:val="18"/>
              </w:rPr>
              <w:t>Fuente:</w:t>
            </w:r>
            <w:r w:rsidRPr="00D82819">
              <w:rPr>
                <w:rFonts w:ascii="Arial" w:hAnsi="Arial" w:cs="Arial"/>
                <w:sz w:val="18"/>
                <w:szCs w:val="18"/>
              </w:rPr>
              <w:t xml:space="preserve"> Elaborado por la ASEQROO de acuerdo a los documentos presentados por el IDAIPQROO.</w:t>
            </w:r>
          </w:p>
        </w:tc>
      </w:tr>
    </w:tbl>
    <w:p w14:paraId="3A97DBDF" w14:textId="6578DFB4" w:rsidR="009C14CE" w:rsidRDefault="009C14CE" w:rsidP="00C10D4F">
      <w:pPr>
        <w:spacing w:line="276" w:lineRule="auto"/>
        <w:jc w:val="both"/>
      </w:pPr>
    </w:p>
    <w:p w14:paraId="692AE4C3" w14:textId="77777777" w:rsidR="00231525" w:rsidRPr="00050CA8" w:rsidRDefault="00231525" w:rsidP="00C10D4F">
      <w:pPr>
        <w:spacing w:line="276" w:lineRule="auto"/>
        <w:jc w:val="both"/>
      </w:pPr>
    </w:p>
    <w:p w14:paraId="6859B159" w14:textId="215CA7BC" w:rsidR="007A3715" w:rsidRDefault="00050CA8" w:rsidP="0065372F">
      <w:pPr>
        <w:pStyle w:val="Prrafodelista"/>
        <w:numPr>
          <w:ilvl w:val="0"/>
          <w:numId w:val="16"/>
        </w:numPr>
        <w:spacing w:after="160" w:line="276" w:lineRule="auto"/>
        <w:ind w:left="0" w:firstLine="0"/>
        <w:jc w:val="both"/>
        <w:rPr>
          <w:rFonts w:ascii="Arial" w:hAnsi="Arial" w:cs="Arial"/>
        </w:rPr>
      </w:pPr>
      <w:r w:rsidRPr="00050CA8">
        <w:rPr>
          <w:rFonts w:ascii="Arial" w:hAnsi="Arial" w:cs="Arial"/>
        </w:rPr>
        <w:t>Se identificó que el Instituto de Acceso a la Información y Protección de Datos Personales de Quintana Roo</w:t>
      </w:r>
      <w:r w:rsidR="00AB0B1C">
        <w:rPr>
          <w:rFonts w:ascii="Arial" w:hAnsi="Arial" w:cs="Arial"/>
        </w:rPr>
        <w:t xml:space="preserve"> </w:t>
      </w:r>
      <w:r w:rsidR="00910711">
        <w:rPr>
          <w:rFonts w:ascii="Arial" w:hAnsi="Arial" w:cs="Arial"/>
        </w:rPr>
        <w:t xml:space="preserve">trabaja con </w:t>
      </w:r>
      <w:r w:rsidR="00301220">
        <w:rPr>
          <w:rFonts w:ascii="Arial" w:hAnsi="Arial" w:cs="Arial"/>
        </w:rPr>
        <w:t>enfoque de</w:t>
      </w:r>
      <w:r w:rsidR="00910711">
        <w:rPr>
          <w:rFonts w:ascii="Arial" w:hAnsi="Arial" w:cs="Arial"/>
        </w:rPr>
        <w:t xml:space="preserve"> Presupuesto basado en Resultados</w:t>
      </w:r>
      <w:r w:rsidR="00301220">
        <w:rPr>
          <w:rFonts w:ascii="Arial" w:hAnsi="Arial" w:cs="Arial"/>
        </w:rPr>
        <w:t xml:space="preserve"> y Metodología de Marco Lógico</w:t>
      </w:r>
      <w:r w:rsidR="004515FC">
        <w:rPr>
          <w:rFonts w:ascii="Arial" w:hAnsi="Arial" w:cs="Arial"/>
        </w:rPr>
        <w:t xml:space="preserve"> ya que su presupuesto anual está estructurado por programa presupuestario y con la </w:t>
      </w:r>
      <w:r w:rsidR="00301220">
        <w:rPr>
          <w:rFonts w:ascii="Arial" w:hAnsi="Arial" w:cs="Arial"/>
        </w:rPr>
        <w:t>Matriz de Indicadores para Resultados</w:t>
      </w:r>
      <w:r w:rsidR="008D7996">
        <w:rPr>
          <w:rFonts w:ascii="Arial" w:hAnsi="Arial" w:cs="Arial"/>
        </w:rPr>
        <w:t>; adicionalmente, s</w:t>
      </w:r>
      <w:r w:rsidR="004515FC">
        <w:rPr>
          <w:rFonts w:ascii="Arial" w:hAnsi="Arial" w:cs="Arial"/>
        </w:rPr>
        <w:t>e pudo constatar que</w:t>
      </w:r>
      <w:r w:rsidR="00D3628A">
        <w:rPr>
          <w:rFonts w:ascii="Arial" w:hAnsi="Arial" w:cs="Arial"/>
        </w:rPr>
        <w:t xml:space="preserve"> en cumplimiento al Sistema de Evaluación al Desempeño</w:t>
      </w:r>
      <w:r w:rsidR="00442498">
        <w:rPr>
          <w:rFonts w:ascii="Arial" w:hAnsi="Arial" w:cs="Arial"/>
        </w:rPr>
        <w:t>,</w:t>
      </w:r>
      <w:r w:rsidR="00D3628A">
        <w:rPr>
          <w:rFonts w:ascii="Arial" w:hAnsi="Arial" w:cs="Arial"/>
        </w:rPr>
        <w:t xml:space="preserve"> parte del Presupuesto basado en Resultados</w:t>
      </w:r>
      <w:r w:rsidR="00442498">
        <w:rPr>
          <w:rFonts w:ascii="Arial" w:hAnsi="Arial" w:cs="Arial"/>
        </w:rPr>
        <w:t>,</w:t>
      </w:r>
      <w:r w:rsidR="004515FC">
        <w:rPr>
          <w:rFonts w:ascii="Arial" w:hAnsi="Arial" w:cs="Arial"/>
        </w:rPr>
        <w:t xml:space="preserve"> el Instituto </w:t>
      </w:r>
      <w:r w:rsidR="00AB0B1C">
        <w:rPr>
          <w:rFonts w:ascii="Arial" w:hAnsi="Arial" w:cs="Arial"/>
        </w:rPr>
        <w:t>da seguimiento al cumplimiento de sus metas y objetivos</w:t>
      </w:r>
      <w:r w:rsidR="008D7996">
        <w:rPr>
          <w:rFonts w:ascii="Arial" w:hAnsi="Arial" w:cs="Arial"/>
        </w:rPr>
        <w:t xml:space="preserve"> establecidos</w:t>
      </w:r>
      <w:r w:rsidR="00442498">
        <w:rPr>
          <w:rFonts w:ascii="Arial" w:hAnsi="Arial" w:cs="Arial"/>
        </w:rPr>
        <w:t>,</w:t>
      </w:r>
      <w:r w:rsidR="008D7996">
        <w:rPr>
          <w:rFonts w:ascii="Arial" w:hAnsi="Arial" w:cs="Arial"/>
        </w:rPr>
        <w:t xml:space="preserve"> </w:t>
      </w:r>
      <w:r w:rsidR="00AB0B1C">
        <w:rPr>
          <w:rFonts w:ascii="Arial" w:hAnsi="Arial" w:cs="Arial"/>
        </w:rPr>
        <w:t>por medio del Sistema</w:t>
      </w:r>
      <w:r w:rsidR="004515FC">
        <w:rPr>
          <w:rFonts w:ascii="Arial" w:hAnsi="Arial" w:cs="Arial"/>
        </w:rPr>
        <w:t xml:space="preserve"> de Integración Programática Presupuestal (SIPRES), </w:t>
      </w:r>
      <w:r w:rsidR="0065372F">
        <w:rPr>
          <w:rFonts w:ascii="Arial" w:hAnsi="Arial" w:cs="Arial"/>
        </w:rPr>
        <w:t xml:space="preserve">sistema </w:t>
      </w:r>
      <w:r w:rsidR="004515FC">
        <w:rPr>
          <w:rFonts w:ascii="Arial" w:hAnsi="Arial" w:cs="Arial"/>
        </w:rPr>
        <w:t>establecido por la Secretaría de Finanzas y Planeación para tal fi</w:t>
      </w:r>
      <w:r w:rsidR="004515FC" w:rsidRPr="0065372F">
        <w:rPr>
          <w:rFonts w:ascii="Arial" w:hAnsi="Arial" w:cs="Arial"/>
        </w:rPr>
        <w:t>n</w:t>
      </w:r>
      <w:r w:rsidR="0065372F" w:rsidRPr="0065372F">
        <w:rPr>
          <w:rFonts w:ascii="Arial" w:hAnsi="Arial" w:cs="Arial"/>
        </w:rPr>
        <w:t xml:space="preserve">; </w:t>
      </w:r>
      <w:r w:rsidR="0065372F">
        <w:rPr>
          <w:rFonts w:ascii="Arial" w:hAnsi="Arial" w:cs="Arial"/>
        </w:rPr>
        <w:t>n</w:t>
      </w:r>
      <w:r w:rsidR="00910711" w:rsidRPr="0065372F">
        <w:rPr>
          <w:rFonts w:ascii="Arial" w:hAnsi="Arial" w:cs="Arial"/>
        </w:rPr>
        <w:t>o obstante,</w:t>
      </w:r>
      <w:r w:rsidR="008D7996">
        <w:rPr>
          <w:rFonts w:ascii="Arial" w:hAnsi="Arial" w:cs="Arial"/>
        </w:rPr>
        <w:t xml:space="preserve"> se</w:t>
      </w:r>
      <w:r w:rsidR="00442498">
        <w:rPr>
          <w:rFonts w:ascii="Arial" w:hAnsi="Arial" w:cs="Arial"/>
        </w:rPr>
        <w:t xml:space="preserve"> observó que</w:t>
      </w:r>
      <w:r w:rsidR="008D7996">
        <w:rPr>
          <w:rFonts w:ascii="Arial" w:hAnsi="Arial" w:cs="Arial"/>
        </w:rPr>
        <w:t xml:space="preserve"> </w:t>
      </w:r>
      <w:r w:rsidR="00910711" w:rsidRPr="0065372F">
        <w:rPr>
          <w:rFonts w:ascii="Arial" w:hAnsi="Arial" w:cs="Arial"/>
        </w:rPr>
        <w:t>el Instituto</w:t>
      </w:r>
      <w:r w:rsidR="008D7996">
        <w:rPr>
          <w:rFonts w:ascii="Arial" w:hAnsi="Arial" w:cs="Arial"/>
        </w:rPr>
        <w:t xml:space="preserve"> de Acceso a la Información y Protección de Datos Personales</w:t>
      </w:r>
      <w:r w:rsidR="00910711" w:rsidRPr="0065372F">
        <w:rPr>
          <w:rFonts w:ascii="Arial" w:hAnsi="Arial" w:cs="Arial"/>
        </w:rPr>
        <w:t xml:space="preserve"> </w:t>
      </w:r>
      <w:r w:rsidR="008D7996">
        <w:rPr>
          <w:rFonts w:ascii="Arial" w:hAnsi="Arial" w:cs="Arial"/>
        </w:rPr>
        <w:t xml:space="preserve">de Quintana Roo </w:t>
      </w:r>
      <w:r w:rsidR="00442498" w:rsidRPr="00D87E56">
        <w:rPr>
          <w:rFonts w:ascii="Arial" w:hAnsi="Arial" w:cs="Arial"/>
        </w:rPr>
        <w:t xml:space="preserve">no </w:t>
      </w:r>
      <w:r w:rsidR="008D7996" w:rsidRPr="00D87E56">
        <w:rPr>
          <w:rFonts w:ascii="Arial" w:hAnsi="Arial" w:cs="Arial"/>
        </w:rPr>
        <w:t>estableci</w:t>
      </w:r>
      <w:r w:rsidR="000A75FF" w:rsidRPr="00D87E56">
        <w:rPr>
          <w:rFonts w:ascii="Arial" w:hAnsi="Arial" w:cs="Arial"/>
        </w:rPr>
        <w:t>ó</w:t>
      </w:r>
      <w:r w:rsidR="008D7996" w:rsidRPr="00D87E56">
        <w:rPr>
          <w:rFonts w:ascii="Arial" w:hAnsi="Arial" w:cs="Arial"/>
        </w:rPr>
        <w:t xml:space="preserve"> en su normativa</w:t>
      </w:r>
      <w:r w:rsidR="00442498" w:rsidRPr="00D87E56">
        <w:rPr>
          <w:rFonts w:ascii="Arial" w:hAnsi="Arial" w:cs="Arial"/>
        </w:rPr>
        <w:t xml:space="preserve"> el</w:t>
      </w:r>
      <w:r w:rsidR="008D7996" w:rsidRPr="00D87E56">
        <w:rPr>
          <w:rFonts w:ascii="Arial" w:hAnsi="Arial" w:cs="Arial"/>
        </w:rPr>
        <w:t xml:space="preserve"> </w:t>
      </w:r>
      <w:r w:rsidR="00755EF2" w:rsidRPr="00D87E56">
        <w:rPr>
          <w:rFonts w:ascii="Arial" w:hAnsi="Arial" w:cs="Arial"/>
        </w:rPr>
        <w:t xml:space="preserve">Presupuesto basado en Resultados, Metodología de Marco Lógico y </w:t>
      </w:r>
      <w:r w:rsidRPr="00D87E56">
        <w:rPr>
          <w:rFonts w:ascii="Arial" w:hAnsi="Arial" w:cs="Arial"/>
        </w:rPr>
        <w:t>Sistema de Evaluación al Desempeño,</w:t>
      </w:r>
      <w:r w:rsidR="00442498" w:rsidRPr="00D87E56">
        <w:rPr>
          <w:rFonts w:ascii="Arial" w:hAnsi="Arial" w:cs="Arial"/>
        </w:rPr>
        <w:t xml:space="preserve"> ya que no se encontró </w:t>
      </w:r>
      <w:r w:rsidR="007A6413" w:rsidRPr="00D87E56">
        <w:rPr>
          <w:rFonts w:ascii="Arial" w:hAnsi="Arial" w:cs="Arial"/>
        </w:rPr>
        <w:t xml:space="preserve">ningún documento normativo </w:t>
      </w:r>
      <w:r w:rsidR="00811BF6" w:rsidRPr="00D87E56">
        <w:rPr>
          <w:rFonts w:ascii="Arial" w:hAnsi="Arial" w:cs="Arial"/>
          <w:bCs/>
          <w:color w:val="000000" w:themeColor="text1"/>
        </w:rPr>
        <w:t xml:space="preserve">en el que se indique quiénes son responsables </w:t>
      </w:r>
      <w:r w:rsidR="007F7D67" w:rsidRPr="00D87E56">
        <w:rPr>
          <w:rFonts w:ascii="Arial" w:hAnsi="Arial" w:cs="Arial"/>
          <w:bCs/>
          <w:color w:val="000000" w:themeColor="text1"/>
        </w:rPr>
        <w:t xml:space="preserve">de dar cumplimiento a </w:t>
      </w:r>
      <w:r w:rsidR="00907517" w:rsidRPr="00D87E56">
        <w:rPr>
          <w:rFonts w:ascii="Arial" w:hAnsi="Arial" w:cs="Arial"/>
          <w:bCs/>
          <w:color w:val="000000" w:themeColor="text1"/>
        </w:rPr>
        <w:t>esta función,</w:t>
      </w:r>
      <w:r w:rsidR="00811BF6" w:rsidRPr="00D87E56">
        <w:rPr>
          <w:rFonts w:ascii="Arial" w:hAnsi="Arial" w:cs="Arial"/>
          <w:bCs/>
          <w:color w:val="000000" w:themeColor="text1"/>
        </w:rPr>
        <w:t xml:space="preserve"> ni el procedimiento que se lleva a cabo</w:t>
      </w:r>
      <w:r w:rsidR="00442498" w:rsidRPr="00D87E56">
        <w:rPr>
          <w:rFonts w:ascii="Arial" w:hAnsi="Arial" w:cs="Arial"/>
        </w:rPr>
        <w:t>.</w:t>
      </w:r>
      <w:r w:rsidR="00442498">
        <w:rPr>
          <w:rFonts w:ascii="Arial" w:hAnsi="Arial" w:cs="Arial"/>
        </w:rPr>
        <w:t xml:space="preserve"> A</w:t>
      </w:r>
      <w:r w:rsidR="00442498" w:rsidRPr="0065372F">
        <w:rPr>
          <w:rFonts w:ascii="Arial" w:hAnsi="Arial" w:cs="Arial"/>
          <w:lang w:val="es-ES_tradnl"/>
        </w:rPr>
        <w:t>sí mismo</w:t>
      </w:r>
      <w:r w:rsidRPr="0065372F">
        <w:rPr>
          <w:rFonts w:ascii="Arial" w:hAnsi="Arial" w:cs="Arial"/>
        </w:rPr>
        <w:t xml:space="preserve">, se constató la falta de actualización en la normativa de la entidad, debido </w:t>
      </w:r>
      <w:r w:rsidR="008F452A">
        <w:rPr>
          <w:rFonts w:ascii="Arial" w:hAnsi="Arial" w:cs="Arial"/>
        </w:rPr>
        <w:t xml:space="preserve">a </w:t>
      </w:r>
      <w:r w:rsidRPr="0065372F">
        <w:rPr>
          <w:rFonts w:ascii="Arial" w:hAnsi="Arial" w:cs="Arial"/>
        </w:rPr>
        <w:t>que aún persiste</w:t>
      </w:r>
      <w:r w:rsidR="00173CAC" w:rsidRPr="0065372F">
        <w:rPr>
          <w:rFonts w:ascii="Arial" w:hAnsi="Arial" w:cs="Arial"/>
        </w:rPr>
        <w:t>n</w:t>
      </w:r>
      <w:r w:rsidRPr="0065372F">
        <w:rPr>
          <w:rFonts w:ascii="Arial" w:hAnsi="Arial" w:cs="Arial"/>
        </w:rPr>
        <w:t xml:space="preserve"> actividades enfocadas a </w:t>
      </w:r>
      <w:r w:rsidRPr="0065372F">
        <w:rPr>
          <w:rFonts w:ascii="Arial" w:hAnsi="Arial" w:cs="Arial"/>
        </w:rPr>
        <w:lastRenderedPageBreak/>
        <w:t xml:space="preserve">la elaboración de Programas Operativos Anuales (POA); los cuales son términos obsoletos en la Gestión para Resultados. </w:t>
      </w:r>
    </w:p>
    <w:p w14:paraId="39DF4331" w14:textId="4F5110D8" w:rsidR="00F87204" w:rsidRDefault="008C75CD" w:rsidP="00160F98">
      <w:pPr>
        <w:spacing w:line="276" w:lineRule="auto"/>
        <w:contextualSpacing/>
        <w:jc w:val="both"/>
        <w:rPr>
          <w:rFonts w:ascii="Arial" w:hAnsi="Arial" w:cs="Arial"/>
        </w:rPr>
      </w:pPr>
      <w:r>
        <w:rPr>
          <w:rFonts w:ascii="Arial" w:hAnsi="Arial" w:cs="Arial"/>
        </w:rPr>
        <w:t>Así mismo, s</w:t>
      </w:r>
      <w:r w:rsidRPr="008C5AC2">
        <w:rPr>
          <w:rFonts w:ascii="Arial" w:hAnsi="Arial" w:cs="Arial"/>
        </w:rPr>
        <w:t>e constató que el Instituto de Acceso a la Información y Protección de Datos Personales de Quintana Roo (IDAIPQROO), emitió su Código de Ética con fecha 08 de febrero de 2018, quedando pendiente su publicación en el Periódico Oficial del Estado de Quintana Roo</w:t>
      </w:r>
      <w:r>
        <w:rPr>
          <w:rFonts w:ascii="Arial" w:hAnsi="Arial" w:cs="Arial"/>
        </w:rPr>
        <w:t>, en cumplimiento del artículo 16 de la Ley General de Responsabilidades Administrativas, el cual indica que e</w:t>
      </w:r>
      <w:r w:rsidRPr="008C75CD">
        <w:rPr>
          <w:rFonts w:ascii="Arial" w:hAnsi="Arial" w:cs="Arial"/>
        </w:rPr>
        <w:t>l código de ética deberá hacerse del conocimiento de los</w:t>
      </w:r>
      <w:r>
        <w:rPr>
          <w:rFonts w:ascii="Arial" w:hAnsi="Arial" w:cs="Arial"/>
        </w:rPr>
        <w:t xml:space="preserve"> </w:t>
      </w:r>
      <w:r w:rsidRPr="008C75CD">
        <w:rPr>
          <w:rFonts w:ascii="Arial" w:hAnsi="Arial" w:cs="Arial"/>
        </w:rPr>
        <w:t>Servidores Públicos de la dependencia o entidad de que se trate, así como darle la máxima publicidad.</w:t>
      </w:r>
    </w:p>
    <w:p w14:paraId="740017F7" w14:textId="42A45558" w:rsidR="00160F98" w:rsidRDefault="00160F98" w:rsidP="00160F98">
      <w:pPr>
        <w:spacing w:line="276" w:lineRule="auto"/>
        <w:contextualSpacing/>
        <w:jc w:val="both"/>
        <w:rPr>
          <w:rFonts w:ascii="Arial" w:hAnsi="Arial" w:cs="Arial"/>
        </w:rPr>
      </w:pPr>
    </w:p>
    <w:p w14:paraId="356AD920" w14:textId="3A1F17C4" w:rsidR="00160F98" w:rsidRDefault="00160F98" w:rsidP="00160F98">
      <w:pPr>
        <w:spacing w:line="276" w:lineRule="auto"/>
        <w:contextualSpacing/>
        <w:jc w:val="both"/>
        <w:rPr>
          <w:rFonts w:ascii="Arial" w:hAnsi="Arial" w:cs="Arial"/>
        </w:rPr>
      </w:pPr>
      <w:r>
        <w:rPr>
          <w:rFonts w:ascii="Arial" w:hAnsi="Arial" w:cs="Arial"/>
        </w:rPr>
        <w:t>Resumen de observación</w:t>
      </w:r>
      <w:r w:rsidR="007B0FC8">
        <w:rPr>
          <w:rFonts w:ascii="Arial" w:hAnsi="Arial" w:cs="Arial"/>
        </w:rPr>
        <w:t xml:space="preserve"> 2</w:t>
      </w:r>
      <w:r>
        <w:rPr>
          <w:rFonts w:ascii="Arial" w:hAnsi="Arial" w:cs="Arial"/>
        </w:rPr>
        <w:t>:</w:t>
      </w:r>
    </w:p>
    <w:p w14:paraId="0792697C" w14:textId="77777777" w:rsidR="00B5466C" w:rsidRDefault="00B5466C" w:rsidP="00160F98">
      <w:pPr>
        <w:spacing w:line="276" w:lineRule="auto"/>
        <w:contextualSpacing/>
        <w:jc w:val="both"/>
        <w:rPr>
          <w:rFonts w:ascii="Arial" w:hAnsi="Arial" w:cs="Arial"/>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681"/>
        <w:gridCol w:w="5147"/>
      </w:tblGrid>
      <w:tr w:rsidR="00231525" w:rsidRPr="0087713B" w14:paraId="3AA1736B" w14:textId="77777777" w:rsidTr="0080718F">
        <w:trPr>
          <w:trHeight w:val="67"/>
          <w:jc w:val="center"/>
        </w:trPr>
        <w:tc>
          <w:tcPr>
            <w:tcW w:w="8828" w:type="dxa"/>
            <w:gridSpan w:val="2"/>
            <w:shd w:val="clear" w:color="auto" w:fill="D9D9D9" w:themeFill="background1" w:themeFillShade="D9"/>
            <w:vAlign w:val="center"/>
          </w:tcPr>
          <w:p w14:paraId="1BDAF97A" w14:textId="1EA99099" w:rsidR="00231525" w:rsidRDefault="00723DDE" w:rsidP="00922983">
            <w:pPr>
              <w:spacing w:before="60" w:line="276" w:lineRule="auto"/>
              <w:rPr>
                <w:rFonts w:ascii="Arial" w:hAnsi="Arial" w:cs="Arial"/>
                <w:b/>
                <w:sz w:val="18"/>
                <w:szCs w:val="18"/>
              </w:rPr>
            </w:pPr>
            <w:r>
              <w:rPr>
                <w:rFonts w:ascii="Arial" w:hAnsi="Arial" w:cs="Arial"/>
                <w:b/>
                <w:sz w:val="18"/>
                <w:szCs w:val="18"/>
              </w:rPr>
              <w:t>Actualización de</w:t>
            </w:r>
            <w:r w:rsidR="00231525">
              <w:rPr>
                <w:rFonts w:ascii="Arial" w:hAnsi="Arial" w:cs="Arial"/>
                <w:b/>
                <w:sz w:val="18"/>
                <w:szCs w:val="18"/>
              </w:rPr>
              <w:t xml:space="preserve"> los documentos normativos:</w:t>
            </w:r>
          </w:p>
        </w:tc>
      </w:tr>
      <w:tr w:rsidR="00231525" w:rsidRPr="0087713B" w14:paraId="1706C6AF" w14:textId="77777777" w:rsidTr="0080718F">
        <w:trPr>
          <w:trHeight w:val="67"/>
          <w:jc w:val="center"/>
        </w:trPr>
        <w:tc>
          <w:tcPr>
            <w:tcW w:w="3681" w:type="dxa"/>
            <w:shd w:val="clear" w:color="auto" w:fill="F2F2F2" w:themeFill="background1" w:themeFillShade="F2"/>
            <w:vAlign w:val="center"/>
          </w:tcPr>
          <w:p w14:paraId="5ED5AF41" w14:textId="77777777" w:rsidR="00231525" w:rsidRPr="0087713B" w:rsidRDefault="00231525" w:rsidP="00922983">
            <w:pPr>
              <w:spacing w:before="60" w:line="276" w:lineRule="auto"/>
              <w:jc w:val="center"/>
              <w:rPr>
                <w:rFonts w:ascii="Arial" w:hAnsi="Arial" w:cs="Arial"/>
                <w:b/>
                <w:sz w:val="18"/>
                <w:szCs w:val="18"/>
              </w:rPr>
            </w:pPr>
            <w:r>
              <w:rPr>
                <w:rFonts w:ascii="Arial" w:hAnsi="Arial" w:cs="Arial"/>
                <w:b/>
                <w:sz w:val="18"/>
                <w:szCs w:val="18"/>
              </w:rPr>
              <w:t>Documento normativo</w:t>
            </w:r>
          </w:p>
        </w:tc>
        <w:tc>
          <w:tcPr>
            <w:tcW w:w="5147" w:type="dxa"/>
            <w:shd w:val="clear" w:color="auto" w:fill="F2F2F2" w:themeFill="background1" w:themeFillShade="F2"/>
            <w:vAlign w:val="center"/>
          </w:tcPr>
          <w:p w14:paraId="46B13338" w14:textId="28CFB857" w:rsidR="00231525" w:rsidRDefault="00723DDE" w:rsidP="00922983">
            <w:pPr>
              <w:spacing w:before="60" w:line="276" w:lineRule="auto"/>
              <w:jc w:val="center"/>
              <w:rPr>
                <w:rFonts w:ascii="Arial" w:hAnsi="Arial" w:cs="Arial"/>
                <w:b/>
                <w:sz w:val="18"/>
                <w:szCs w:val="18"/>
              </w:rPr>
            </w:pPr>
            <w:r>
              <w:rPr>
                <w:rFonts w:ascii="Arial" w:hAnsi="Arial" w:cs="Arial"/>
                <w:b/>
                <w:sz w:val="18"/>
                <w:szCs w:val="18"/>
              </w:rPr>
              <w:t>Observación</w:t>
            </w:r>
          </w:p>
        </w:tc>
      </w:tr>
      <w:tr w:rsidR="00723DDE" w:rsidRPr="0087713B" w14:paraId="46CA1935" w14:textId="77777777" w:rsidTr="008C75CD">
        <w:trPr>
          <w:trHeight w:val="303"/>
          <w:jc w:val="center"/>
        </w:trPr>
        <w:tc>
          <w:tcPr>
            <w:tcW w:w="3681" w:type="dxa"/>
            <w:tcBorders>
              <w:bottom w:val="single" w:sz="4" w:space="0" w:color="767171" w:themeColor="background2" w:themeShade="80"/>
            </w:tcBorders>
            <w:shd w:val="clear" w:color="auto" w:fill="auto"/>
          </w:tcPr>
          <w:p w14:paraId="196B707E" w14:textId="77777777" w:rsidR="00723DDE" w:rsidRPr="00D80B55" w:rsidRDefault="00723DDE" w:rsidP="00922983">
            <w:pPr>
              <w:spacing w:before="60" w:line="276" w:lineRule="auto"/>
              <w:jc w:val="both"/>
              <w:rPr>
                <w:rFonts w:ascii="Arial" w:hAnsi="Arial" w:cs="Arial"/>
                <w:sz w:val="18"/>
                <w:szCs w:val="18"/>
              </w:rPr>
            </w:pPr>
            <w:r w:rsidRPr="00D80B55">
              <w:rPr>
                <w:rFonts w:ascii="Arial" w:hAnsi="Arial" w:cs="Arial"/>
                <w:sz w:val="18"/>
                <w:szCs w:val="18"/>
              </w:rPr>
              <w:t>Reglamento Interior y Condiciones Generales de Trabajo del Instituto de Transparencia y Acceso a la Información Pública de Quintana Roo</w:t>
            </w:r>
            <w:r>
              <w:rPr>
                <w:rFonts w:ascii="Arial" w:hAnsi="Arial" w:cs="Arial"/>
                <w:sz w:val="18"/>
                <w:szCs w:val="18"/>
              </w:rPr>
              <w:t>.</w:t>
            </w:r>
          </w:p>
        </w:tc>
        <w:tc>
          <w:tcPr>
            <w:tcW w:w="5147" w:type="dxa"/>
            <w:tcBorders>
              <w:bottom w:val="single" w:sz="4" w:space="0" w:color="767171" w:themeColor="background2" w:themeShade="80"/>
            </w:tcBorders>
            <w:shd w:val="clear" w:color="auto" w:fill="auto"/>
            <w:vAlign w:val="center"/>
          </w:tcPr>
          <w:p w14:paraId="2A2C1B27" w14:textId="64534753" w:rsidR="00723DDE" w:rsidRDefault="00723DDE" w:rsidP="005870A4">
            <w:pPr>
              <w:pStyle w:val="Prrafodelista"/>
              <w:numPr>
                <w:ilvl w:val="0"/>
                <w:numId w:val="24"/>
              </w:numPr>
              <w:spacing w:before="60" w:line="276" w:lineRule="auto"/>
              <w:ind w:left="319" w:hanging="283"/>
              <w:jc w:val="both"/>
              <w:rPr>
                <w:rFonts w:ascii="Arial" w:hAnsi="Arial" w:cs="Arial"/>
                <w:sz w:val="18"/>
                <w:szCs w:val="18"/>
              </w:rPr>
            </w:pPr>
            <w:r>
              <w:rPr>
                <w:rFonts w:ascii="Arial" w:hAnsi="Arial" w:cs="Arial"/>
                <w:sz w:val="18"/>
                <w:szCs w:val="18"/>
              </w:rPr>
              <w:t xml:space="preserve">No indica área o áreas responsables ni procedimiento para </w:t>
            </w:r>
            <w:r w:rsidR="00F21E07">
              <w:rPr>
                <w:rFonts w:ascii="Arial" w:hAnsi="Arial" w:cs="Arial"/>
                <w:sz w:val="18"/>
                <w:szCs w:val="18"/>
              </w:rPr>
              <w:t xml:space="preserve">cumplir con </w:t>
            </w:r>
            <w:r w:rsidRPr="00723DDE">
              <w:rPr>
                <w:rFonts w:ascii="Arial" w:hAnsi="Arial" w:cs="Arial"/>
                <w:sz w:val="18"/>
                <w:szCs w:val="18"/>
              </w:rPr>
              <w:t xml:space="preserve">el </w:t>
            </w:r>
            <w:r w:rsidR="005870A4">
              <w:rPr>
                <w:rFonts w:ascii="Arial" w:hAnsi="Arial" w:cs="Arial"/>
                <w:sz w:val="18"/>
                <w:szCs w:val="18"/>
              </w:rPr>
              <w:t>Presupuesto basado en Resultados (</w:t>
            </w:r>
            <w:proofErr w:type="spellStart"/>
            <w:r w:rsidR="005870A4">
              <w:rPr>
                <w:rFonts w:ascii="Arial" w:hAnsi="Arial" w:cs="Arial"/>
                <w:sz w:val="18"/>
                <w:szCs w:val="18"/>
              </w:rPr>
              <w:t>PbR</w:t>
            </w:r>
            <w:proofErr w:type="spellEnd"/>
            <w:r w:rsidR="005870A4">
              <w:rPr>
                <w:rFonts w:ascii="Arial" w:hAnsi="Arial" w:cs="Arial"/>
                <w:sz w:val="18"/>
                <w:szCs w:val="18"/>
              </w:rPr>
              <w:t xml:space="preserve">), Metodología de Marco Lógico (MML) y </w:t>
            </w:r>
            <w:r w:rsidRPr="00723DDE">
              <w:rPr>
                <w:rFonts w:ascii="Arial" w:hAnsi="Arial" w:cs="Arial"/>
                <w:sz w:val="18"/>
                <w:szCs w:val="18"/>
              </w:rPr>
              <w:t>Sistema de Evaluación al Desempeño</w:t>
            </w:r>
            <w:r>
              <w:rPr>
                <w:rFonts w:ascii="Arial" w:hAnsi="Arial" w:cs="Arial"/>
                <w:sz w:val="18"/>
                <w:szCs w:val="18"/>
              </w:rPr>
              <w:t xml:space="preserve"> (SED).</w:t>
            </w:r>
          </w:p>
          <w:p w14:paraId="40062519" w14:textId="794A31A3" w:rsidR="00723DDE" w:rsidRPr="00723DDE" w:rsidRDefault="00723DDE" w:rsidP="005870A4">
            <w:pPr>
              <w:pStyle w:val="Prrafodelista"/>
              <w:numPr>
                <w:ilvl w:val="0"/>
                <w:numId w:val="24"/>
              </w:numPr>
              <w:spacing w:before="60" w:line="276" w:lineRule="auto"/>
              <w:ind w:left="319" w:hanging="283"/>
              <w:jc w:val="both"/>
              <w:rPr>
                <w:rFonts w:ascii="Arial" w:hAnsi="Arial" w:cs="Arial"/>
                <w:sz w:val="18"/>
                <w:szCs w:val="18"/>
              </w:rPr>
            </w:pPr>
            <w:r>
              <w:rPr>
                <w:rFonts w:ascii="Arial" w:hAnsi="Arial" w:cs="Arial"/>
                <w:sz w:val="18"/>
                <w:szCs w:val="18"/>
              </w:rPr>
              <w:t>P</w:t>
            </w:r>
            <w:r w:rsidRPr="00723DDE">
              <w:rPr>
                <w:rFonts w:ascii="Arial" w:hAnsi="Arial" w:cs="Arial"/>
                <w:sz w:val="18"/>
                <w:szCs w:val="18"/>
              </w:rPr>
              <w:t>ersisten actividades enfocadas a la elaboración de Programas Operativos Anuales (POA)</w:t>
            </w:r>
            <w:r>
              <w:rPr>
                <w:rFonts w:ascii="Arial" w:hAnsi="Arial" w:cs="Arial"/>
                <w:sz w:val="18"/>
                <w:szCs w:val="18"/>
              </w:rPr>
              <w:t>.</w:t>
            </w:r>
          </w:p>
        </w:tc>
      </w:tr>
      <w:tr w:rsidR="008C75CD" w:rsidRPr="0087713B" w14:paraId="19B448EA" w14:textId="77777777" w:rsidTr="008C75CD">
        <w:trPr>
          <w:trHeight w:val="303"/>
          <w:jc w:val="center"/>
        </w:trPr>
        <w:tc>
          <w:tcPr>
            <w:tcW w:w="3681" w:type="dxa"/>
            <w:tcBorders>
              <w:bottom w:val="single" w:sz="4" w:space="0" w:color="767171" w:themeColor="background2" w:themeShade="80"/>
            </w:tcBorders>
            <w:shd w:val="clear" w:color="auto" w:fill="auto"/>
          </w:tcPr>
          <w:p w14:paraId="2347980E" w14:textId="18FB4838" w:rsidR="008C75CD" w:rsidRPr="00D80B55" w:rsidRDefault="008C75CD" w:rsidP="00922983">
            <w:pPr>
              <w:spacing w:before="60" w:line="276" w:lineRule="auto"/>
              <w:jc w:val="both"/>
              <w:rPr>
                <w:rFonts w:ascii="Arial" w:hAnsi="Arial" w:cs="Arial"/>
                <w:sz w:val="18"/>
                <w:szCs w:val="18"/>
              </w:rPr>
            </w:pPr>
            <w:r w:rsidRPr="008C75CD">
              <w:rPr>
                <w:rFonts w:ascii="Arial" w:hAnsi="Arial" w:cs="Arial"/>
                <w:sz w:val="18"/>
                <w:szCs w:val="18"/>
              </w:rPr>
              <w:t>Código de Ética</w:t>
            </w:r>
            <w:r w:rsidR="00A8504E">
              <w:rPr>
                <w:rFonts w:ascii="Arial" w:hAnsi="Arial" w:cs="Arial"/>
                <w:sz w:val="18"/>
                <w:szCs w:val="18"/>
              </w:rPr>
              <w:t>.</w:t>
            </w:r>
          </w:p>
        </w:tc>
        <w:tc>
          <w:tcPr>
            <w:tcW w:w="5147" w:type="dxa"/>
            <w:tcBorders>
              <w:bottom w:val="single" w:sz="4" w:space="0" w:color="767171" w:themeColor="background2" w:themeShade="80"/>
            </w:tcBorders>
            <w:shd w:val="clear" w:color="auto" w:fill="auto"/>
            <w:vAlign w:val="center"/>
          </w:tcPr>
          <w:p w14:paraId="0CA10E75" w14:textId="587870BD" w:rsidR="008C75CD" w:rsidRDefault="008C75CD" w:rsidP="005870A4">
            <w:pPr>
              <w:pStyle w:val="Prrafodelista"/>
              <w:numPr>
                <w:ilvl w:val="0"/>
                <w:numId w:val="24"/>
              </w:numPr>
              <w:spacing w:before="60" w:line="276" w:lineRule="auto"/>
              <w:ind w:left="319" w:hanging="283"/>
              <w:jc w:val="both"/>
              <w:rPr>
                <w:rFonts w:ascii="Arial" w:hAnsi="Arial" w:cs="Arial"/>
                <w:sz w:val="18"/>
                <w:szCs w:val="18"/>
              </w:rPr>
            </w:pPr>
            <w:r>
              <w:rPr>
                <w:rFonts w:ascii="Arial" w:hAnsi="Arial" w:cs="Arial"/>
                <w:sz w:val="18"/>
                <w:szCs w:val="18"/>
              </w:rPr>
              <w:t xml:space="preserve">Se emitió el </w:t>
            </w:r>
            <w:r w:rsidRPr="008C75CD">
              <w:rPr>
                <w:rFonts w:ascii="Arial" w:hAnsi="Arial" w:cs="Arial"/>
                <w:sz w:val="18"/>
                <w:szCs w:val="18"/>
              </w:rPr>
              <w:t>08 de febrero de 2018, quedando pendiente su publicación</w:t>
            </w:r>
            <w:r>
              <w:rPr>
                <w:rFonts w:ascii="Arial" w:hAnsi="Arial" w:cs="Arial"/>
                <w:sz w:val="18"/>
                <w:szCs w:val="18"/>
              </w:rPr>
              <w:t xml:space="preserve">, </w:t>
            </w:r>
            <w:r w:rsidRPr="008C75CD">
              <w:rPr>
                <w:rFonts w:ascii="Arial" w:hAnsi="Arial" w:cs="Arial"/>
                <w:sz w:val="18"/>
                <w:szCs w:val="18"/>
              </w:rPr>
              <w:t>en cumplimiento del artículo 16 de la Ley General de Responsabilidades Administrativas</w:t>
            </w:r>
            <w:r w:rsidR="00160F98">
              <w:rPr>
                <w:rFonts w:ascii="Arial" w:hAnsi="Arial" w:cs="Arial"/>
                <w:sz w:val="18"/>
                <w:szCs w:val="18"/>
              </w:rPr>
              <w:t>.</w:t>
            </w:r>
          </w:p>
        </w:tc>
      </w:tr>
      <w:tr w:rsidR="00231525" w:rsidRPr="0087713B" w14:paraId="76F9F4DD" w14:textId="77777777" w:rsidTr="00922983">
        <w:trPr>
          <w:trHeight w:val="303"/>
          <w:jc w:val="center"/>
        </w:trPr>
        <w:tc>
          <w:tcPr>
            <w:tcW w:w="8828" w:type="dxa"/>
            <w:gridSpan w:val="2"/>
            <w:tcBorders>
              <w:top w:val="single" w:sz="4" w:space="0" w:color="767171" w:themeColor="background2" w:themeShade="80"/>
              <w:left w:val="nil"/>
              <w:bottom w:val="nil"/>
              <w:right w:val="nil"/>
            </w:tcBorders>
            <w:shd w:val="clear" w:color="auto" w:fill="auto"/>
            <w:vAlign w:val="center"/>
          </w:tcPr>
          <w:p w14:paraId="5235DA06" w14:textId="77777777" w:rsidR="00231525" w:rsidRPr="002A6F94" w:rsidRDefault="00231525" w:rsidP="00922983">
            <w:pPr>
              <w:spacing w:line="276" w:lineRule="auto"/>
              <w:jc w:val="center"/>
              <w:rPr>
                <w:rFonts w:ascii="Arial" w:hAnsi="Arial" w:cs="Arial"/>
                <w:b/>
                <w:sz w:val="14"/>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w:t>
            </w:r>
            <w:r>
              <w:rPr>
                <w:rFonts w:ascii="Arial" w:hAnsi="Arial" w:cs="Arial"/>
                <w:sz w:val="14"/>
                <w:szCs w:val="18"/>
              </w:rPr>
              <w:t>a los documentos presentados por el IDAIPQROO</w:t>
            </w:r>
            <w:r w:rsidRPr="002A6F94">
              <w:rPr>
                <w:rFonts w:ascii="Arial" w:hAnsi="Arial" w:cs="Arial"/>
                <w:sz w:val="14"/>
                <w:szCs w:val="18"/>
              </w:rPr>
              <w:t>.</w:t>
            </w:r>
          </w:p>
        </w:tc>
      </w:tr>
    </w:tbl>
    <w:p w14:paraId="6ADCE04C" w14:textId="27033231" w:rsidR="00A724F7" w:rsidRDefault="00A724F7" w:rsidP="00C10D4F">
      <w:pPr>
        <w:pStyle w:val="Prrafodelista"/>
        <w:spacing w:after="160" w:line="276" w:lineRule="auto"/>
        <w:ind w:left="0"/>
        <w:jc w:val="both"/>
        <w:rPr>
          <w:rFonts w:ascii="Arial" w:hAnsi="Arial" w:cs="Arial"/>
        </w:rPr>
      </w:pPr>
    </w:p>
    <w:p w14:paraId="40A95426" w14:textId="77777777" w:rsidR="00A4485A" w:rsidRDefault="00A4485A" w:rsidP="00C10D4F">
      <w:pPr>
        <w:pStyle w:val="Prrafodelista"/>
        <w:spacing w:after="160" w:line="276" w:lineRule="auto"/>
        <w:ind w:left="0"/>
        <w:jc w:val="both"/>
        <w:rPr>
          <w:rFonts w:ascii="Arial" w:hAnsi="Arial" w:cs="Arial"/>
        </w:rPr>
      </w:pPr>
    </w:p>
    <w:p w14:paraId="6E7F5DA9" w14:textId="77777777" w:rsidR="002F2B4E" w:rsidRPr="002F2B4E" w:rsidRDefault="002F2B4E" w:rsidP="002F2B4E">
      <w:pPr>
        <w:spacing w:line="276" w:lineRule="auto"/>
        <w:jc w:val="both"/>
        <w:rPr>
          <w:rFonts w:ascii="Arial" w:hAnsi="Arial" w:cs="Arial"/>
          <w:b/>
          <w:color w:val="000000" w:themeColor="text1"/>
        </w:rPr>
      </w:pPr>
      <w:r w:rsidRPr="002F2B4E">
        <w:rPr>
          <w:rFonts w:ascii="Arial" w:hAnsi="Arial" w:cs="Arial"/>
          <w:b/>
          <w:color w:val="000000" w:themeColor="text1"/>
        </w:rPr>
        <w:t>Normatividad relacionada con las Observaciones</w:t>
      </w:r>
    </w:p>
    <w:p w14:paraId="27391E66" w14:textId="77777777" w:rsidR="002F2B4E" w:rsidRPr="002F2B4E" w:rsidRDefault="002F2B4E" w:rsidP="002F2B4E">
      <w:pPr>
        <w:spacing w:line="276" w:lineRule="auto"/>
        <w:jc w:val="both"/>
        <w:rPr>
          <w:rFonts w:ascii="Arial" w:hAnsi="Arial" w:cs="Arial"/>
          <w:b/>
          <w:color w:val="000000" w:themeColor="text1"/>
        </w:rPr>
      </w:pPr>
    </w:p>
    <w:p w14:paraId="554FE839" w14:textId="77777777" w:rsidR="002F2B4E" w:rsidRPr="002F2B4E" w:rsidRDefault="002F2B4E" w:rsidP="002F2B4E">
      <w:pPr>
        <w:spacing w:line="276" w:lineRule="auto"/>
        <w:jc w:val="both"/>
        <w:rPr>
          <w:rFonts w:ascii="Arial" w:hAnsi="Arial" w:cs="Arial"/>
          <w:color w:val="000000" w:themeColor="text1"/>
        </w:rPr>
      </w:pPr>
      <w:r w:rsidRPr="002F2B4E">
        <w:rPr>
          <w:rFonts w:ascii="Arial" w:hAnsi="Arial" w:cs="Arial"/>
          <w:color w:val="000000" w:themeColor="text1"/>
        </w:rPr>
        <w:t>Constitución Política de los Estados Unidos Mexicanos, artículo 134.</w:t>
      </w:r>
    </w:p>
    <w:p w14:paraId="6FBED3B0" w14:textId="0E3BA2E7" w:rsidR="002F2B4E" w:rsidRPr="002F2B4E" w:rsidRDefault="002F2B4E" w:rsidP="002F2B4E">
      <w:pPr>
        <w:spacing w:line="276" w:lineRule="auto"/>
        <w:jc w:val="both"/>
        <w:rPr>
          <w:rFonts w:ascii="Arial" w:hAnsi="Arial"/>
        </w:rPr>
      </w:pPr>
      <w:r w:rsidRPr="002F2B4E">
        <w:rPr>
          <w:rFonts w:ascii="Arial" w:hAnsi="Arial"/>
        </w:rPr>
        <w:t>Ley General de Contabilidad Gubernamental, artículo 61.</w:t>
      </w:r>
    </w:p>
    <w:p w14:paraId="06CC0379" w14:textId="72AEF127" w:rsidR="002F2B4E" w:rsidRPr="002F2B4E" w:rsidRDefault="002F2B4E" w:rsidP="002F2B4E">
      <w:pPr>
        <w:spacing w:line="276" w:lineRule="auto"/>
        <w:jc w:val="both"/>
        <w:rPr>
          <w:rFonts w:ascii="Arial" w:hAnsi="Arial" w:cs="Arial"/>
          <w:bCs/>
        </w:rPr>
      </w:pPr>
      <w:r w:rsidRPr="002F2B4E">
        <w:rPr>
          <w:rFonts w:ascii="Arial" w:hAnsi="Arial" w:cs="Arial"/>
          <w:bCs/>
        </w:rPr>
        <w:t>Ley General de Responsabilidades Administrativas, artículo 7</w:t>
      </w:r>
      <w:r w:rsidR="005A54BC">
        <w:rPr>
          <w:rFonts w:ascii="Arial" w:hAnsi="Arial" w:cs="Arial"/>
          <w:bCs/>
        </w:rPr>
        <w:t xml:space="preserve"> </w:t>
      </w:r>
      <w:r w:rsidR="00BC3D5A">
        <w:rPr>
          <w:rFonts w:ascii="Arial" w:hAnsi="Arial" w:cs="Arial"/>
          <w:bCs/>
        </w:rPr>
        <w:t>incisos I y V, y 16.</w:t>
      </w:r>
    </w:p>
    <w:p w14:paraId="39B3373D" w14:textId="77777777" w:rsidR="002F2B4E" w:rsidRPr="002F2B4E" w:rsidRDefault="002F2B4E" w:rsidP="002F2B4E">
      <w:pPr>
        <w:spacing w:line="276" w:lineRule="auto"/>
        <w:jc w:val="both"/>
        <w:rPr>
          <w:rFonts w:ascii="Arial" w:hAnsi="Arial"/>
        </w:rPr>
      </w:pPr>
      <w:r w:rsidRPr="002F2B4E">
        <w:rPr>
          <w:rFonts w:ascii="Arial" w:hAnsi="Arial"/>
        </w:rPr>
        <w:t xml:space="preserve">Ley de Presupuesto y Gasto Público del Estado de Quintana Roo, artículos 18 y 63. </w:t>
      </w:r>
    </w:p>
    <w:p w14:paraId="5C150669" w14:textId="77777777" w:rsidR="002F2B4E" w:rsidRPr="002F2B4E" w:rsidRDefault="002F2B4E" w:rsidP="002F2B4E">
      <w:pPr>
        <w:spacing w:line="276" w:lineRule="auto"/>
        <w:jc w:val="both"/>
        <w:rPr>
          <w:rFonts w:ascii="Arial" w:hAnsi="Arial" w:cs="Arial"/>
          <w:bCs/>
          <w:color w:val="000000" w:themeColor="text1"/>
        </w:rPr>
      </w:pPr>
      <w:r w:rsidRPr="002F2B4E">
        <w:rPr>
          <w:rFonts w:ascii="Arial" w:hAnsi="Arial" w:cs="Arial"/>
          <w:color w:val="000000" w:themeColor="text1"/>
        </w:rPr>
        <w:t xml:space="preserve">Ley de Planeación para el Desarrollo del Estado de Quintana Roo, </w:t>
      </w:r>
      <w:r w:rsidRPr="002F2B4E">
        <w:rPr>
          <w:rFonts w:ascii="Arial" w:hAnsi="Arial" w:cs="Arial"/>
          <w:bCs/>
          <w:color w:val="000000" w:themeColor="text1"/>
        </w:rPr>
        <w:t>artículos 109 y 111.</w:t>
      </w:r>
    </w:p>
    <w:p w14:paraId="0314B902" w14:textId="77777777" w:rsidR="002F2B4E" w:rsidRPr="002F2B4E" w:rsidRDefault="002F2B4E" w:rsidP="002F2B4E">
      <w:pPr>
        <w:spacing w:line="276" w:lineRule="auto"/>
        <w:jc w:val="both"/>
        <w:rPr>
          <w:rFonts w:ascii="Arial" w:hAnsi="Arial" w:cs="Arial"/>
          <w:color w:val="000000" w:themeColor="text1"/>
        </w:rPr>
      </w:pPr>
      <w:r w:rsidRPr="002F2B4E">
        <w:rPr>
          <w:rFonts w:ascii="Arial" w:hAnsi="Arial" w:cs="Arial"/>
          <w:color w:val="000000" w:themeColor="text1"/>
        </w:rPr>
        <w:lastRenderedPageBreak/>
        <w:t>Ley de Transparencia y Acceso a la Información Pública para el Estado de Quintana Roo, artículo 73 Ter, fracción XVII.</w:t>
      </w:r>
    </w:p>
    <w:p w14:paraId="1E3CFFD2" w14:textId="1C7FB5A7" w:rsidR="002F2B4E" w:rsidRPr="002F2B4E" w:rsidRDefault="002F2B4E" w:rsidP="002F2B4E">
      <w:pPr>
        <w:spacing w:line="276" w:lineRule="auto"/>
        <w:jc w:val="both"/>
        <w:rPr>
          <w:rFonts w:ascii="Arial" w:hAnsi="Arial" w:cs="Arial"/>
          <w:color w:val="000000" w:themeColor="text1"/>
        </w:rPr>
      </w:pPr>
      <w:r w:rsidRPr="002F2B4E">
        <w:rPr>
          <w:rFonts w:ascii="Arial" w:hAnsi="Arial" w:cs="Arial"/>
          <w:color w:val="000000" w:themeColor="text1"/>
        </w:rPr>
        <w:t>Reglamento Interior y Condiciones Generales de Trabajo del Instituto de Transparencia y Acceso a la Información Pública de Quintana Roo, artículos 27</w:t>
      </w:r>
      <w:r w:rsidR="005A54BC">
        <w:rPr>
          <w:rFonts w:ascii="Arial" w:hAnsi="Arial" w:cs="Arial"/>
          <w:color w:val="000000" w:themeColor="text1"/>
        </w:rPr>
        <w:t xml:space="preserve"> </w:t>
      </w:r>
      <w:r w:rsidRPr="002F2B4E">
        <w:rPr>
          <w:rFonts w:ascii="Arial" w:hAnsi="Arial" w:cs="Arial"/>
          <w:color w:val="000000" w:themeColor="text1"/>
        </w:rPr>
        <w:t>fracción XX y 30 inciso A fracción I numeral 10</w:t>
      </w:r>
      <w:r w:rsidR="005A54BC">
        <w:rPr>
          <w:rFonts w:ascii="Arial" w:hAnsi="Arial" w:cs="Arial"/>
          <w:color w:val="000000" w:themeColor="text1"/>
        </w:rPr>
        <w:t>,</w:t>
      </w:r>
      <w:r w:rsidRPr="002F2B4E">
        <w:rPr>
          <w:rFonts w:ascii="Arial" w:hAnsi="Arial" w:cs="Arial"/>
          <w:color w:val="000000" w:themeColor="text1"/>
        </w:rPr>
        <w:t xml:space="preserve"> inciso D fracción I numeral 2, inciso E fracción I numeral 26, inciso F fracción I numeral 5 y 9. </w:t>
      </w:r>
    </w:p>
    <w:p w14:paraId="14CF6C8D" w14:textId="2215883A" w:rsidR="002F2B4E" w:rsidRPr="002F2B4E" w:rsidRDefault="002F2B4E" w:rsidP="002F2B4E">
      <w:pPr>
        <w:spacing w:line="276" w:lineRule="auto"/>
        <w:jc w:val="both"/>
        <w:rPr>
          <w:rFonts w:ascii="Arial" w:hAnsi="Arial" w:cs="Arial"/>
          <w:bCs/>
        </w:rPr>
      </w:pPr>
      <w:r w:rsidRPr="002F2B4E">
        <w:rPr>
          <w:rFonts w:ascii="Arial" w:hAnsi="Arial" w:cs="Arial"/>
          <w:bCs/>
        </w:rPr>
        <w:t>Plan Estatal de Desarrollo 2016-2022, Eje 3, Programa 17, Línea de acción 4 y Programa 19, Líneas de acción 3 y 4.</w:t>
      </w:r>
    </w:p>
    <w:p w14:paraId="4C50C65C" w14:textId="691837DE" w:rsidR="002F2B4E" w:rsidRDefault="002F2B4E" w:rsidP="00B4718A">
      <w:pPr>
        <w:pStyle w:val="Default"/>
        <w:spacing w:line="276" w:lineRule="auto"/>
        <w:jc w:val="both"/>
        <w:rPr>
          <w:b/>
        </w:rPr>
      </w:pPr>
    </w:p>
    <w:p w14:paraId="61242F97" w14:textId="7E769E12" w:rsidR="00851B28" w:rsidRDefault="00851B28" w:rsidP="00B4718A">
      <w:pPr>
        <w:pStyle w:val="Default"/>
        <w:spacing w:line="276" w:lineRule="auto"/>
        <w:jc w:val="both"/>
        <w:rPr>
          <w:b/>
        </w:rPr>
      </w:pPr>
    </w:p>
    <w:p w14:paraId="1D33AD65" w14:textId="77777777" w:rsidR="00E574C3" w:rsidRPr="00A22640" w:rsidRDefault="00E574C3" w:rsidP="00E574C3">
      <w:pPr>
        <w:spacing w:line="276" w:lineRule="auto"/>
        <w:jc w:val="both"/>
        <w:outlineLvl w:val="0"/>
        <w:rPr>
          <w:rFonts w:ascii="Arial" w:eastAsia="Calibri" w:hAnsi="Arial" w:cs="Arial"/>
          <w:bCs/>
          <w:szCs w:val="20"/>
          <w:lang w:eastAsia="en-US"/>
        </w:rPr>
      </w:pPr>
      <w:bookmarkStart w:id="31" w:name="_Toc51083021"/>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bookmarkEnd w:id="31"/>
    </w:p>
    <w:p w14:paraId="628FC5F2" w14:textId="77777777" w:rsidR="00E574C3" w:rsidRDefault="00E574C3" w:rsidP="00E574C3">
      <w:pPr>
        <w:spacing w:line="276" w:lineRule="auto"/>
        <w:jc w:val="both"/>
        <w:outlineLvl w:val="0"/>
        <w:rPr>
          <w:rFonts w:ascii="Arial" w:eastAsia="Calibri" w:hAnsi="Arial" w:cs="Arial"/>
          <w:bCs/>
          <w:szCs w:val="20"/>
          <w:lang w:eastAsia="en-US"/>
        </w:rPr>
      </w:pPr>
    </w:p>
    <w:p w14:paraId="40A9AEFA" w14:textId="5B56131C" w:rsidR="00E574C3" w:rsidRDefault="00E574C3" w:rsidP="00E574C3">
      <w:pPr>
        <w:spacing w:line="276" w:lineRule="auto"/>
        <w:jc w:val="both"/>
        <w:outlineLvl w:val="0"/>
        <w:rPr>
          <w:rFonts w:ascii="Arial" w:eastAsia="Calibri" w:hAnsi="Arial" w:cs="Arial"/>
          <w:bCs/>
          <w:szCs w:val="20"/>
          <w:lang w:eastAsia="en-US"/>
        </w:rPr>
      </w:pPr>
      <w:bookmarkStart w:id="32" w:name="_Toc51083022"/>
      <w:r w:rsidRPr="00A22640">
        <w:rPr>
          <w:rFonts w:ascii="Arial" w:eastAsia="Calibri" w:hAnsi="Arial" w:cs="Arial"/>
          <w:bCs/>
          <w:szCs w:val="20"/>
          <w:lang w:eastAsia="en-US"/>
        </w:rPr>
        <w:t>La Auditoría Superior del Esta</w:t>
      </w:r>
      <w:r>
        <w:rPr>
          <w:rFonts w:ascii="Arial" w:eastAsia="Calibri" w:hAnsi="Arial" w:cs="Arial"/>
          <w:bCs/>
          <w:szCs w:val="20"/>
          <w:lang w:eastAsia="en-US"/>
        </w:rPr>
        <w:t>d</w:t>
      </w:r>
      <w:r w:rsidR="002F2B4E">
        <w:rPr>
          <w:rFonts w:ascii="Arial" w:eastAsia="Calibri" w:hAnsi="Arial" w:cs="Arial"/>
          <w:bCs/>
          <w:szCs w:val="20"/>
          <w:lang w:eastAsia="en-US"/>
        </w:rPr>
        <w:t>o de Quintana Roo recomienda al</w:t>
      </w:r>
      <w:r w:rsidRPr="00CE3493">
        <w:rPr>
          <w:rFonts w:ascii="Arial" w:eastAsia="Calibri" w:hAnsi="Arial" w:cs="Arial"/>
          <w:bCs/>
          <w:szCs w:val="20"/>
          <w:lang w:eastAsia="en-US"/>
        </w:rPr>
        <w:t xml:space="preserve"> </w:t>
      </w:r>
      <w:r w:rsidR="00AB039F" w:rsidRPr="008C5AC2">
        <w:rPr>
          <w:rFonts w:ascii="Arial" w:hAnsi="Arial" w:cs="Arial"/>
        </w:rPr>
        <w:t>Instituto de Acceso a la Información y Protección de Datos Personales de Quintana Roo</w:t>
      </w:r>
      <w:r w:rsidR="00AB039F">
        <w:rPr>
          <w:rFonts w:ascii="Arial" w:hAnsi="Arial" w:cs="Arial"/>
        </w:rPr>
        <w:t>,</w:t>
      </w:r>
      <w:r w:rsidRPr="00A22640">
        <w:rPr>
          <w:rFonts w:ascii="Arial" w:eastAsia="Calibri" w:hAnsi="Arial" w:cs="Arial"/>
          <w:bCs/>
          <w:szCs w:val="20"/>
          <w:lang w:eastAsia="en-US"/>
        </w:rPr>
        <w:t xml:space="preserve"> lo siguiente:</w:t>
      </w:r>
      <w:bookmarkEnd w:id="32"/>
    </w:p>
    <w:p w14:paraId="48AA9366" w14:textId="559ABDC1" w:rsidR="0078039D" w:rsidRDefault="0078039D" w:rsidP="00E574C3">
      <w:pPr>
        <w:spacing w:line="276" w:lineRule="auto"/>
        <w:jc w:val="both"/>
        <w:outlineLvl w:val="0"/>
        <w:rPr>
          <w:rFonts w:ascii="Arial" w:eastAsia="Calibri" w:hAnsi="Arial" w:cs="Arial"/>
          <w:bCs/>
          <w:szCs w:val="20"/>
          <w:lang w:eastAsia="en-US"/>
        </w:rPr>
      </w:pPr>
    </w:p>
    <w:p w14:paraId="2C6E6703" w14:textId="7184EF70" w:rsidR="00C10D4F" w:rsidRDefault="00C10D4F" w:rsidP="00E574C3">
      <w:pPr>
        <w:spacing w:line="276" w:lineRule="auto"/>
        <w:jc w:val="both"/>
        <w:outlineLvl w:val="0"/>
        <w:rPr>
          <w:rFonts w:ascii="Arial" w:eastAsia="Calibri" w:hAnsi="Arial" w:cs="Arial"/>
          <w:b/>
          <w:szCs w:val="20"/>
          <w:lang w:eastAsia="en-US"/>
        </w:rPr>
      </w:pPr>
      <w:r w:rsidRPr="00C10D4F">
        <w:rPr>
          <w:rFonts w:ascii="Arial" w:eastAsia="Calibri" w:hAnsi="Arial" w:cs="Arial"/>
          <w:b/>
          <w:szCs w:val="20"/>
          <w:lang w:eastAsia="en-US"/>
        </w:rPr>
        <w:t>Para la observación 1</w:t>
      </w:r>
    </w:p>
    <w:p w14:paraId="13E29EBD" w14:textId="77777777" w:rsidR="00C10D4F" w:rsidRPr="00C10D4F" w:rsidRDefault="00C10D4F" w:rsidP="00E574C3">
      <w:pPr>
        <w:spacing w:line="276" w:lineRule="auto"/>
        <w:jc w:val="both"/>
        <w:outlineLvl w:val="0"/>
        <w:rPr>
          <w:rFonts w:ascii="Arial" w:eastAsia="Calibri" w:hAnsi="Arial" w:cs="Arial"/>
          <w:b/>
          <w:szCs w:val="20"/>
          <w:lang w:eastAsia="en-US"/>
        </w:rPr>
      </w:pPr>
    </w:p>
    <w:p w14:paraId="645B07BD" w14:textId="1DDDD34E" w:rsidR="00025AA1" w:rsidRDefault="00C10D4F" w:rsidP="00C10D4F">
      <w:pPr>
        <w:spacing w:after="160" w:line="276" w:lineRule="auto"/>
        <w:jc w:val="both"/>
        <w:rPr>
          <w:rFonts w:ascii="Arial" w:hAnsi="Arial" w:cs="Arial"/>
          <w:bCs/>
        </w:rPr>
      </w:pPr>
      <w:r w:rsidRPr="00C10D4F">
        <w:rPr>
          <w:rFonts w:ascii="Arial" w:hAnsi="Arial" w:cs="Arial"/>
        </w:rPr>
        <w:t xml:space="preserve">El </w:t>
      </w:r>
      <w:r w:rsidRPr="006E18C9">
        <w:rPr>
          <w:rFonts w:ascii="Arial" w:hAnsi="Arial" w:cs="Arial"/>
        </w:rPr>
        <w:t>Instituto de Acceso a la Información y Protección de Datos Personales de Quintana Roo</w:t>
      </w:r>
      <w:r w:rsidRPr="00CA30DD">
        <w:rPr>
          <w:rFonts w:ascii="Arial" w:hAnsi="Arial" w:cs="Arial"/>
        </w:rPr>
        <w:t xml:space="preserve"> </w:t>
      </w:r>
      <w:r w:rsidR="00CA30DD" w:rsidRPr="00CA30DD">
        <w:rPr>
          <w:rFonts w:ascii="Arial" w:hAnsi="Arial" w:cs="Arial"/>
        </w:rPr>
        <w:t xml:space="preserve">deberá </w:t>
      </w:r>
      <w:r w:rsidR="00CC2355">
        <w:rPr>
          <w:rFonts w:ascii="Arial" w:hAnsi="Arial" w:cs="Arial"/>
        </w:rPr>
        <w:t xml:space="preserve">actualizar el </w:t>
      </w:r>
      <w:r w:rsidR="00CC2355" w:rsidRPr="008C5AC2">
        <w:rPr>
          <w:rFonts w:ascii="Arial" w:hAnsi="Arial" w:cs="Arial"/>
        </w:rPr>
        <w:t>Reglamento Interior y Condiciones Generales de Trabajo del Instituto de Transparencia y Acceso a la Información Pública de Quintana Roo</w:t>
      </w:r>
      <w:r w:rsidR="00CC2355">
        <w:rPr>
          <w:rFonts w:ascii="Arial" w:hAnsi="Arial" w:cs="Arial"/>
        </w:rPr>
        <w:t xml:space="preserve"> de manera que</w:t>
      </w:r>
      <w:r w:rsidR="00025AA1" w:rsidRPr="00C10D4F">
        <w:rPr>
          <w:rFonts w:ascii="Arial" w:hAnsi="Arial" w:cs="Arial"/>
        </w:rPr>
        <w:t xml:space="preserve"> exista c</w:t>
      </w:r>
      <w:r w:rsidR="00025AA1" w:rsidRPr="00C10D4F">
        <w:rPr>
          <w:rFonts w:ascii="Arial" w:hAnsi="Arial" w:cs="Arial"/>
          <w:bCs/>
        </w:rPr>
        <w:t>oherencia entre las disposiciones normativas y las acciones sustantivas que actualmente se realizan, presentando evidencia de su aprobación y publicación respectiva</w:t>
      </w:r>
      <w:r w:rsidR="00D97920" w:rsidRPr="00C10D4F">
        <w:rPr>
          <w:rFonts w:ascii="Arial" w:hAnsi="Arial" w:cs="Arial"/>
          <w:bCs/>
        </w:rPr>
        <w:t>.</w:t>
      </w:r>
      <w:r w:rsidR="00025AA1" w:rsidRPr="00C10D4F">
        <w:rPr>
          <w:rFonts w:ascii="Arial" w:hAnsi="Arial" w:cs="Arial"/>
          <w:bCs/>
        </w:rPr>
        <w:t xml:space="preserve"> De la misma forma, homologar los nombres de los puestos existentes y de las unidades administrativas tanto </w:t>
      </w:r>
      <w:r w:rsidR="00160F98">
        <w:rPr>
          <w:rFonts w:ascii="Arial" w:hAnsi="Arial" w:cs="Arial"/>
          <w:bCs/>
        </w:rPr>
        <w:t>de la</w:t>
      </w:r>
      <w:r w:rsidR="00025AA1" w:rsidRPr="00C10D4F">
        <w:rPr>
          <w:rFonts w:ascii="Arial" w:hAnsi="Arial" w:cs="Arial"/>
          <w:bCs/>
        </w:rPr>
        <w:t xml:space="preserve"> Ley de Transparencia y Acceso a la Información Pública para el Estado de Quintana Roo, el Reglamento Interior y Condiciones Generales de Trabajo del Instituto de Transparencia y Acceso a la Información Pública de Quintana Roo</w:t>
      </w:r>
      <w:r w:rsidR="00160F98">
        <w:rPr>
          <w:rFonts w:ascii="Arial" w:hAnsi="Arial" w:cs="Arial"/>
          <w:bCs/>
        </w:rPr>
        <w:t>,</w:t>
      </w:r>
      <w:r w:rsidR="00025AA1" w:rsidRPr="00C10D4F">
        <w:rPr>
          <w:rFonts w:ascii="Arial" w:hAnsi="Arial" w:cs="Arial"/>
          <w:bCs/>
        </w:rPr>
        <w:t xml:space="preserve"> y la Estructura Orgánica del mismo. Adicionalmente, es importante que se consideren las reformas que han tenido las diversas disposiciones normativas que rigen el ámbito de competencia de la</w:t>
      </w:r>
      <w:r w:rsidR="00CC2355">
        <w:rPr>
          <w:rFonts w:ascii="Arial" w:hAnsi="Arial" w:cs="Arial"/>
          <w:bCs/>
        </w:rPr>
        <w:t xml:space="preserve"> entidad</w:t>
      </w:r>
      <w:r w:rsidR="00025AA1" w:rsidRPr="00C10D4F">
        <w:rPr>
          <w:rFonts w:ascii="Arial" w:hAnsi="Arial" w:cs="Arial"/>
          <w:bCs/>
        </w:rPr>
        <w:t>, tanto en lo laboral como en lo que respecta al acceso de la información y protección de datos personales. Asimismo, se deberá de realizar la publicación del Código de Ética del Instituto en el Periódico Oficial del Estado de Quintana Roo.</w:t>
      </w:r>
    </w:p>
    <w:p w14:paraId="1EB23340" w14:textId="3564DF24" w:rsidR="00CC2355" w:rsidRPr="00CC2355" w:rsidRDefault="00CC2355" w:rsidP="00C10D4F">
      <w:pPr>
        <w:spacing w:after="160" w:line="276" w:lineRule="auto"/>
        <w:jc w:val="both"/>
        <w:rPr>
          <w:rFonts w:ascii="Arial" w:hAnsi="Arial" w:cs="Arial"/>
        </w:rPr>
      </w:pPr>
    </w:p>
    <w:p w14:paraId="67D59457" w14:textId="44377931" w:rsidR="00CC2355" w:rsidRPr="00CC2355" w:rsidRDefault="00CC2355" w:rsidP="00CC2355">
      <w:pPr>
        <w:autoSpaceDE w:val="0"/>
        <w:autoSpaceDN w:val="0"/>
        <w:adjustRightInd w:val="0"/>
        <w:spacing w:line="276" w:lineRule="auto"/>
        <w:jc w:val="both"/>
        <w:rPr>
          <w:rFonts w:ascii="Arial" w:hAnsi="Arial" w:cs="Arial"/>
        </w:rPr>
      </w:pPr>
      <w:r w:rsidRPr="00CC2355">
        <w:rPr>
          <w:rFonts w:ascii="Arial" w:hAnsi="Arial" w:cs="Arial"/>
        </w:rPr>
        <w:t xml:space="preserve">Con motivo de la reunión de trabajo efectuada para la presentación de resultados finales de auditoría y observaciones preliminares, mediante oficio número IDAIPQROO/CA/0101/IX/2020 de fecha 30 de septiembre de 2020, el Instituto de Acceso a la Información y Protección de Datos Personales de Quintana Roo informa </w:t>
      </w:r>
      <w:r w:rsidRPr="0033533C">
        <w:rPr>
          <w:rFonts w:ascii="Arial" w:hAnsi="Arial" w:cs="Arial"/>
        </w:rPr>
        <w:t xml:space="preserve">que, se actualizó y homologó el Reglamento Interior y Condiciones Generales de Trabajo del Instituto de Acceso a la Información y Protección de Datos Personales de Quintana Roo, </w:t>
      </w:r>
      <w:r w:rsidR="00152535">
        <w:rPr>
          <w:rFonts w:ascii="Arial" w:hAnsi="Arial" w:cs="Arial"/>
        </w:rPr>
        <w:t xml:space="preserve">de acuerdo a la </w:t>
      </w:r>
      <w:r w:rsidR="00152535" w:rsidRPr="00152535">
        <w:rPr>
          <w:rFonts w:ascii="Arial" w:hAnsi="Arial" w:cs="Arial"/>
        </w:rPr>
        <w:t>Ley de Transparencia y Acceso a la Información Pública para el Estado de Quintana Roo</w:t>
      </w:r>
      <w:r w:rsidR="00152535">
        <w:rPr>
          <w:rFonts w:ascii="Arial" w:hAnsi="Arial" w:cs="Arial"/>
        </w:rPr>
        <w:t xml:space="preserve"> y Estructura Orgánica, </w:t>
      </w:r>
      <w:r w:rsidRPr="0033533C">
        <w:rPr>
          <w:rFonts w:ascii="Arial" w:hAnsi="Arial" w:cs="Arial"/>
        </w:rPr>
        <w:t>c</w:t>
      </w:r>
      <w:r w:rsidR="0033533C">
        <w:rPr>
          <w:rFonts w:ascii="Arial" w:hAnsi="Arial" w:cs="Arial"/>
        </w:rPr>
        <w:t>uya</w:t>
      </w:r>
      <w:r w:rsidRPr="0033533C">
        <w:rPr>
          <w:rFonts w:ascii="Arial" w:hAnsi="Arial" w:cs="Arial"/>
        </w:rPr>
        <w:t xml:space="preserve"> fecha</w:t>
      </w:r>
      <w:r w:rsidR="00AA7185">
        <w:rPr>
          <w:rFonts w:ascii="Arial" w:hAnsi="Arial" w:cs="Arial"/>
        </w:rPr>
        <w:t xml:space="preserve"> de</w:t>
      </w:r>
      <w:r w:rsidRPr="0033533C">
        <w:rPr>
          <w:rFonts w:ascii="Arial" w:hAnsi="Arial" w:cs="Arial"/>
        </w:rPr>
        <w:t xml:space="preserve"> </w:t>
      </w:r>
      <w:r w:rsidR="0033533C">
        <w:rPr>
          <w:rFonts w:ascii="Arial" w:hAnsi="Arial" w:cs="Arial"/>
        </w:rPr>
        <w:t>entrada en</w:t>
      </w:r>
      <w:r w:rsidR="00974562">
        <w:rPr>
          <w:rFonts w:ascii="Arial" w:hAnsi="Arial" w:cs="Arial"/>
        </w:rPr>
        <w:t xml:space="preserve"> vigor fue </w:t>
      </w:r>
      <w:r w:rsidRPr="0033533C">
        <w:rPr>
          <w:rFonts w:ascii="Arial" w:hAnsi="Arial" w:cs="Arial"/>
        </w:rPr>
        <w:t>a partir del 01 de septiembre de 2020</w:t>
      </w:r>
      <w:r w:rsidR="00A94B41">
        <w:rPr>
          <w:rFonts w:ascii="Arial" w:hAnsi="Arial" w:cs="Arial"/>
        </w:rPr>
        <w:t>; una vez constatada la homologación</w:t>
      </w:r>
      <w:r w:rsidRPr="0033533C">
        <w:rPr>
          <w:rFonts w:ascii="Arial" w:hAnsi="Arial" w:cs="Arial"/>
        </w:rPr>
        <w:t xml:space="preserve"> </w:t>
      </w:r>
      <w:r w:rsidRPr="00CC2355">
        <w:rPr>
          <w:rFonts w:ascii="Arial" w:hAnsi="Arial" w:cs="Arial"/>
        </w:rPr>
        <w:t xml:space="preserve">se estableció la fecha compromiso para </w:t>
      </w:r>
      <w:r w:rsidR="00A94B41">
        <w:rPr>
          <w:rFonts w:ascii="Arial" w:hAnsi="Arial" w:cs="Arial"/>
        </w:rPr>
        <w:t>la</w:t>
      </w:r>
      <w:r w:rsidRPr="00CC2355">
        <w:rPr>
          <w:rFonts w:ascii="Arial" w:hAnsi="Arial" w:cs="Arial"/>
        </w:rPr>
        <w:t xml:space="preserve"> publicación d</w:t>
      </w:r>
      <w:r w:rsidR="00C639D6">
        <w:rPr>
          <w:rFonts w:ascii="Arial" w:hAnsi="Arial" w:cs="Arial"/>
        </w:rPr>
        <w:t xml:space="preserve">el Reglamento Interior </w:t>
      </w:r>
      <w:r w:rsidRPr="00CC2355">
        <w:rPr>
          <w:rFonts w:ascii="Arial" w:hAnsi="Arial" w:cs="Arial"/>
        </w:rPr>
        <w:t>el 31 de marzo de 2021, por lo que, la observación queda parcialmente atendida</w:t>
      </w:r>
      <w:r w:rsidR="0033533C">
        <w:rPr>
          <w:rFonts w:ascii="Arial" w:hAnsi="Arial" w:cs="Arial"/>
        </w:rPr>
        <w:t>.</w:t>
      </w:r>
    </w:p>
    <w:p w14:paraId="79D12717" w14:textId="77777777" w:rsidR="00CC2355" w:rsidRPr="00C10D4F" w:rsidRDefault="00CC2355" w:rsidP="00C10D4F">
      <w:pPr>
        <w:spacing w:after="160" w:line="276" w:lineRule="auto"/>
        <w:jc w:val="both"/>
        <w:rPr>
          <w:rFonts w:ascii="Arial" w:hAnsi="Arial" w:cs="Arial"/>
          <w:b/>
          <w:bCs/>
          <w:iCs/>
        </w:rPr>
      </w:pPr>
    </w:p>
    <w:p w14:paraId="7C11AF0E" w14:textId="77777777" w:rsidR="00B5466C" w:rsidRDefault="00B5466C" w:rsidP="00CC2355">
      <w:pPr>
        <w:spacing w:line="276" w:lineRule="auto"/>
        <w:jc w:val="both"/>
        <w:rPr>
          <w:rFonts w:ascii="Arial" w:hAnsi="Arial" w:cs="Arial"/>
          <w:b/>
          <w:bCs/>
          <w:iCs/>
        </w:rPr>
      </w:pPr>
    </w:p>
    <w:p w14:paraId="55E2E61A" w14:textId="16E576F7" w:rsidR="00025AA1" w:rsidRDefault="00CC2355" w:rsidP="00CC2355">
      <w:pPr>
        <w:spacing w:line="276" w:lineRule="auto"/>
        <w:jc w:val="both"/>
        <w:rPr>
          <w:rFonts w:ascii="Arial" w:hAnsi="Arial" w:cs="Arial"/>
          <w:b/>
          <w:bCs/>
          <w:iCs/>
        </w:rPr>
      </w:pPr>
      <w:r>
        <w:rPr>
          <w:rFonts w:ascii="Arial" w:hAnsi="Arial" w:cs="Arial"/>
          <w:b/>
          <w:bCs/>
          <w:iCs/>
        </w:rPr>
        <w:t>Para la observación 2</w:t>
      </w:r>
    </w:p>
    <w:p w14:paraId="3A870AC1" w14:textId="77777777" w:rsidR="00CC2355" w:rsidRPr="00CC2355" w:rsidRDefault="00CC2355" w:rsidP="00CC2355">
      <w:pPr>
        <w:spacing w:line="276" w:lineRule="auto"/>
        <w:jc w:val="both"/>
        <w:rPr>
          <w:rFonts w:ascii="Arial" w:hAnsi="Arial" w:cs="Arial"/>
          <w:b/>
          <w:bCs/>
          <w:iCs/>
        </w:rPr>
      </w:pPr>
    </w:p>
    <w:p w14:paraId="7CA26495" w14:textId="54B9BAAF" w:rsidR="00025AA1" w:rsidRDefault="00025AA1" w:rsidP="00CC2355">
      <w:pPr>
        <w:spacing w:after="160" w:line="276" w:lineRule="auto"/>
        <w:jc w:val="both"/>
        <w:rPr>
          <w:rFonts w:ascii="Arial" w:hAnsi="Arial" w:cs="Arial"/>
        </w:rPr>
      </w:pPr>
      <w:r w:rsidRPr="00CC2355">
        <w:rPr>
          <w:rFonts w:ascii="Arial" w:hAnsi="Arial" w:cs="Arial"/>
          <w:bCs/>
          <w:iCs/>
        </w:rPr>
        <w:t>Fortalecer la implementación</w:t>
      </w:r>
      <w:r w:rsidR="0005210C">
        <w:rPr>
          <w:rFonts w:ascii="Arial" w:hAnsi="Arial" w:cs="Arial"/>
          <w:bCs/>
          <w:iCs/>
        </w:rPr>
        <w:t>,</w:t>
      </w:r>
      <w:r w:rsidRPr="00CC2355">
        <w:rPr>
          <w:rFonts w:ascii="Arial" w:hAnsi="Arial" w:cs="Arial"/>
          <w:bCs/>
          <w:iCs/>
        </w:rPr>
        <w:t xml:space="preserve"> </w:t>
      </w:r>
      <w:r w:rsidR="003A5EF7">
        <w:rPr>
          <w:rFonts w:ascii="Arial" w:hAnsi="Arial" w:cs="Arial"/>
          <w:bCs/>
          <w:iCs/>
        </w:rPr>
        <w:t xml:space="preserve">en la normativa de mediano plazo, </w:t>
      </w:r>
      <w:r w:rsidRPr="00CC2355">
        <w:rPr>
          <w:rFonts w:ascii="Arial" w:hAnsi="Arial" w:cs="Arial"/>
          <w:bCs/>
          <w:iCs/>
        </w:rPr>
        <w:t>el Presupuesto basado en Resultados y Sistema de Evaluación del Desempeño</w:t>
      </w:r>
      <w:r w:rsidR="003A5EF7">
        <w:rPr>
          <w:rFonts w:ascii="Arial" w:hAnsi="Arial" w:cs="Arial"/>
          <w:bCs/>
          <w:iCs/>
        </w:rPr>
        <w:t xml:space="preserve">, teniendo como principio el uso de la Metodología de Marco Lógico, </w:t>
      </w:r>
      <w:r w:rsidRPr="00CC2355">
        <w:rPr>
          <w:rFonts w:ascii="Arial" w:hAnsi="Arial" w:cs="Arial"/>
          <w:bCs/>
          <w:iCs/>
        </w:rPr>
        <w:t>un nuevo enfoque de la Gestión para Resultados</w:t>
      </w:r>
      <w:r w:rsidR="007A6413">
        <w:rPr>
          <w:rFonts w:ascii="Arial" w:hAnsi="Arial" w:cs="Arial"/>
          <w:bCs/>
          <w:iCs/>
        </w:rPr>
        <w:t>;</w:t>
      </w:r>
      <w:r w:rsidR="003A5EF7">
        <w:rPr>
          <w:rFonts w:ascii="Arial" w:hAnsi="Arial" w:cs="Arial"/>
          <w:bCs/>
          <w:iCs/>
        </w:rPr>
        <w:t xml:space="preserve"> establec</w:t>
      </w:r>
      <w:r w:rsidR="007A6413">
        <w:rPr>
          <w:rFonts w:ascii="Arial" w:hAnsi="Arial" w:cs="Arial"/>
          <w:bCs/>
          <w:iCs/>
        </w:rPr>
        <w:t xml:space="preserve">er </w:t>
      </w:r>
      <w:r w:rsidR="003A5EF7">
        <w:rPr>
          <w:rFonts w:ascii="Arial" w:hAnsi="Arial" w:cs="Arial"/>
          <w:bCs/>
          <w:iCs/>
        </w:rPr>
        <w:t>de manera clara el o las áreas responsables de este cumplimiento, así como</w:t>
      </w:r>
      <w:r w:rsidR="0005210C">
        <w:rPr>
          <w:rFonts w:ascii="Arial" w:hAnsi="Arial" w:cs="Arial"/>
          <w:bCs/>
          <w:iCs/>
        </w:rPr>
        <w:t xml:space="preserve"> establecer</w:t>
      </w:r>
      <w:r w:rsidR="003A5EF7">
        <w:rPr>
          <w:rFonts w:ascii="Arial" w:hAnsi="Arial" w:cs="Arial"/>
          <w:bCs/>
          <w:iCs/>
        </w:rPr>
        <w:t xml:space="preserve"> los procedimientos específicos para este fin, e i</w:t>
      </w:r>
      <w:r w:rsidR="003A5EF7">
        <w:rPr>
          <w:rFonts w:ascii="Arial" w:hAnsi="Arial" w:cs="Arial"/>
          <w:bCs/>
        </w:rPr>
        <w:t xml:space="preserve">ntegrar </w:t>
      </w:r>
      <w:r w:rsidRPr="00CC2355">
        <w:rPr>
          <w:rFonts w:ascii="Arial" w:hAnsi="Arial" w:cs="Arial"/>
          <w:bCs/>
        </w:rPr>
        <w:t xml:space="preserve">los procesos de planeación, programación, presupuestación, ejercicio, seguimiento y evaluación de los </w:t>
      </w:r>
      <w:r w:rsidR="00CC2355">
        <w:rPr>
          <w:rFonts w:ascii="Arial" w:hAnsi="Arial" w:cs="Arial"/>
          <w:bCs/>
        </w:rPr>
        <w:t>p</w:t>
      </w:r>
      <w:r w:rsidRPr="00CC2355">
        <w:rPr>
          <w:rFonts w:ascii="Arial" w:hAnsi="Arial" w:cs="Arial"/>
          <w:bCs/>
        </w:rPr>
        <w:t xml:space="preserve">rogramas derivados del </w:t>
      </w:r>
      <w:r w:rsidRPr="00CC2355">
        <w:rPr>
          <w:rFonts w:ascii="Arial" w:hAnsi="Arial" w:cs="Arial"/>
        </w:rPr>
        <w:t>Plan Estatal de Desarrollo, con el objetivo de mejorar la calidad del gasto público</w:t>
      </w:r>
      <w:r w:rsidRPr="00025AA1">
        <w:t xml:space="preserve"> </w:t>
      </w:r>
      <w:r w:rsidRPr="00CC2355">
        <w:rPr>
          <w:rFonts w:ascii="Arial" w:hAnsi="Arial" w:cs="Arial"/>
        </w:rPr>
        <w:t>y promover la rendición de cuentas, tal como lo establece el artículo 134 de la Constitución Política de los Estados Unidos Mexicanos</w:t>
      </w:r>
      <w:r w:rsidR="0005210C">
        <w:rPr>
          <w:rFonts w:ascii="Arial" w:hAnsi="Arial" w:cs="Arial"/>
        </w:rPr>
        <w:t xml:space="preserve"> </w:t>
      </w:r>
      <w:r w:rsidRPr="00CC2355">
        <w:rPr>
          <w:rFonts w:ascii="Arial" w:hAnsi="Arial" w:cs="Arial"/>
          <w:color w:val="000000" w:themeColor="text1"/>
        </w:rPr>
        <w:t xml:space="preserve">y </w:t>
      </w:r>
      <w:r w:rsidRPr="00CC2355">
        <w:rPr>
          <w:rFonts w:ascii="Arial" w:hAnsi="Arial" w:cs="Arial"/>
        </w:rPr>
        <w:t>artículo 61 de la Ley General de Contabilidad Gubernamental</w:t>
      </w:r>
      <w:r w:rsidR="00C74731">
        <w:rPr>
          <w:rFonts w:ascii="Arial" w:hAnsi="Arial" w:cs="Arial"/>
        </w:rPr>
        <w:t>;</w:t>
      </w:r>
      <w:r w:rsidR="00A94B41">
        <w:rPr>
          <w:rFonts w:ascii="Arial" w:hAnsi="Arial" w:cs="Arial"/>
        </w:rPr>
        <w:t xml:space="preserve"> así como publicar del Código de ética.</w:t>
      </w:r>
    </w:p>
    <w:p w14:paraId="4C50C36B" w14:textId="06816F6B" w:rsidR="004C687F" w:rsidRPr="004C687F" w:rsidRDefault="004C687F" w:rsidP="004C687F">
      <w:pPr>
        <w:autoSpaceDE w:val="0"/>
        <w:autoSpaceDN w:val="0"/>
        <w:adjustRightInd w:val="0"/>
        <w:spacing w:line="276" w:lineRule="auto"/>
        <w:jc w:val="both"/>
        <w:rPr>
          <w:rFonts w:ascii="Arial" w:hAnsi="Arial"/>
        </w:rPr>
      </w:pPr>
      <w:r w:rsidRPr="004C687F">
        <w:rPr>
          <w:rFonts w:ascii="Arial" w:hAnsi="Arial"/>
        </w:rPr>
        <w:t xml:space="preserve">Con motivo de la reunión de trabajo efectuada para la presentación de resultados finales de auditoría y observaciones preliminares, mediante oficio número IDAIPQROO/CA/0101/IX/2020 de fecha 30 de septiembre de 2020, el Instituto de Acceso a la Información y Protección de Datos Personales de Quintana Roo </w:t>
      </w:r>
      <w:r w:rsidRPr="004C687F">
        <w:rPr>
          <w:rFonts w:ascii="Arial" w:hAnsi="Arial"/>
        </w:rPr>
        <w:lastRenderedPageBreak/>
        <w:t>manifiesta que, no cuenta con un área encargada del Sistema de Evaluación al Desempeño</w:t>
      </w:r>
      <w:r w:rsidR="00EF3002">
        <w:rPr>
          <w:rFonts w:ascii="Arial" w:hAnsi="Arial"/>
        </w:rPr>
        <w:t xml:space="preserve"> (SED)</w:t>
      </w:r>
      <w:r w:rsidRPr="004C687F">
        <w:rPr>
          <w:rFonts w:ascii="Arial" w:hAnsi="Arial"/>
        </w:rPr>
        <w:t xml:space="preserve">, por lo que, la Dirección de Administración realiza dicha función. Por otra parte, con la actualización del Reglamento Interior y Condiciones Generales de Trabajo del Instituto de Acceso a la Información y Protección de Datos Personales de Quintana Roo, se hace referencia a las actividades de planeación, enfocadas en </w:t>
      </w:r>
      <w:r w:rsidRPr="0033533C">
        <w:rPr>
          <w:rFonts w:ascii="Arial" w:hAnsi="Arial"/>
        </w:rPr>
        <w:t>verificar el cumplimiento del Programa Institucional y del Presupuesto basado en Resultados</w:t>
      </w:r>
      <w:r w:rsidR="00EF3002" w:rsidRPr="0033533C">
        <w:rPr>
          <w:rFonts w:ascii="Arial" w:hAnsi="Arial"/>
        </w:rPr>
        <w:t xml:space="preserve"> (</w:t>
      </w:r>
      <w:proofErr w:type="spellStart"/>
      <w:r w:rsidR="00EF3002" w:rsidRPr="0033533C">
        <w:rPr>
          <w:rFonts w:ascii="Arial" w:hAnsi="Arial"/>
        </w:rPr>
        <w:t>PbR</w:t>
      </w:r>
      <w:proofErr w:type="spellEnd"/>
      <w:r w:rsidR="00EF3002" w:rsidRPr="0033533C">
        <w:rPr>
          <w:rFonts w:ascii="Arial" w:hAnsi="Arial"/>
        </w:rPr>
        <w:t>),</w:t>
      </w:r>
      <w:r w:rsidRPr="0033533C">
        <w:rPr>
          <w:rFonts w:ascii="Arial" w:hAnsi="Arial"/>
        </w:rPr>
        <w:t xml:space="preserve"> no obstante, dicho Reglamento aún no ha sido publicado</w:t>
      </w:r>
      <w:r w:rsidR="00EF3002" w:rsidRPr="0033533C">
        <w:rPr>
          <w:rFonts w:ascii="Arial" w:hAnsi="Arial"/>
        </w:rPr>
        <w:t xml:space="preserve">; una vez constatada la integración del </w:t>
      </w:r>
      <w:proofErr w:type="spellStart"/>
      <w:r w:rsidR="00EF3002" w:rsidRPr="0033533C">
        <w:rPr>
          <w:rFonts w:ascii="Arial" w:hAnsi="Arial"/>
        </w:rPr>
        <w:t>PbR</w:t>
      </w:r>
      <w:proofErr w:type="spellEnd"/>
      <w:r w:rsidR="0005210C">
        <w:rPr>
          <w:rFonts w:ascii="Arial" w:hAnsi="Arial"/>
        </w:rPr>
        <w:t xml:space="preserve">-SED, así como el uso de la Metodología del Marco Lógico, </w:t>
      </w:r>
      <w:r w:rsidR="00EF3002" w:rsidRPr="0033533C">
        <w:rPr>
          <w:rFonts w:ascii="Arial" w:hAnsi="Arial"/>
        </w:rPr>
        <w:t>en el</w:t>
      </w:r>
      <w:r w:rsidRPr="0033533C">
        <w:rPr>
          <w:rFonts w:ascii="Arial" w:hAnsi="Arial"/>
        </w:rPr>
        <w:t xml:space="preserve"> </w:t>
      </w:r>
      <w:r w:rsidR="00EF3002" w:rsidRPr="0033533C">
        <w:rPr>
          <w:rFonts w:ascii="Arial" w:hAnsi="Arial" w:cs="Arial"/>
        </w:rPr>
        <w:t>Reglamento Interior y Condiciones Generales de Trabajo del Instituto de Transparencia y Acceso a la Información Pública de Quintana Roo</w:t>
      </w:r>
      <w:r w:rsidRPr="0033533C">
        <w:rPr>
          <w:rFonts w:ascii="Arial" w:hAnsi="Arial"/>
        </w:rPr>
        <w:t xml:space="preserve">, se estableció la fecha compromiso para su </w:t>
      </w:r>
      <w:r w:rsidR="00EF3002" w:rsidRPr="0033533C">
        <w:rPr>
          <w:rFonts w:ascii="Arial" w:hAnsi="Arial"/>
        </w:rPr>
        <w:t>publicación</w:t>
      </w:r>
      <w:r w:rsidR="00682BBA">
        <w:rPr>
          <w:rFonts w:ascii="Arial" w:hAnsi="Arial"/>
        </w:rPr>
        <w:t xml:space="preserve"> y la publicación del Código de ética,</w:t>
      </w:r>
      <w:r w:rsidRPr="0033533C">
        <w:rPr>
          <w:rFonts w:ascii="Arial" w:hAnsi="Arial"/>
        </w:rPr>
        <w:t xml:space="preserve"> a más tardar el 31 de marzo de 2021, por lo que</w:t>
      </w:r>
      <w:r w:rsidR="00682BBA">
        <w:rPr>
          <w:rFonts w:ascii="Arial" w:hAnsi="Arial"/>
        </w:rPr>
        <w:t>,</w:t>
      </w:r>
      <w:r w:rsidRPr="0033533C">
        <w:rPr>
          <w:rFonts w:ascii="Arial" w:hAnsi="Arial"/>
        </w:rPr>
        <w:t xml:space="preserve"> la observación queda parcialmente</w:t>
      </w:r>
      <w:r w:rsidRPr="004C687F">
        <w:rPr>
          <w:rFonts w:ascii="Arial" w:hAnsi="Arial"/>
        </w:rPr>
        <w:t xml:space="preserve"> atendida. </w:t>
      </w:r>
    </w:p>
    <w:p w14:paraId="242220CB" w14:textId="77777777" w:rsidR="004C687F" w:rsidRPr="004C687F" w:rsidRDefault="004C687F" w:rsidP="00CC2355">
      <w:pPr>
        <w:spacing w:after="160" w:line="276" w:lineRule="auto"/>
        <w:jc w:val="both"/>
        <w:rPr>
          <w:rFonts w:ascii="Arial" w:hAnsi="Arial"/>
        </w:rPr>
      </w:pPr>
    </w:p>
    <w:p w14:paraId="14AE2760" w14:textId="35F80D94" w:rsidR="00456BB3" w:rsidRPr="004C687F" w:rsidRDefault="00456BB3" w:rsidP="00B4718A">
      <w:pPr>
        <w:pStyle w:val="Default"/>
        <w:spacing w:line="276" w:lineRule="auto"/>
        <w:jc w:val="both"/>
        <w:rPr>
          <w:rFonts w:eastAsia="Times New Roman" w:cs="Times New Roman"/>
          <w:color w:val="auto"/>
          <w:lang w:eastAsia="es-ES"/>
        </w:rPr>
      </w:pPr>
    </w:p>
    <w:p w14:paraId="78294266" w14:textId="77777777" w:rsidR="00456BB3" w:rsidRPr="004C687F" w:rsidRDefault="00456BB3" w:rsidP="00456BB3">
      <w:pPr>
        <w:spacing w:line="276" w:lineRule="auto"/>
        <w:jc w:val="both"/>
        <w:rPr>
          <w:rFonts w:ascii="Arial" w:hAnsi="Arial"/>
          <w:b/>
          <w:bCs/>
        </w:rPr>
      </w:pPr>
      <w:r w:rsidRPr="004C687F">
        <w:rPr>
          <w:rFonts w:ascii="Arial" w:hAnsi="Arial"/>
          <w:b/>
          <w:bCs/>
        </w:rPr>
        <w:t>MATRIZ DE INDICADORES PARA RESULTADOS</w:t>
      </w:r>
    </w:p>
    <w:p w14:paraId="61E5298E" w14:textId="77777777" w:rsidR="00456BB3" w:rsidRPr="004C687F" w:rsidRDefault="00456BB3" w:rsidP="00456BB3">
      <w:pPr>
        <w:spacing w:line="276" w:lineRule="auto"/>
        <w:jc w:val="both"/>
        <w:rPr>
          <w:rFonts w:ascii="Arial" w:hAnsi="Arial"/>
        </w:rPr>
      </w:pPr>
    </w:p>
    <w:p w14:paraId="2D643533" w14:textId="6FA1A8CF" w:rsidR="002F08C3" w:rsidRDefault="00456BB3" w:rsidP="007821F5">
      <w:pPr>
        <w:autoSpaceDE w:val="0"/>
        <w:autoSpaceDN w:val="0"/>
        <w:adjustRightInd w:val="0"/>
        <w:jc w:val="both"/>
        <w:rPr>
          <w:rFonts w:ascii="Arial" w:hAnsi="Arial"/>
          <w:b/>
          <w:bCs/>
        </w:rPr>
      </w:pPr>
      <w:r w:rsidRPr="00247646">
        <w:rPr>
          <w:rFonts w:ascii="Arial" w:hAnsi="Arial"/>
          <w:b/>
          <w:bCs/>
        </w:rPr>
        <w:t xml:space="preserve">Resultado Número 2, </w:t>
      </w:r>
      <w:r w:rsidR="00E92113">
        <w:rPr>
          <w:rFonts w:ascii="Arial" w:hAnsi="Arial"/>
          <w:b/>
          <w:bCs/>
        </w:rPr>
        <w:t>sin</w:t>
      </w:r>
      <w:r w:rsidRPr="00247646">
        <w:rPr>
          <w:rFonts w:ascii="Arial" w:hAnsi="Arial"/>
          <w:b/>
          <w:bCs/>
        </w:rPr>
        <w:t xml:space="preserve"> Observaciones</w:t>
      </w:r>
    </w:p>
    <w:p w14:paraId="393D1B8E" w14:textId="7856E076" w:rsidR="00E92113" w:rsidRDefault="00E92113" w:rsidP="007821F5">
      <w:pPr>
        <w:autoSpaceDE w:val="0"/>
        <w:autoSpaceDN w:val="0"/>
        <w:adjustRightInd w:val="0"/>
        <w:jc w:val="both"/>
        <w:rPr>
          <w:rFonts w:ascii="Arial" w:hAnsi="Arial"/>
          <w:b/>
          <w:bCs/>
        </w:rPr>
      </w:pPr>
    </w:p>
    <w:p w14:paraId="4354B0D2" w14:textId="0D975BB8" w:rsidR="00E92113" w:rsidRPr="00A759A5" w:rsidRDefault="00E92113" w:rsidP="00E92113">
      <w:pPr>
        <w:pStyle w:val="Prrafodelista"/>
        <w:numPr>
          <w:ilvl w:val="0"/>
          <w:numId w:val="23"/>
        </w:numPr>
        <w:spacing w:line="276" w:lineRule="auto"/>
        <w:ind w:left="0" w:firstLine="0"/>
        <w:jc w:val="both"/>
        <w:rPr>
          <w:rFonts w:ascii="Arial" w:eastAsiaTheme="minorHAnsi" w:hAnsi="Arial" w:cs="Arial"/>
          <w:lang w:eastAsia="en-US"/>
        </w:rPr>
      </w:pPr>
      <w:r w:rsidRPr="00E92113">
        <w:rPr>
          <w:rFonts w:ascii="Arial" w:eastAsiaTheme="minorHAnsi" w:hAnsi="Arial" w:cs="Arial"/>
          <w:lang w:val="es-ES" w:eastAsia="en-US"/>
        </w:rPr>
        <w:t xml:space="preserve">El </w:t>
      </w:r>
      <w:r w:rsidRPr="00E92113">
        <w:rPr>
          <w:rFonts w:ascii="Arial" w:hAnsi="Arial" w:cs="Arial"/>
          <w:lang w:eastAsia="en-US"/>
        </w:rPr>
        <w:t xml:space="preserve">Instituto de Acceso a la Información y Protección de Datos Personales de Quintana Roo no </w:t>
      </w:r>
      <w:r w:rsidRPr="00E92113">
        <w:rPr>
          <w:rFonts w:ascii="Arial" w:eastAsiaTheme="minorHAnsi" w:hAnsi="Arial" w:cs="Arial"/>
          <w:lang w:eastAsia="en-US"/>
        </w:rPr>
        <w:t xml:space="preserve">estableció indicadores claros sobre el desempeño de los objetivos establecidos en la MIR, no obstante, de acuerdo a la Cédula de Avance del Cumplimiento de los Objetivos y Metas de los Programas Aprobados en el Presupuesto de Egresos del Estado, se pudo verificar que cumplieron con el monitoreo del cumplimiento de sus metas y objetivos, </w:t>
      </w:r>
      <w:r w:rsidRPr="00E92113">
        <w:rPr>
          <w:rFonts w:ascii="Arial" w:eastAsiaTheme="minorHAnsi" w:hAnsi="Arial" w:cs="Arial"/>
          <w:lang w:val="es-ES" w:eastAsia="en-US"/>
        </w:rPr>
        <w:t xml:space="preserve">los cuales presentan </w:t>
      </w:r>
      <w:r w:rsidRPr="00E92113">
        <w:rPr>
          <w:rFonts w:ascii="Arial" w:eastAsiaTheme="minorHAnsi" w:hAnsi="Arial" w:cs="Arial"/>
          <w:lang w:eastAsia="en-US"/>
        </w:rPr>
        <w:t>avances sus dos programas presupuestarios</w:t>
      </w:r>
      <w:r w:rsidRPr="00E92113">
        <w:rPr>
          <w:rFonts w:ascii="Arial" w:eastAsiaTheme="minorHAnsi" w:hAnsi="Arial" w:cs="Arial"/>
          <w:bCs/>
          <w:lang w:eastAsia="en-US"/>
        </w:rPr>
        <w:t>.</w:t>
      </w:r>
      <w:r w:rsidRPr="00E92113">
        <w:rPr>
          <w:rFonts w:ascii="Arial" w:eastAsiaTheme="minorHAnsi" w:hAnsi="Arial" w:cs="Arial"/>
          <w:lang w:val="es-ES" w:eastAsia="en-US"/>
        </w:rPr>
        <w:t xml:space="preserve"> Para el análisis del avance de cumplimiento de metas y objetivos </w:t>
      </w:r>
      <w:r w:rsidRPr="00E92113">
        <w:rPr>
          <w:rFonts w:ascii="Arial" w:eastAsiaTheme="minorHAnsi" w:hAnsi="Arial" w:cs="Arial"/>
          <w:lang w:eastAsia="en-US"/>
        </w:rPr>
        <w:t xml:space="preserve">se tomaron en cuenta los datos numéricos programados y alcanzados a nivel Propósito de cada programa presupuestario, ya que es el objetivo del programa y la razón de ser del mismo e indica el efecto directo que se propone alcanzar sobre la población o área de enfoque, obteniendo que, el Programa E042 logro su meta del 100% y el Programa M001 avanzó en su meta un 89%. </w:t>
      </w:r>
      <w:r w:rsidRPr="00E92113">
        <w:rPr>
          <w:rFonts w:ascii="Arial" w:eastAsia="Calibri" w:hAnsi="Arial" w:cs="Arial"/>
          <w:lang w:eastAsia="en-US"/>
        </w:rPr>
        <w:t xml:space="preserve">De acuerdo con la semaforización establecida para dar seguimiento a cada programa presupuestario, los avances logrados informan que los </w:t>
      </w:r>
      <w:r w:rsidRPr="00E92113">
        <w:rPr>
          <w:rFonts w:ascii="Arial" w:eastAsiaTheme="minorHAnsi" w:hAnsi="Arial" w:cs="Arial"/>
          <w:lang w:val="es-ES" w:eastAsia="en-US"/>
        </w:rPr>
        <w:t xml:space="preserve">dos programas </w:t>
      </w:r>
      <w:r w:rsidRPr="00E92113">
        <w:rPr>
          <w:rFonts w:ascii="Arial" w:eastAsiaTheme="minorHAnsi" w:hAnsi="Arial" w:cs="Arial"/>
          <w:lang w:val="es-ES" w:eastAsia="en-US"/>
        </w:rPr>
        <w:lastRenderedPageBreak/>
        <w:t>alcanzaron la posición en el rango de COLOR VERDE, logrando ejecutar sus metas plantea</w:t>
      </w:r>
      <w:r w:rsidR="00673781">
        <w:rPr>
          <w:rFonts w:ascii="Arial" w:eastAsiaTheme="minorHAnsi" w:hAnsi="Arial" w:cs="Arial"/>
          <w:lang w:val="es-ES" w:eastAsia="en-US"/>
        </w:rPr>
        <w:t xml:space="preserve">das dentro del nivel aceptable, </w:t>
      </w:r>
      <w:r w:rsidR="00682BBA">
        <w:rPr>
          <w:rFonts w:ascii="Arial" w:hAnsi="Arial" w:cs="Arial"/>
        </w:rPr>
        <w:t xml:space="preserve">como se muestra en </w:t>
      </w:r>
      <w:r w:rsidR="00673781">
        <w:rPr>
          <w:rFonts w:ascii="Arial" w:hAnsi="Arial" w:cs="Arial"/>
        </w:rPr>
        <w:t>la siguiente tabla:</w:t>
      </w:r>
    </w:p>
    <w:p w14:paraId="49FDE20C" w14:textId="79355878" w:rsidR="00A759A5" w:rsidRDefault="00A759A5" w:rsidP="00A759A5">
      <w:pPr>
        <w:pStyle w:val="Prrafodelista"/>
        <w:spacing w:line="276" w:lineRule="auto"/>
        <w:ind w:left="0"/>
        <w:jc w:val="both"/>
        <w:rPr>
          <w:rFonts w:ascii="Arial" w:eastAsiaTheme="minorHAnsi" w:hAnsi="Arial" w:cs="Arial"/>
          <w:lang w:eastAsia="en-US"/>
        </w:rPr>
      </w:pPr>
    </w:p>
    <w:tbl>
      <w:tblPr>
        <w:tblpPr w:leftFromText="141" w:rightFromText="141" w:vertAnchor="text" w:horzAnchor="margin" w:tblpXSpec="center" w:tblpY="-24"/>
        <w:tblOverlap w:val="never"/>
        <w:tblW w:w="77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2645"/>
        <w:gridCol w:w="2056"/>
        <w:gridCol w:w="1796"/>
        <w:gridCol w:w="1298"/>
      </w:tblGrid>
      <w:tr w:rsidR="00673781" w:rsidRPr="00CD2E6F" w14:paraId="3D3FA03A" w14:textId="77777777" w:rsidTr="00B46CC7">
        <w:trPr>
          <w:trHeight w:val="237"/>
        </w:trPr>
        <w:tc>
          <w:tcPr>
            <w:tcW w:w="7795" w:type="dxa"/>
            <w:gridSpan w:val="4"/>
            <w:shd w:val="clear" w:color="auto" w:fill="D9D9D9" w:themeFill="background1" w:themeFillShade="D9"/>
            <w:vAlign w:val="center"/>
          </w:tcPr>
          <w:p w14:paraId="7D8D9FFD" w14:textId="0EA3A516" w:rsidR="00673781" w:rsidRPr="00CD2E6F" w:rsidRDefault="00673781" w:rsidP="001D7C44">
            <w:pPr>
              <w:jc w:val="center"/>
              <w:rPr>
                <w:rFonts w:ascii="Arial" w:hAnsi="Arial" w:cs="Arial"/>
                <w:b/>
                <w:color w:val="000000"/>
                <w:sz w:val="18"/>
                <w:szCs w:val="18"/>
                <w:lang w:eastAsia="es-MX"/>
              </w:rPr>
            </w:pPr>
            <w:r>
              <w:rPr>
                <w:rFonts w:ascii="Arial" w:hAnsi="Arial" w:cs="Arial"/>
                <w:b/>
                <w:color w:val="000000"/>
                <w:sz w:val="18"/>
                <w:szCs w:val="18"/>
                <w:lang w:eastAsia="es-MX"/>
              </w:rPr>
              <w:t>Cumplimiento de Objetivos y Metas</w:t>
            </w:r>
          </w:p>
        </w:tc>
      </w:tr>
      <w:tr w:rsidR="00CD2E6F" w:rsidRPr="00CD2E6F" w14:paraId="7DCB8197" w14:textId="77777777" w:rsidTr="0080718F">
        <w:trPr>
          <w:trHeight w:val="237"/>
        </w:trPr>
        <w:tc>
          <w:tcPr>
            <w:tcW w:w="2645" w:type="dxa"/>
            <w:shd w:val="clear" w:color="auto" w:fill="F2F2F2" w:themeFill="background1" w:themeFillShade="F2"/>
            <w:vAlign w:val="center"/>
            <w:hideMark/>
          </w:tcPr>
          <w:p w14:paraId="21FF5AEE" w14:textId="77777777" w:rsidR="00CD2E6F" w:rsidRPr="00CD2E6F" w:rsidRDefault="00CD2E6F" w:rsidP="001D7C44">
            <w:pPr>
              <w:jc w:val="center"/>
              <w:rPr>
                <w:rFonts w:ascii="Arial" w:hAnsi="Arial" w:cs="Arial"/>
                <w:b/>
                <w:color w:val="000000"/>
                <w:sz w:val="18"/>
                <w:szCs w:val="18"/>
                <w:lang w:eastAsia="es-MX"/>
              </w:rPr>
            </w:pPr>
            <w:r w:rsidRPr="00CD2E6F">
              <w:rPr>
                <w:rFonts w:ascii="Arial" w:hAnsi="Arial" w:cs="Arial"/>
                <w:b/>
                <w:sz w:val="18"/>
                <w:szCs w:val="18"/>
              </w:rPr>
              <w:t>Programa Presupuestario</w:t>
            </w:r>
          </w:p>
        </w:tc>
        <w:tc>
          <w:tcPr>
            <w:tcW w:w="2056" w:type="dxa"/>
            <w:shd w:val="clear" w:color="000000" w:fill="33CC33"/>
            <w:vAlign w:val="center"/>
            <w:hideMark/>
          </w:tcPr>
          <w:p w14:paraId="5C50182D" w14:textId="77777777" w:rsidR="00CD2E6F" w:rsidRPr="00CD2E6F" w:rsidRDefault="00CD2E6F" w:rsidP="001D7C44">
            <w:pPr>
              <w:jc w:val="center"/>
              <w:rPr>
                <w:rFonts w:ascii="Arial" w:hAnsi="Arial" w:cs="Arial"/>
                <w:b/>
                <w:color w:val="000000"/>
                <w:sz w:val="18"/>
                <w:szCs w:val="18"/>
                <w:lang w:eastAsia="es-MX"/>
              </w:rPr>
            </w:pPr>
            <w:r w:rsidRPr="00CD2E6F">
              <w:rPr>
                <w:rFonts w:ascii="Arial" w:hAnsi="Arial" w:cs="Arial"/>
                <w:b/>
                <w:color w:val="000000"/>
                <w:sz w:val="18"/>
                <w:szCs w:val="18"/>
                <w:lang w:eastAsia="es-MX"/>
              </w:rPr>
              <w:t>VERDE</w:t>
            </w:r>
          </w:p>
        </w:tc>
        <w:tc>
          <w:tcPr>
            <w:tcW w:w="1796" w:type="dxa"/>
            <w:shd w:val="clear" w:color="000000" w:fill="FFFF00"/>
            <w:vAlign w:val="center"/>
            <w:hideMark/>
          </w:tcPr>
          <w:p w14:paraId="07BC6DA3" w14:textId="77777777" w:rsidR="00CD2E6F" w:rsidRPr="00CD2E6F" w:rsidRDefault="00CD2E6F" w:rsidP="001D7C44">
            <w:pPr>
              <w:jc w:val="center"/>
              <w:rPr>
                <w:rFonts w:ascii="Arial" w:hAnsi="Arial" w:cs="Arial"/>
                <w:b/>
                <w:color w:val="000000"/>
                <w:sz w:val="18"/>
                <w:szCs w:val="18"/>
                <w:lang w:eastAsia="es-MX"/>
              </w:rPr>
            </w:pPr>
            <w:r w:rsidRPr="00CD2E6F">
              <w:rPr>
                <w:rFonts w:ascii="Arial" w:hAnsi="Arial" w:cs="Arial"/>
                <w:b/>
                <w:color w:val="000000"/>
                <w:sz w:val="18"/>
                <w:szCs w:val="18"/>
                <w:lang w:eastAsia="es-MX"/>
              </w:rPr>
              <w:t>AMARILLO</w:t>
            </w:r>
          </w:p>
        </w:tc>
        <w:tc>
          <w:tcPr>
            <w:tcW w:w="1298" w:type="dxa"/>
            <w:shd w:val="clear" w:color="000000" w:fill="FF0000"/>
            <w:vAlign w:val="center"/>
            <w:hideMark/>
          </w:tcPr>
          <w:p w14:paraId="62C6C048" w14:textId="77777777" w:rsidR="00CD2E6F" w:rsidRPr="00CD2E6F" w:rsidRDefault="00CD2E6F" w:rsidP="001D7C44">
            <w:pPr>
              <w:jc w:val="center"/>
              <w:rPr>
                <w:rFonts w:ascii="Arial" w:hAnsi="Arial" w:cs="Arial"/>
                <w:b/>
                <w:color w:val="000000"/>
                <w:sz w:val="18"/>
                <w:szCs w:val="18"/>
                <w:lang w:eastAsia="es-MX"/>
              </w:rPr>
            </w:pPr>
            <w:r w:rsidRPr="00CD2E6F">
              <w:rPr>
                <w:rFonts w:ascii="Arial" w:hAnsi="Arial" w:cs="Arial"/>
                <w:b/>
                <w:color w:val="000000"/>
                <w:sz w:val="18"/>
                <w:szCs w:val="18"/>
                <w:lang w:eastAsia="es-MX"/>
              </w:rPr>
              <w:t>ROJO</w:t>
            </w:r>
          </w:p>
        </w:tc>
      </w:tr>
      <w:tr w:rsidR="00CD2E6F" w:rsidRPr="00CD2E6F" w14:paraId="22F09A01" w14:textId="77777777" w:rsidTr="00CD2E6F">
        <w:trPr>
          <w:trHeight w:val="860"/>
        </w:trPr>
        <w:tc>
          <w:tcPr>
            <w:tcW w:w="2645" w:type="dxa"/>
            <w:shd w:val="clear" w:color="auto" w:fill="auto"/>
            <w:vAlign w:val="center"/>
            <w:hideMark/>
          </w:tcPr>
          <w:p w14:paraId="03376C3B" w14:textId="22F0F96C" w:rsidR="00CD2E6F" w:rsidRPr="00CD2E6F" w:rsidRDefault="00CD2E6F" w:rsidP="00CD2E6F">
            <w:pPr>
              <w:jc w:val="both"/>
              <w:rPr>
                <w:rFonts w:ascii="Arial" w:hAnsi="Arial" w:cs="Arial"/>
                <w:color w:val="000000"/>
                <w:sz w:val="18"/>
                <w:szCs w:val="18"/>
                <w:lang w:eastAsia="es-MX"/>
              </w:rPr>
            </w:pPr>
            <w:r>
              <w:rPr>
                <w:rFonts w:ascii="Arial" w:hAnsi="Arial" w:cs="Arial"/>
                <w:color w:val="000000"/>
                <w:sz w:val="18"/>
                <w:szCs w:val="18"/>
                <w:lang w:eastAsia="es-MX"/>
              </w:rPr>
              <w:t xml:space="preserve">E042 </w:t>
            </w:r>
            <w:r w:rsidRPr="00CD2E6F">
              <w:rPr>
                <w:rFonts w:ascii="Arial" w:hAnsi="Arial" w:cs="Arial"/>
                <w:color w:val="000000"/>
                <w:sz w:val="18"/>
                <w:szCs w:val="18"/>
                <w:lang w:eastAsia="es-MX"/>
              </w:rPr>
              <w:t>- Acceso a la información y Protección de Datos Personales en Posesión de Sujetos Obligados</w:t>
            </w:r>
          </w:p>
        </w:tc>
        <w:tc>
          <w:tcPr>
            <w:tcW w:w="2056" w:type="dxa"/>
            <w:shd w:val="clear" w:color="auto" w:fill="auto"/>
            <w:noWrap/>
            <w:vAlign w:val="center"/>
            <w:hideMark/>
          </w:tcPr>
          <w:p w14:paraId="003FB5FB" w14:textId="3408E44C" w:rsidR="00CD2E6F" w:rsidRPr="00CD2E6F" w:rsidRDefault="00CD2E6F" w:rsidP="00CD2E6F">
            <w:pPr>
              <w:jc w:val="center"/>
              <w:rPr>
                <w:rFonts w:ascii="Arial" w:hAnsi="Arial" w:cs="Arial"/>
                <w:color w:val="000000"/>
                <w:sz w:val="18"/>
                <w:szCs w:val="18"/>
                <w:lang w:eastAsia="es-MX"/>
              </w:rPr>
            </w:pPr>
            <w:r w:rsidRPr="002B5A8A">
              <w:rPr>
                <w:rFonts w:ascii="Webdings" w:hAnsi="Webdings" w:cs="Calibri"/>
                <w:color w:val="000000"/>
                <w:szCs w:val="18"/>
                <w:lang w:eastAsia="es-MX"/>
              </w:rPr>
              <w:t></w:t>
            </w:r>
          </w:p>
        </w:tc>
        <w:tc>
          <w:tcPr>
            <w:tcW w:w="1796" w:type="dxa"/>
            <w:shd w:val="clear" w:color="auto" w:fill="auto"/>
            <w:vAlign w:val="center"/>
            <w:hideMark/>
          </w:tcPr>
          <w:p w14:paraId="2735078C" w14:textId="77777777" w:rsidR="00CD2E6F" w:rsidRPr="00CD2E6F" w:rsidRDefault="00CD2E6F" w:rsidP="00CD2E6F">
            <w:pPr>
              <w:jc w:val="center"/>
              <w:rPr>
                <w:rFonts w:ascii="Arial" w:hAnsi="Arial" w:cs="Arial"/>
                <w:color w:val="000000"/>
                <w:sz w:val="18"/>
                <w:szCs w:val="18"/>
                <w:lang w:eastAsia="es-MX"/>
              </w:rPr>
            </w:pPr>
            <w:r w:rsidRPr="00CD2E6F">
              <w:rPr>
                <w:rFonts w:ascii="Arial" w:hAnsi="Arial" w:cs="Arial"/>
                <w:color w:val="000000"/>
                <w:sz w:val="18"/>
                <w:szCs w:val="18"/>
                <w:lang w:eastAsia="es-MX"/>
              </w:rPr>
              <w:t> </w:t>
            </w:r>
          </w:p>
        </w:tc>
        <w:tc>
          <w:tcPr>
            <w:tcW w:w="1298" w:type="dxa"/>
            <w:shd w:val="clear" w:color="auto" w:fill="auto"/>
            <w:vAlign w:val="center"/>
            <w:hideMark/>
          </w:tcPr>
          <w:p w14:paraId="386F5A86" w14:textId="77777777" w:rsidR="00CD2E6F" w:rsidRPr="00CD2E6F" w:rsidRDefault="00CD2E6F" w:rsidP="00CD2E6F">
            <w:pPr>
              <w:jc w:val="center"/>
              <w:rPr>
                <w:rFonts w:ascii="Arial" w:hAnsi="Arial" w:cs="Arial"/>
                <w:color w:val="000000"/>
                <w:sz w:val="18"/>
                <w:szCs w:val="18"/>
                <w:lang w:eastAsia="es-MX"/>
              </w:rPr>
            </w:pPr>
            <w:r w:rsidRPr="00CD2E6F">
              <w:rPr>
                <w:rFonts w:ascii="Arial" w:hAnsi="Arial" w:cs="Arial"/>
                <w:color w:val="000000"/>
                <w:sz w:val="18"/>
                <w:szCs w:val="18"/>
                <w:lang w:eastAsia="es-MX"/>
              </w:rPr>
              <w:t> </w:t>
            </w:r>
          </w:p>
        </w:tc>
      </w:tr>
      <w:tr w:rsidR="00CD2E6F" w:rsidRPr="00CD2E6F" w14:paraId="3419F7A5" w14:textId="77777777" w:rsidTr="00CD2E6F">
        <w:trPr>
          <w:trHeight w:val="589"/>
        </w:trPr>
        <w:tc>
          <w:tcPr>
            <w:tcW w:w="2645" w:type="dxa"/>
            <w:tcBorders>
              <w:bottom w:val="single" w:sz="4" w:space="0" w:color="808080" w:themeColor="background1" w:themeShade="80"/>
            </w:tcBorders>
            <w:shd w:val="clear" w:color="auto" w:fill="auto"/>
            <w:vAlign w:val="center"/>
            <w:hideMark/>
          </w:tcPr>
          <w:p w14:paraId="0350CB3E" w14:textId="77608A71" w:rsidR="00CD2E6F" w:rsidRPr="00CD2E6F" w:rsidRDefault="00CD2E6F" w:rsidP="00CD2E6F">
            <w:pPr>
              <w:jc w:val="both"/>
              <w:rPr>
                <w:rFonts w:ascii="Arial" w:hAnsi="Arial" w:cs="Arial"/>
                <w:color w:val="000000"/>
                <w:sz w:val="18"/>
                <w:szCs w:val="18"/>
                <w:lang w:eastAsia="es-MX"/>
              </w:rPr>
            </w:pPr>
            <w:r w:rsidRPr="00CD2E6F">
              <w:rPr>
                <w:rFonts w:ascii="Arial" w:hAnsi="Arial" w:cs="Arial"/>
                <w:color w:val="000000"/>
                <w:sz w:val="18"/>
                <w:szCs w:val="18"/>
                <w:lang w:eastAsia="es-MX"/>
              </w:rPr>
              <w:t>M001</w:t>
            </w:r>
            <w:r>
              <w:rPr>
                <w:rFonts w:ascii="Arial" w:hAnsi="Arial" w:cs="Arial"/>
                <w:color w:val="000000"/>
                <w:sz w:val="18"/>
                <w:szCs w:val="18"/>
                <w:lang w:eastAsia="es-MX"/>
              </w:rPr>
              <w:t xml:space="preserve"> </w:t>
            </w:r>
            <w:r w:rsidRPr="00CD2E6F">
              <w:rPr>
                <w:rFonts w:ascii="Arial" w:hAnsi="Arial" w:cs="Arial"/>
                <w:color w:val="000000"/>
                <w:sz w:val="18"/>
                <w:szCs w:val="18"/>
                <w:lang w:eastAsia="es-MX"/>
              </w:rPr>
              <w:t>- Gestión y Apoyo Institucional</w:t>
            </w:r>
          </w:p>
        </w:tc>
        <w:tc>
          <w:tcPr>
            <w:tcW w:w="2056" w:type="dxa"/>
            <w:tcBorders>
              <w:bottom w:val="single" w:sz="4" w:space="0" w:color="808080" w:themeColor="background1" w:themeShade="80"/>
            </w:tcBorders>
            <w:shd w:val="clear" w:color="auto" w:fill="auto"/>
            <w:noWrap/>
            <w:vAlign w:val="center"/>
            <w:hideMark/>
          </w:tcPr>
          <w:p w14:paraId="4D91C9D0" w14:textId="0F978500" w:rsidR="00CD2E6F" w:rsidRPr="00CD2E6F" w:rsidRDefault="00CD2E6F" w:rsidP="00CD2E6F">
            <w:pPr>
              <w:jc w:val="center"/>
              <w:rPr>
                <w:rFonts w:ascii="Arial" w:hAnsi="Arial" w:cs="Arial"/>
                <w:color w:val="000000"/>
                <w:sz w:val="18"/>
                <w:szCs w:val="18"/>
                <w:lang w:eastAsia="es-MX"/>
              </w:rPr>
            </w:pPr>
            <w:r w:rsidRPr="002B5A8A">
              <w:rPr>
                <w:rFonts w:ascii="Webdings" w:hAnsi="Webdings" w:cs="Calibri"/>
                <w:color w:val="000000"/>
                <w:szCs w:val="18"/>
                <w:lang w:eastAsia="es-MX"/>
              </w:rPr>
              <w:t></w:t>
            </w:r>
          </w:p>
        </w:tc>
        <w:tc>
          <w:tcPr>
            <w:tcW w:w="1796" w:type="dxa"/>
            <w:tcBorders>
              <w:bottom w:val="single" w:sz="4" w:space="0" w:color="808080" w:themeColor="background1" w:themeShade="80"/>
            </w:tcBorders>
            <w:shd w:val="clear" w:color="auto" w:fill="auto"/>
            <w:vAlign w:val="center"/>
            <w:hideMark/>
          </w:tcPr>
          <w:p w14:paraId="6CF8048F" w14:textId="77777777" w:rsidR="00CD2E6F" w:rsidRPr="00CD2E6F" w:rsidRDefault="00CD2E6F" w:rsidP="00CD2E6F">
            <w:pPr>
              <w:jc w:val="center"/>
              <w:rPr>
                <w:rFonts w:ascii="Arial" w:hAnsi="Arial" w:cs="Arial"/>
                <w:color w:val="000000"/>
                <w:sz w:val="18"/>
                <w:szCs w:val="18"/>
                <w:lang w:eastAsia="es-MX"/>
              </w:rPr>
            </w:pPr>
            <w:r w:rsidRPr="00CD2E6F">
              <w:rPr>
                <w:rFonts w:ascii="Arial" w:hAnsi="Arial" w:cs="Arial"/>
                <w:color w:val="000000"/>
                <w:sz w:val="18"/>
                <w:szCs w:val="18"/>
                <w:lang w:eastAsia="es-MX"/>
              </w:rPr>
              <w:t> </w:t>
            </w:r>
          </w:p>
        </w:tc>
        <w:tc>
          <w:tcPr>
            <w:tcW w:w="1298" w:type="dxa"/>
            <w:tcBorders>
              <w:bottom w:val="single" w:sz="4" w:space="0" w:color="808080" w:themeColor="background1" w:themeShade="80"/>
            </w:tcBorders>
            <w:shd w:val="clear" w:color="auto" w:fill="auto"/>
            <w:noWrap/>
            <w:vAlign w:val="bottom"/>
            <w:hideMark/>
          </w:tcPr>
          <w:p w14:paraId="01D3C42F" w14:textId="77777777" w:rsidR="00CD2E6F" w:rsidRPr="00CD2E6F" w:rsidRDefault="00CD2E6F" w:rsidP="00CD2E6F">
            <w:pPr>
              <w:rPr>
                <w:rFonts w:ascii="Arial" w:hAnsi="Arial" w:cs="Arial"/>
                <w:color w:val="000000"/>
                <w:sz w:val="18"/>
                <w:szCs w:val="18"/>
                <w:lang w:eastAsia="es-MX"/>
              </w:rPr>
            </w:pPr>
          </w:p>
        </w:tc>
      </w:tr>
      <w:tr w:rsidR="00CD2E6F" w:rsidRPr="00CD2E6F" w14:paraId="08C85B08" w14:textId="77777777" w:rsidTr="00CD2E6F">
        <w:trPr>
          <w:trHeight w:val="129"/>
        </w:trPr>
        <w:tc>
          <w:tcPr>
            <w:tcW w:w="7795" w:type="dxa"/>
            <w:gridSpan w:val="4"/>
            <w:tcBorders>
              <w:left w:val="nil"/>
              <w:bottom w:val="nil"/>
              <w:right w:val="nil"/>
            </w:tcBorders>
            <w:shd w:val="clear" w:color="auto" w:fill="auto"/>
            <w:vAlign w:val="center"/>
          </w:tcPr>
          <w:p w14:paraId="485F3D88" w14:textId="5C18E0CD" w:rsidR="00CD2E6F" w:rsidRPr="00CD2E6F" w:rsidRDefault="00CD2E6F" w:rsidP="00CD2E6F">
            <w:pPr>
              <w:jc w:val="both"/>
              <w:rPr>
                <w:rFonts w:ascii="Arial" w:hAnsi="Arial" w:cs="Arial"/>
                <w:color w:val="000000"/>
                <w:sz w:val="18"/>
                <w:szCs w:val="18"/>
                <w:lang w:eastAsia="es-MX"/>
              </w:rPr>
            </w:pPr>
            <w:r w:rsidRPr="002A6F94">
              <w:rPr>
                <w:rFonts w:ascii="Arial" w:hAnsi="Arial" w:cs="Arial"/>
                <w:b/>
                <w:sz w:val="14"/>
                <w:szCs w:val="18"/>
              </w:rPr>
              <w:t>Fuente:</w:t>
            </w:r>
            <w:r>
              <w:rPr>
                <w:rFonts w:ascii="Arial" w:hAnsi="Arial" w:cs="Arial"/>
                <w:sz w:val="14"/>
                <w:szCs w:val="18"/>
              </w:rPr>
              <w:t xml:space="preserve"> Elaborado por la ASEQROO, </w:t>
            </w:r>
            <w:r w:rsidRPr="0087713B">
              <w:rPr>
                <w:rFonts w:ascii="Arial" w:hAnsi="Arial" w:cs="Arial"/>
                <w:sz w:val="14"/>
                <w:szCs w:val="14"/>
              </w:rPr>
              <w:t xml:space="preserve">con base en </w:t>
            </w:r>
            <w:r>
              <w:rPr>
                <w:rFonts w:ascii="Arial" w:hAnsi="Arial" w:cs="Arial"/>
                <w:sz w:val="14"/>
                <w:szCs w:val="14"/>
              </w:rPr>
              <w:t xml:space="preserve">información proporcionada por el IDAIPQROO. </w:t>
            </w:r>
          </w:p>
        </w:tc>
      </w:tr>
    </w:tbl>
    <w:p w14:paraId="0E8FF4C6" w14:textId="5A73C4EA" w:rsidR="00CD2E6F" w:rsidRDefault="00CD2E6F" w:rsidP="00A759A5">
      <w:pPr>
        <w:pStyle w:val="Prrafodelista"/>
        <w:spacing w:line="276" w:lineRule="auto"/>
        <w:ind w:left="0"/>
        <w:jc w:val="both"/>
        <w:rPr>
          <w:rFonts w:ascii="Arial" w:eastAsiaTheme="minorHAnsi" w:hAnsi="Arial" w:cs="Arial"/>
          <w:lang w:eastAsia="en-US"/>
        </w:rPr>
      </w:pPr>
    </w:p>
    <w:p w14:paraId="26562F55" w14:textId="77777777" w:rsidR="00CD2E6F" w:rsidRPr="00E92113" w:rsidRDefault="00CD2E6F" w:rsidP="00A759A5">
      <w:pPr>
        <w:pStyle w:val="Prrafodelista"/>
        <w:spacing w:line="276" w:lineRule="auto"/>
        <w:ind w:left="0"/>
        <w:jc w:val="both"/>
        <w:rPr>
          <w:rFonts w:ascii="Arial" w:eastAsiaTheme="minorHAnsi" w:hAnsi="Arial" w:cs="Arial"/>
          <w:lang w:eastAsia="en-US"/>
        </w:rPr>
      </w:pPr>
    </w:p>
    <w:p w14:paraId="37EE12D1" w14:textId="77777777" w:rsidR="00E92113" w:rsidRPr="00247646" w:rsidRDefault="00E92113" w:rsidP="00E92113">
      <w:pPr>
        <w:autoSpaceDE w:val="0"/>
        <w:autoSpaceDN w:val="0"/>
        <w:adjustRightInd w:val="0"/>
        <w:jc w:val="both"/>
        <w:rPr>
          <w:rFonts w:ascii="Arial" w:hAnsi="Arial"/>
          <w:b/>
          <w:bCs/>
        </w:rPr>
      </w:pPr>
    </w:p>
    <w:p w14:paraId="6AB25333" w14:textId="77777777" w:rsidR="00CD2E6F" w:rsidRDefault="00CD2E6F" w:rsidP="00E92113">
      <w:pPr>
        <w:autoSpaceDE w:val="0"/>
        <w:autoSpaceDN w:val="0"/>
        <w:adjustRightInd w:val="0"/>
        <w:jc w:val="both"/>
        <w:rPr>
          <w:rFonts w:ascii="Arial" w:hAnsi="Arial"/>
          <w:b/>
          <w:bCs/>
        </w:rPr>
      </w:pPr>
    </w:p>
    <w:p w14:paraId="51E581E0" w14:textId="77777777" w:rsidR="00CD2E6F" w:rsidRDefault="00CD2E6F" w:rsidP="00E92113">
      <w:pPr>
        <w:autoSpaceDE w:val="0"/>
        <w:autoSpaceDN w:val="0"/>
        <w:adjustRightInd w:val="0"/>
        <w:jc w:val="both"/>
        <w:rPr>
          <w:rFonts w:ascii="Arial" w:hAnsi="Arial"/>
          <w:b/>
          <w:bCs/>
        </w:rPr>
      </w:pPr>
    </w:p>
    <w:p w14:paraId="30D0705A" w14:textId="77777777" w:rsidR="00CD2E6F" w:rsidRDefault="00CD2E6F" w:rsidP="00E92113">
      <w:pPr>
        <w:autoSpaceDE w:val="0"/>
        <w:autoSpaceDN w:val="0"/>
        <w:adjustRightInd w:val="0"/>
        <w:jc w:val="both"/>
        <w:rPr>
          <w:rFonts w:ascii="Arial" w:hAnsi="Arial"/>
          <w:b/>
          <w:bCs/>
        </w:rPr>
      </w:pPr>
    </w:p>
    <w:p w14:paraId="581C01CF" w14:textId="77777777" w:rsidR="00CD2E6F" w:rsidRDefault="00CD2E6F" w:rsidP="00E92113">
      <w:pPr>
        <w:autoSpaceDE w:val="0"/>
        <w:autoSpaceDN w:val="0"/>
        <w:adjustRightInd w:val="0"/>
        <w:jc w:val="both"/>
        <w:rPr>
          <w:rFonts w:ascii="Arial" w:hAnsi="Arial"/>
          <w:b/>
          <w:bCs/>
        </w:rPr>
      </w:pPr>
    </w:p>
    <w:p w14:paraId="0936208F" w14:textId="77777777" w:rsidR="00CD2E6F" w:rsidRDefault="00CD2E6F" w:rsidP="00E92113">
      <w:pPr>
        <w:autoSpaceDE w:val="0"/>
        <w:autoSpaceDN w:val="0"/>
        <w:adjustRightInd w:val="0"/>
        <w:jc w:val="both"/>
        <w:rPr>
          <w:rFonts w:ascii="Arial" w:hAnsi="Arial"/>
          <w:b/>
          <w:bCs/>
        </w:rPr>
      </w:pPr>
    </w:p>
    <w:p w14:paraId="59606408" w14:textId="5D06C998" w:rsidR="00673781" w:rsidRDefault="00673781" w:rsidP="00E92113">
      <w:pPr>
        <w:autoSpaceDE w:val="0"/>
        <w:autoSpaceDN w:val="0"/>
        <w:adjustRightInd w:val="0"/>
        <w:jc w:val="both"/>
        <w:rPr>
          <w:rFonts w:ascii="Arial" w:hAnsi="Arial"/>
          <w:b/>
          <w:bCs/>
        </w:rPr>
      </w:pPr>
    </w:p>
    <w:p w14:paraId="6870B5B7" w14:textId="77777777" w:rsidR="006E18C9" w:rsidRDefault="006E18C9" w:rsidP="00E92113">
      <w:pPr>
        <w:autoSpaceDE w:val="0"/>
        <w:autoSpaceDN w:val="0"/>
        <w:adjustRightInd w:val="0"/>
        <w:jc w:val="both"/>
        <w:rPr>
          <w:rFonts w:ascii="Arial" w:hAnsi="Arial"/>
          <w:b/>
          <w:bCs/>
        </w:rPr>
      </w:pPr>
    </w:p>
    <w:p w14:paraId="481CFBA5" w14:textId="6275B9A9" w:rsidR="00E92113" w:rsidRDefault="00E92113" w:rsidP="00E92113">
      <w:pPr>
        <w:autoSpaceDE w:val="0"/>
        <w:autoSpaceDN w:val="0"/>
        <w:adjustRightInd w:val="0"/>
        <w:jc w:val="both"/>
        <w:rPr>
          <w:rFonts w:ascii="Arial" w:hAnsi="Arial"/>
          <w:b/>
          <w:bCs/>
        </w:rPr>
      </w:pPr>
      <w:r w:rsidRPr="00247646">
        <w:rPr>
          <w:rFonts w:ascii="Arial" w:hAnsi="Arial"/>
          <w:b/>
          <w:bCs/>
        </w:rPr>
        <w:t>Resultado Número 2, con Observaciones</w:t>
      </w:r>
    </w:p>
    <w:p w14:paraId="5C69604D" w14:textId="77777777" w:rsidR="007821F5" w:rsidRPr="00C5581D" w:rsidRDefault="007821F5" w:rsidP="00E92113">
      <w:pPr>
        <w:spacing w:line="276" w:lineRule="auto"/>
        <w:jc w:val="both"/>
        <w:rPr>
          <w:rFonts w:ascii="Arial" w:hAnsi="Arial" w:cs="Arial"/>
          <w:sz w:val="20"/>
          <w:szCs w:val="20"/>
        </w:rPr>
      </w:pPr>
    </w:p>
    <w:p w14:paraId="333A88D8" w14:textId="77777777" w:rsidR="00B5466C" w:rsidRDefault="00FA2175" w:rsidP="00902189">
      <w:pPr>
        <w:pStyle w:val="Prrafodelista"/>
        <w:numPr>
          <w:ilvl w:val="0"/>
          <w:numId w:val="18"/>
        </w:numPr>
        <w:spacing w:line="276" w:lineRule="auto"/>
        <w:jc w:val="both"/>
        <w:rPr>
          <w:rFonts w:ascii="Arial" w:hAnsi="Arial" w:cs="Arial"/>
        </w:rPr>
      </w:pPr>
      <w:r w:rsidRPr="00FA2175">
        <w:rPr>
          <w:rFonts w:ascii="Arial" w:hAnsi="Arial" w:cs="Arial"/>
        </w:rPr>
        <w:t xml:space="preserve">El equipo auditor identificó la existencia de ampliaciones en el recurso devengado por parte del Instituto de Acceso a la Información y Protección de Datos Personales en la distribución del gasto por programa presupuestario, ya que existe una diferencia entre el presupuesto aprobado y el monto devengado por la misma, </w:t>
      </w:r>
      <w:r w:rsidRPr="00682BBA">
        <w:rPr>
          <w:rFonts w:ascii="Arial" w:hAnsi="Arial" w:cs="Arial"/>
        </w:rPr>
        <w:t>los resultados de dicho análisis se muestran en el siguiente cuadro:</w:t>
      </w:r>
    </w:p>
    <w:p w14:paraId="22806141" w14:textId="4D8BB4FB" w:rsidR="00FA2175" w:rsidRPr="00B5466C" w:rsidRDefault="00902189" w:rsidP="00B5466C">
      <w:pPr>
        <w:spacing w:line="276" w:lineRule="auto"/>
        <w:jc w:val="both"/>
        <w:rPr>
          <w:rFonts w:ascii="Arial" w:hAnsi="Arial" w:cs="Arial"/>
        </w:rPr>
      </w:pPr>
      <w:r w:rsidRPr="00B5466C">
        <w:rPr>
          <w:rFonts w:ascii="Arial" w:hAnsi="Arial" w:cs="Arial"/>
        </w:rPr>
        <w:t xml:space="preserve"> </w:t>
      </w:r>
    </w:p>
    <w:tbl>
      <w:tblPr>
        <w:tblW w:w="0" w:type="auto"/>
        <w:jc w:val="righ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1098"/>
        <w:gridCol w:w="3937"/>
        <w:gridCol w:w="1701"/>
        <w:gridCol w:w="1701"/>
      </w:tblGrid>
      <w:tr w:rsidR="00FA2175" w:rsidRPr="0087713B" w14:paraId="320CCC3E" w14:textId="77777777" w:rsidTr="0080718F">
        <w:trPr>
          <w:trHeight w:val="67"/>
          <w:jc w:val="right"/>
        </w:trPr>
        <w:tc>
          <w:tcPr>
            <w:tcW w:w="8437" w:type="dxa"/>
            <w:gridSpan w:val="4"/>
            <w:shd w:val="clear" w:color="auto" w:fill="D9D9D9" w:themeFill="background1" w:themeFillShade="D9"/>
            <w:vAlign w:val="center"/>
          </w:tcPr>
          <w:p w14:paraId="38EB32E8" w14:textId="1A406BB6" w:rsidR="00FA2175" w:rsidRPr="0087713B" w:rsidRDefault="00FA2175" w:rsidP="001D7C44">
            <w:pPr>
              <w:spacing w:before="60" w:line="276" w:lineRule="auto"/>
              <w:jc w:val="center"/>
              <w:rPr>
                <w:rFonts w:ascii="Arial" w:hAnsi="Arial" w:cs="Arial"/>
                <w:b/>
                <w:sz w:val="18"/>
                <w:szCs w:val="18"/>
              </w:rPr>
            </w:pPr>
            <w:r>
              <w:rPr>
                <w:rFonts w:ascii="Arial" w:hAnsi="Arial" w:cs="Arial"/>
                <w:b/>
                <w:sz w:val="18"/>
                <w:szCs w:val="18"/>
              </w:rPr>
              <w:t>Distr</w:t>
            </w:r>
            <w:r w:rsidRPr="0080718F">
              <w:rPr>
                <w:rFonts w:ascii="Arial" w:hAnsi="Arial" w:cs="Arial"/>
                <w:b/>
                <w:sz w:val="18"/>
                <w:szCs w:val="18"/>
                <w:shd w:val="clear" w:color="auto" w:fill="D9D9D9" w:themeFill="background1" w:themeFillShade="D9"/>
              </w:rPr>
              <w:t>i</w:t>
            </w:r>
            <w:r>
              <w:rPr>
                <w:rFonts w:ascii="Arial" w:hAnsi="Arial" w:cs="Arial"/>
                <w:b/>
                <w:sz w:val="18"/>
                <w:szCs w:val="18"/>
              </w:rPr>
              <w:t>bución de recursos por Programa</w:t>
            </w:r>
            <w:r>
              <w:t xml:space="preserve"> </w:t>
            </w:r>
            <w:r w:rsidRPr="00FA2175">
              <w:rPr>
                <w:rFonts w:ascii="Arial" w:hAnsi="Arial" w:cs="Arial"/>
                <w:b/>
                <w:sz w:val="18"/>
                <w:szCs w:val="18"/>
              </w:rPr>
              <w:t>Presupuestario</w:t>
            </w:r>
          </w:p>
        </w:tc>
      </w:tr>
      <w:tr w:rsidR="00FA2175" w:rsidRPr="0087713B" w14:paraId="08325D90" w14:textId="77777777" w:rsidTr="0080718F">
        <w:trPr>
          <w:trHeight w:val="67"/>
          <w:jc w:val="right"/>
        </w:trPr>
        <w:tc>
          <w:tcPr>
            <w:tcW w:w="1098" w:type="dxa"/>
            <w:shd w:val="clear" w:color="auto" w:fill="F2F2F2" w:themeFill="background1" w:themeFillShade="F2"/>
            <w:vAlign w:val="center"/>
          </w:tcPr>
          <w:p w14:paraId="300437D2" w14:textId="77777777" w:rsidR="00FA2175" w:rsidRPr="0087713B" w:rsidRDefault="00FA2175" w:rsidP="001D7C44">
            <w:pPr>
              <w:spacing w:before="60" w:line="276" w:lineRule="auto"/>
              <w:jc w:val="center"/>
              <w:rPr>
                <w:rFonts w:ascii="Arial" w:hAnsi="Arial" w:cs="Arial"/>
                <w:b/>
                <w:sz w:val="18"/>
                <w:szCs w:val="18"/>
              </w:rPr>
            </w:pPr>
            <w:r w:rsidRPr="0087713B">
              <w:rPr>
                <w:rFonts w:ascii="Arial" w:hAnsi="Arial" w:cs="Arial"/>
                <w:b/>
                <w:sz w:val="18"/>
                <w:szCs w:val="18"/>
              </w:rPr>
              <w:t>Clave</w:t>
            </w:r>
          </w:p>
        </w:tc>
        <w:tc>
          <w:tcPr>
            <w:tcW w:w="3937" w:type="dxa"/>
            <w:shd w:val="clear" w:color="auto" w:fill="F2F2F2" w:themeFill="background1" w:themeFillShade="F2"/>
            <w:vAlign w:val="center"/>
          </w:tcPr>
          <w:p w14:paraId="2CDE5034" w14:textId="77777777" w:rsidR="00FA2175" w:rsidRPr="0087713B" w:rsidRDefault="00FA2175" w:rsidP="001D7C44">
            <w:pPr>
              <w:spacing w:before="60" w:line="276" w:lineRule="auto"/>
              <w:jc w:val="center"/>
              <w:rPr>
                <w:rFonts w:ascii="Arial" w:hAnsi="Arial" w:cs="Arial"/>
                <w:b/>
                <w:sz w:val="18"/>
                <w:szCs w:val="18"/>
              </w:rPr>
            </w:pPr>
            <w:r w:rsidRPr="0087713B">
              <w:rPr>
                <w:rFonts w:ascii="Arial" w:hAnsi="Arial" w:cs="Arial"/>
                <w:b/>
                <w:sz w:val="18"/>
                <w:szCs w:val="18"/>
              </w:rPr>
              <w:t>Programa Presupuestario</w:t>
            </w:r>
          </w:p>
        </w:tc>
        <w:tc>
          <w:tcPr>
            <w:tcW w:w="1701" w:type="dxa"/>
            <w:shd w:val="clear" w:color="auto" w:fill="F2F2F2" w:themeFill="background1" w:themeFillShade="F2"/>
            <w:vAlign w:val="center"/>
          </w:tcPr>
          <w:p w14:paraId="67B7975B" w14:textId="77777777" w:rsidR="00FA2175" w:rsidRPr="0087713B" w:rsidRDefault="00FA2175" w:rsidP="001D7C44">
            <w:pPr>
              <w:spacing w:before="60" w:line="276" w:lineRule="auto"/>
              <w:jc w:val="center"/>
              <w:rPr>
                <w:rFonts w:ascii="Arial" w:hAnsi="Arial" w:cs="Arial"/>
                <w:b/>
                <w:sz w:val="18"/>
                <w:szCs w:val="18"/>
              </w:rPr>
            </w:pPr>
            <w:r>
              <w:rPr>
                <w:rFonts w:ascii="Arial" w:hAnsi="Arial" w:cs="Arial"/>
                <w:b/>
                <w:sz w:val="18"/>
                <w:szCs w:val="18"/>
              </w:rPr>
              <w:t xml:space="preserve"> Aprobado</w:t>
            </w:r>
          </w:p>
        </w:tc>
        <w:tc>
          <w:tcPr>
            <w:tcW w:w="1701" w:type="dxa"/>
            <w:shd w:val="clear" w:color="auto" w:fill="F2F2F2" w:themeFill="background1" w:themeFillShade="F2"/>
          </w:tcPr>
          <w:p w14:paraId="09366E4E" w14:textId="77777777" w:rsidR="00FA2175" w:rsidRPr="0087713B" w:rsidRDefault="00FA2175" w:rsidP="001D7C44">
            <w:pPr>
              <w:spacing w:before="60" w:line="276" w:lineRule="auto"/>
              <w:jc w:val="center"/>
              <w:rPr>
                <w:rFonts w:ascii="Arial" w:hAnsi="Arial" w:cs="Arial"/>
                <w:b/>
                <w:sz w:val="18"/>
                <w:szCs w:val="18"/>
              </w:rPr>
            </w:pPr>
            <w:r w:rsidRPr="0087713B">
              <w:rPr>
                <w:rFonts w:ascii="Arial" w:hAnsi="Arial" w:cs="Arial"/>
                <w:b/>
                <w:sz w:val="18"/>
                <w:szCs w:val="18"/>
              </w:rPr>
              <w:t>Devengado</w:t>
            </w:r>
          </w:p>
        </w:tc>
      </w:tr>
      <w:tr w:rsidR="00FA2175" w:rsidRPr="0087713B" w14:paraId="6D46EBE3" w14:textId="77777777" w:rsidTr="00682BBA">
        <w:trPr>
          <w:trHeight w:val="64"/>
          <w:jc w:val="right"/>
        </w:trPr>
        <w:tc>
          <w:tcPr>
            <w:tcW w:w="1098" w:type="dxa"/>
            <w:shd w:val="clear" w:color="auto" w:fill="auto"/>
            <w:vAlign w:val="center"/>
          </w:tcPr>
          <w:p w14:paraId="0F3C0BC5" w14:textId="77777777" w:rsidR="00FA2175" w:rsidRPr="00C50608" w:rsidRDefault="00FA2175" w:rsidP="001D7C44">
            <w:pPr>
              <w:spacing w:before="60" w:line="276" w:lineRule="auto"/>
              <w:jc w:val="center"/>
              <w:rPr>
                <w:rFonts w:ascii="Arial" w:hAnsi="Arial" w:cs="Arial"/>
                <w:b/>
                <w:sz w:val="18"/>
                <w:szCs w:val="18"/>
              </w:rPr>
            </w:pPr>
            <w:r w:rsidRPr="00C50608">
              <w:rPr>
                <w:rFonts w:ascii="Arial" w:hAnsi="Arial" w:cs="Arial"/>
                <w:b/>
                <w:sz w:val="18"/>
                <w:szCs w:val="18"/>
              </w:rPr>
              <w:t>E042</w:t>
            </w:r>
          </w:p>
        </w:tc>
        <w:tc>
          <w:tcPr>
            <w:tcW w:w="3937" w:type="dxa"/>
            <w:shd w:val="clear" w:color="auto" w:fill="auto"/>
            <w:vAlign w:val="center"/>
          </w:tcPr>
          <w:p w14:paraId="0D9C4FB9" w14:textId="75C261BF" w:rsidR="00FA2175" w:rsidRPr="00C50608" w:rsidRDefault="00FA2175" w:rsidP="00B4107C">
            <w:pPr>
              <w:spacing w:line="276" w:lineRule="auto"/>
              <w:jc w:val="both"/>
              <w:rPr>
                <w:rFonts w:ascii="Arial" w:hAnsi="Arial" w:cs="Arial"/>
                <w:sz w:val="18"/>
                <w:szCs w:val="18"/>
              </w:rPr>
            </w:pPr>
            <w:r w:rsidRPr="00C50608">
              <w:rPr>
                <w:rFonts w:ascii="Arial" w:hAnsi="Arial" w:cs="Arial"/>
                <w:sz w:val="18"/>
                <w:szCs w:val="18"/>
              </w:rPr>
              <w:t>Acceso a la Información y Protección de Datos Personales e</w:t>
            </w:r>
            <w:r w:rsidR="00B4107C">
              <w:rPr>
                <w:rFonts w:ascii="Arial" w:hAnsi="Arial" w:cs="Arial"/>
                <w:sz w:val="18"/>
                <w:szCs w:val="18"/>
              </w:rPr>
              <w:t>n Posesión de Sujetos Obligados</w:t>
            </w:r>
          </w:p>
        </w:tc>
        <w:tc>
          <w:tcPr>
            <w:tcW w:w="1701" w:type="dxa"/>
            <w:shd w:val="clear" w:color="auto" w:fill="auto"/>
            <w:vAlign w:val="center"/>
          </w:tcPr>
          <w:p w14:paraId="40AB26CD" w14:textId="77777777" w:rsidR="00FA2175" w:rsidRPr="00C50608" w:rsidRDefault="00FA2175" w:rsidP="001D7C44">
            <w:pPr>
              <w:spacing w:before="60" w:line="276" w:lineRule="auto"/>
              <w:jc w:val="right"/>
              <w:rPr>
                <w:rFonts w:ascii="Arial" w:hAnsi="Arial" w:cs="Arial"/>
                <w:sz w:val="18"/>
                <w:szCs w:val="18"/>
              </w:rPr>
            </w:pPr>
            <w:r>
              <w:rPr>
                <w:rFonts w:ascii="Arial" w:hAnsi="Arial" w:cs="Arial"/>
                <w:sz w:val="18"/>
                <w:szCs w:val="18"/>
              </w:rPr>
              <w:t>$    26,907,008.00</w:t>
            </w:r>
          </w:p>
        </w:tc>
        <w:tc>
          <w:tcPr>
            <w:tcW w:w="1701" w:type="dxa"/>
            <w:shd w:val="clear" w:color="auto" w:fill="auto"/>
            <w:vAlign w:val="center"/>
          </w:tcPr>
          <w:p w14:paraId="00FC61F7" w14:textId="77777777" w:rsidR="00FA2175" w:rsidRPr="00C50608" w:rsidRDefault="00FA2175" w:rsidP="001D7C44">
            <w:pPr>
              <w:spacing w:before="60" w:line="276" w:lineRule="auto"/>
              <w:jc w:val="right"/>
              <w:rPr>
                <w:rFonts w:ascii="Arial" w:hAnsi="Arial" w:cs="Arial"/>
                <w:sz w:val="18"/>
                <w:szCs w:val="18"/>
              </w:rPr>
            </w:pPr>
            <w:r w:rsidRPr="00C50608">
              <w:rPr>
                <w:rFonts w:ascii="Arial" w:hAnsi="Arial" w:cs="Arial"/>
                <w:sz w:val="18"/>
                <w:szCs w:val="18"/>
              </w:rPr>
              <w:t>$   45,781</w:t>
            </w:r>
            <w:r>
              <w:rPr>
                <w:rFonts w:ascii="Arial" w:hAnsi="Arial" w:cs="Arial"/>
                <w:sz w:val="18"/>
                <w:szCs w:val="18"/>
              </w:rPr>
              <w:t>,000.00</w:t>
            </w:r>
          </w:p>
        </w:tc>
      </w:tr>
      <w:tr w:rsidR="00FA2175" w:rsidRPr="0087713B" w14:paraId="2F4682E3" w14:textId="77777777" w:rsidTr="00682BBA">
        <w:trPr>
          <w:trHeight w:val="64"/>
          <w:jc w:val="right"/>
        </w:trPr>
        <w:tc>
          <w:tcPr>
            <w:tcW w:w="1098" w:type="dxa"/>
            <w:tcBorders>
              <w:bottom w:val="single" w:sz="4" w:space="0" w:color="767171" w:themeColor="background2" w:themeShade="80"/>
            </w:tcBorders>
            <w:shd w:val="clear" w:color="auto" w:fill="auto"/>
            <w:vAlign w:val="center"/>
          </w:tcPr>
          <w:p w14:paraId="54D45548" w14:textId="77777777" w:rsidR="00FA2175" w:rsidRPr="00C50608" w:rsidRDefault="00FA2175" w:rsidP="001D7C44">
            <w:pPr>
              <w:spacing w:before="60" w:line="276" w:lineRule="auto"/>
              <w:jc w:val="center"/>
              <w:rPr>
                <w:rFonts w:ascii="Arial" w:hAnsi="Arial" w:cs="Arial"/>
                <w:b/>
                <w:sz w:val="18"/>
                <w:szCs w:val="18"/>
              </w:rPr>
            </w:pPr>
            <w:r>
              <w:rPr>
                <w:rFonts w:ascii="Arial" w:hAnsi="Arial" w:cs="Arial"/>
                <w:b/>
                <w:sz w:val="18"/>
                <w:szCs w:val="18"/>
              </w:rPr>
              <w:t>M001</w:t>
            </w:r>
          </w:p>
        </w:tc>
        <w:tc>
          <w:tcPr>
            <w:tcW w:w="3937" w:type="dxa"/>
            <w:tcBorders>
              <w:bottom w:val="single" w:sz="4" w:space="0" w:color="767171" w:themeColor="background2" w:themeShade="80"/>
            </w:tcBorders>
            <w:shd w:val="clear" w:color="auto" w:fill="auto"/>
            <w:vAlign w:val="center"/>
          </w:tcPr>
          <w:p w14:paraId="70D88D3C" w14:textId="06EEA651" w:rsidR="00FA2175" w:rsidRPr="00C50608" w:rsidRDefault="00FA2175" w:rsidP="001D7C44">
            <w:pPr>
              <w:spacing w:before="60" w:line="276" w:lineRule="auto"/>
              <w:rPr>
                <w:rFonts w:ascii="Arial" w:hAnsi="Arial" w:cs="Arial"/>
                <w:sz w:val="18"/>
                <w:szCs w:val="18"/>
              </w:rPr>
            </w:pPr>
            <w:r w:rsidRPr="00B705AD">
              <w:rPr>
                <w:rFonts w:ascii="Arial" w:hAnsi="Arial" w:cs="Arial"/>
                <w:sz w:val="14"/>
                <w:szCs w:val="14"/>
              </w:rPr>
              <w:t xml:space="preserve"> </w:t>
            </w:r>
            <w:r w:rsidR="00B4107C">
              <w:rPr>
                <w:rFonts w:ascii="Arial" w:hAnsi="Arial" w:cs="Arial"/>
                <w:sz w:val="18"/>
                <w:szCs w:val="18"/>
              </w:rPr>
              <w:t>Gestión y Apoyo Institucional</w:t>
            </w:r>
          </w:p>
        </w:tc>
        <w:tc>
          <w:tcPr>
            <w:tcW w:w="1701" w:type="dxa"/>
            <w:tcBorders>
              <w:bottom w:val="single" w:sz="4" w:space="0" w:color="767171" w:themeColor="background2" w:themeShade="80"/>
            </w:tcBorders>
            <w:shd w:val="clear" w:color="auto" w:fill="auto"/>
            <w:vAlign w:val="center"/>
          </w:tcPr>
          <w:p w14:paraId="3EAF2E15" w14:textId="77777777" w:rsidR="00FA2175" w:rsidRPr="00C50608" w:rsidRDefault="00FA2175" w:rsidP="001D7C44">
            <w:pPr>
              <w:spacing w:before="60" w:line="276" w:lineRule="auto"/>
              <w:jc w:val="right"/>
              <w:rPr>
                <w:rFonts w:ascii="Arial" w:hAnsi="Arial" w:cs="Arial"/>
                <w:sz w:val="18"/>
                <w:szCs w:val="18"/>
              </w:rPr>
            </w:pPr>
            <w:r>
              <w:rPr>
                <w:rFonts w:ascii="Arial" w:hAnsi="Arial" w:cs="Arial"/>
                <w:sz w:val="18"/>
                <w:szCs w:val="18"/>
              </w:rPr>
              <w:t>$    18,140,553.00</w:t>
            </w:r>
          </w:p>
        </w:tc>
        <w:tc>
          <w:tcPr>
            <w:tcW w:w="1701" w:type="dxa"/>
            <w:tcBorders>
              <w:bottom w:val="single" w:sz="4" w:space="0" w:color="767171" w:themeColor="background2" w:themeShade="80"/>
            </w:tcBorders>
            <w:shd w:val="clear" w:color="auto" w:fill="auto"/>
            <w:vAlign w:val="center"/>
          </w:tcPr>
          <w:p w14:paraId="6187BC0F" w14:textId="77777777" w:rsidR="00FA2175" w:rsidRPr="00C50608" w:rsidRDefault="00FA2175" w:rsidP="001D7C44">
            <w:pPr>
              <w:spacing w:before="60" w:line="276" w:lineRule="auto"/>
              <w:jc w:val="right"/>
              <w:rPr>
                <w:rFonts w:ascii="Arial" w:hAnsi="Arial" w:cs="Arial"/>
                <w:sz w:val="18"/>
                <w:szCs w:val="18"/>
              </w:rPr>
            </w:pPr>
            <w:r>
              <w:rPr>
                <w:rFonts w:ascii="Arial" w:hAnsi="Arial" w:cs="Arial"/>
                <w:sz w:val="18"/>
                <w:szCs w:val="18"/>
              </w:rPr>
              <w:t>0</w:t>
            </w:r>
          </w:p>
        </w:tc>
      </w:tr>
      <w:tr w:rsidR="00FA2175" w:rsidRPr="0087713B" w14:paraId="03FA14DF" w14:textId="77777777" w:rsidTr="0080718F">
        <w:trPr>
          <w:trHeight w:val="303"/>
          <w:jc w:val="right"/>
        </w:trPr>
        <w:tc>
          <w:tcPr>
            <w:tcW w:w="5035" w:type="dxa"/>
            <w:gridSpan w:val="2"/>
            <w:tcBorders>
              <w:bottom w:val="single" w:sz="4" w:space="0" w:color="767171" w:themeColor="background2" w:themeShade="80"/>
            </w:tcBorders>
            <w:shd w:val="clear" w:color="auto" w:fill="F2F2F2" w:themeFill="background1" w:themeFillShade="F2"/>
            <w:vAlign w:val="center"/>
          </w:tcPr>
          <w:p w14:paraId="3F180679" w14:textId="77777777" w:rsidR="00FA2175" w:rsidRPr="0087713B" w:rsidRDefault="00FA2175" w:rsidP="001D7C44">
            <w:pPr>
              <w:spacing w:before="60" w:line="276" w:lineRule="auto"/>
              <w:jc w:val="center"/>
              <w:rPr>
                <w:rFonts w:ascii="Arial" w:hAnsi="Arial" w:cs="Arial"/>
                <w:b/>
                <w:sz w:val="18"/>
                <w:szCs w:val="18"/>
              </w:rPr>
            </w:pPr>
            <w:r w:rsidRPr="0087713B">
              <w:rPr>
                <w:rFonts w:ascii="Arial" w:hAnsi="Arial" w:cs="Arial"/>
                <w:b/>
                <w:sz w:val="18"/>
                <w:szCs w:val="18"/>
              </w:rPr>
              <w:t>Total</w:t>
            </w:r>
          </w:p>
        </w:tc>
        <w:tc>
          <w:tcPr>
            <w:tcW w:w="1701" w:type="dxa"/>
            <w:tcBorders>
              <w:bottom w:val="single" w:sz="4" w:space="0" w:color="767171" w:themeColor="background2" w:themeShade="80"/>
            </w:tcBorders>
            <w:shd w:val="clear" w:color="auto" w:fill="F2F2F2" w:themeFill="background1" w:themeFillShade="F2"/>
            <w:vAlign w:val="center"/>
          </w:tcPr>
          <w:p w14:paraId="17BD18CA" w14:textId="77777777" w:rsidR="00FA2175" w:rsidRPr="0087713B" w:rsidRDefault="00FA2175" w:rsidP="001D7C44">
            <w:pPr>
              <w:spacing w:before="60" w:line="276" w:lineRule="auto"/>
              <w:jc w:val="right"/>
              <w:rPr>
                <w:rFonts w:ascii="Arial" w:hAnsi="Arial" w:cs="Arial"/>
                <w:b/>
                <w:sz w:val="18"/>
                <w:szCs w:val="18"/>
              </w:rPr>
            </w:pPr>
            <w:r>
              <w:rPr>
                <w:rFonts w:ascii="Arial" w:hAnsi="Arial" w:cs="Arial"/>
                <w:b/>
                <w:sz w:val="18"/>
                <w:szCs w:val="18"/>
              </w:rPr>
              <w:t xml:space="preserve">$    45,047,561.00   </w:t>
            </w:r>
          </w:p>
        </w:tc>
        <w:tc>
          <w:tcPr>
            <w:tcW w:w="1701" w:type="dxa"/>
            <w:tcBorders>
              <w:bottom w:val="single" w:sz="4" w:space="0" w:color="767171" w:themeColor="background2" w:themeShade="80"/>
            </w:tcBorders>
            <w:shd w:val="clear" w:color="auto" w:fill="F2F2F2" w:themeFill="background1" w:themeFillShade="F2"/>
          </w:tcPr>
          <w:p w14:paraId="4C6CC623" w14:textId="77777777" w:rsidR="00FA2175" w:rsidRPr="0087713B" w:rsidRDefault="00FA2175" w:rsidP="001D7C44">
            <w:pPr>
              <w:spacing w:before="60" w:line="276" w:lineRule="auto"/>
              <w:jc w:val="right"/>
              <w:rPr>
                <w:rFonts w:ascii="Arial" w:hAnsi="Arial" w:cs="Arial"/>
                <w:b/>
                <w:sz w:val="18"/>
                <w:szCs w:val="18"/>
              </w:rPr>
            </w:pPr>
            <w:r w:rsidRPr="0087713B">
              <w:rPr>
                <w:rFonts w:ascii="Arial" w:hAnsi="Arial" w:cs="Arial"/>
                <w:b/>
                <w:sz w:val="18"/>
                <w:szCs w:val="18"/>
              </w:rPr>
              <w:t>$</w:t>
            </w:r>
            <w:r>
              <w:rPr>
                <w:rFonts w:ascii="Arial" w:hAnsi="Arial" w:cs="Arial"/>
                <w:b/>
                <w:sz w:val="18"/>
                <w:szCs w:val="18"/>
              </w:rPr>
              <w:t xml:space="preserve">   45,781,000.00</w:t>
            </w:r>
          </w:p>
        </w:tc>
      </w:tr>
      <w:tr w:rsidR="002A6F94" w:rsidRPr="0087713B" w14:paraId="36838F0F" w14:textId="77777777" w:rsidTr="0080718F">
        <w:trPr>
          <w:trHeight w:val="303"/>
          <w:jc w:val="right"/>
        </w:trPr>
        <w:tc>
          <w:tcPr>
            <w:tcW w:w="5035" w:type="dxa"/>
            <w:gridSpan w:val="2"/>
            <w:tcBorders>
              <w:bottom w:val="single" w:sz="4" w:space="0" w:color="767171" w:themeColor="background2" w:themeShade="80"/>
            </w:tcBorders>
            <w:shd w:val="clear" w:color="auto" w:fill="F2F2F2" w:themeFill="background1" w:themeFillShade="F2"/>
            <w:vAlign w:val="center"/>
          </w:tcPr>
          <w:p w14:paraId="25A06765" w14:textId="68628C87" w:rsidR="002A6F94" w:rsidRPr="0087713B" w:rsidRDefault="002A6F94" w:rsidP="001D7C44">
            <w:pPr>
              <w:spacing w:before="60" w:line="276" w:lineRule="auto"/>
              <w:jc w:val="center"/>
              <w:rPr>
                <w:rFonts w:ascii="Arial" w:hAnsi="Arial" w:cs="Arial"/>
                <w:b/>
                <w:sz w:val="18"/>
                <w:szCs w:val="18"/>
              </w:rPr>
            </w:pPr>
            <w:r>
              <w:rPr>
                <w:rFonts w:ascii="Arial" w:hAnsi="Arial" w:cs="Arial"/>
                <w:b/>
                <w:sz w:val="18"/>
                <w:szCs w:val="18"/>
              </w:rPr>
              <w:t>Diferencia Presupuestal</w:t>
            </w:r>
          </w:p>
        </w:tc>
        <w:tc>
          <w:tcPr>
            <w:tcW w:w="3402" w:type="dxa"/>
            <w:gridSpan w:val="2"/>
            <w:tcBorders>
              <w:bottom w:val="single" w:sz="4" w:space="0" w:color="767171" w:themeColor="background2" w:themeShade="80"/>
            </w:tcBorders>
            <w:shd w:val="clear" w:color="auto" w:fill="F2F2F2" w:themeFill="background1" w:themeFillShade="F2"/>
            <w:vAlign w:val="center"/>
          </w:tcPr>
          <w:p w14:paraId="668279B2" w14:textId="15BAEB85" w:rsidR="002A6F94" w:rsidRPr="0087713B" w:rsidRDefault="002A6F94" w:rsidP="002A6F94">
            <w:pPr>
              <w:spacing w:before="60" w:line="276" w:lineRule="auto"/>
              <w:jc w:val="center"/>
              <w:rPr>
                <w:rFonts w:ascii="Arial" w:hAnsi="Arial" w:cs="Arial"/>
                <w:b/>
                <w:sz w:val="18"/>
                <w:szCs w:val="18"/>
              </w:rPr>
            </w:pPr>
            <w:r>
              <w:rPr>
                <w:rFonts w:ascii="Arial" w:hAnsi="Arial" w:cs="Arial"/>
                <w:b/>
                <w:sz w:val="18"/>
                <w:szCs w:val="18"/>
              </w:rPr>
              <w:t>$733,439.00</w:t>
            </w:r>
          </w:p>
        </w:tc>
      </w:tr>
      <w:tr w:rsidR="00FA2175" w:rsidRPr="0087713B" w14:paraId="5D15F2C5" w14:textId="77777777" w:rsidTr="00682BBA">
        <w:trPr>
          <w:trHeight w:val="303"/>
          <w:jc w:val="right"/>
        </w:trPr>
        <w:tc>
          <w:tcPr>
            <w:tcW w:w="8437" w:type="dxa"/>
            <w:gridSpan w:val="4"/>
            <w:tcBorders>
              <w:top w:val="single" w:sz="4" w:space="0" w:color="767171" w:themeColor="background2" w:themeShade="80"/>
              <w:left w:val="nil"/>
              <w:bottom w:val="nil"/>
              <w:right w:val="nil"/>
            </w:tcBorders>
            <w:shd w:val="clear" w:color="auto" w:fill="auto"/>
            <w:vAlign w:val="center"/>
          </w:tcPr>
          <w:p w14:paraId="4D3DF612" w14:textId="2AFF9FEC" w:rsidR="00FA2175" w:rsidRPr="00B4107C" w:rsidRDefault="00B4107C" w:rsidP="00CD2E6F">
            <w:pPr>
              <w:spacing w:line="276" w:lineRule="auto"/>
              <w:jc w:val="both"/>
              <w:rPr>
                <w:rFonts w:ascii="Arial" w:hAnsi="Arial" w:cs="Arial"/>
                <w:sz w:val="18"/>
                <w:szCs w:val="18"/>
              </w:rPr>
            </w:pPr>
            <w:r w:rsidRPr="002A6F94">
              <w:rPr>
                <w:rFonts w:ascii="Arial" w:hAnsi="Arial" w:cs="Arial"/>
                <w:b/>
                <w:sz w:val="14"/>
                <w:szCs w:val="18"/>
              </w:rPr>
              <w:t>Fuente:</w:t>
            </w:r>
            <w:r w:rsidRPr="002A6F94">
              <w:rPr>
                <w:rFonts w:ascii="Arial" w:hAnsi="Arial" w:cs="Arial"/>
                <w:sz w:val="14"/>
                <w:szCs w:val="18"/>
              </w:rPr>
              <w:t xml:space="preserve"> Elaborado por la ASEQROO de acuerdo con los datos del Tomo V de la cuenta pública 2019, publicada por SEFIPLAN.</w:t>
            </w:r>
          </w:p>
        </w:tc>
      </w:tr>
    </w:tbl>
    <w:p w14:paraId="58273CCD" w14:textId="26AFA797" w:rsidR="00D93689" w:rsidRDefault="00D93689" w:rsidP="00D93689">
      <w:pPr>
        <w:spacing w:line="276" w:lineRule="auto"/>
        <w:jc w:val="both"/>
        <w:rPr>
          <w:rFonts w:ascii="Arial" w:hAnsi="Arial" w:cs="Arial"/>
        </w:rPr>
      </w:pPr>
    </w:p>
    <w:p w14:paraId="4DD3B104" w14:textId="243D1478" w:rsidR="00A72571" w:rsidRDefault="00A72571" w:rsidP="00E92113">
      <w:pPr>
        <w:numPr>
          <w:ilvl w:val="0"/>
          <w:numId w:val="18"/>
        </w:numPr>
        <w:spacing w:line="276" w:lineRule="auto"/>
        <w:ind w:left="0" w:firstLine="0"/>
        <w:jc w:val="both"/>
        <w:rPr>
          <w:rFonts w:ascii="Arial" w:hAnsi="Arial" w:cs="Arial"/>
        </w:rPr>
      </w:pPr>
      <w:r w:rsidRPr="00386535">
        <w:rPr>
          <w:rFonts w:ascii="Arial" w:hAnsi="Arial" w:cs="Arial"/>
        </w:rPr>
        <w:t>Del análisis a las Matrices de Indicadores para Resultados se pudo comprobar lo siguiente:</w:t>
      </w:r>
    </w:p>
    <w:p w14:paraId="7D5C0A58" w14:textId="05E6D9D6" w:rsidR="00A72571" w:rsidRDefault="00A72571" w:rsidP="00E92113">
      <w:pPr>
        <w:spacing w:line="276" w:lineRule="auto"/>
        <w:jc w:val="both"/>
        <w:rPr>
          <w:rFonts w:ascii="Arial" w:hAnsi="Arial" w:cs="Arial"/>
        </w:rPr>
      </w:pPr>
    </w:p>
    <w:p w14:paraId="043F91C1" w14:textId="77777777" w:rsidR="00D82819" w:rsidRDefault="00D82819" w:rsidP="00E92113">
      <w:pPr>
        <w:spacing w:line="276" w:lineRule="auto"/>
        <w:jc w:val="both"/>
        <w:rPr>
          <w:rFonts w:ascii="Arial" w:hAnsi="Arial" w:cs="Arial"/>
        </w:rPr>
      </w:pPr>
    </w:p>
    <w:p w14:paraId="4D3AC47D" w14:textId="6DC0EC64" w:rsidR="00A72571" w:rsidRPr="006E18C9" w:rsidRDefault="00A72571" w:rsidP="00B5466C">
      <w:pPr>
        <w:pStyle w:val="Prrafodelista"/>
        <w:numPr>
          <w:ilvl w:val="0"/>
          <w:numId w:val="25"/>
        </w:numPr>
        <w:spacing w:line="276" w:lineRule="auto"/>
        <w:ind w:left="709" w:firstLine="0"/>
        <w:jc w:val="both"/>
        <w:rPr>
          <w:rFonts w:ascii="Arial" w:hAnsi="Arial" w:cs="Arial"/>
        </w:rPr>
      </w:pPr>
      <w:r w:rsidRPr="00F54B10">
        <w:rPr>
          <w:rFonts w:ascii="Arial" w:hAnsi="Arial" w:cs="Arial"/>
          <w:b/>
        </w:rPr>
        <w:lastRenderedPageBreak/>
        <w:t>Respecto a la Lógica Vertical</w:t>
      </w:r>
    </w:p>
    <w:p w14:paraId="1D39B16A" w14:textId="77777777" w:rsidR="006E18C9" w:rsidRPr="00F54B10" w:rsidRDefault="006E18C9" w:rsidP="006E18C9">
      <w:pPr>
        <w:pStyle w:val="Prrafodelista"/>
        <w:spacing w:line="276" w:lineRule="auto"/>
        <w:ind w:left="709"/>
        <w:jc w:val="both"/>
        <w:rPr>
          <w:rFonts w:ascii="Arial" w:hAnsi="Arial" w:cs="Arial"/>
        </w:rPr>
      </w:pPr>
    </w:p>
    <w:p w14:paraId="6290C7AD" w14:textId="77777777" w:rsidR="00A72571" w:rsidRPr="00386535" w:rsidRDefault="00A72571" w:rsidP="00F54B10">
      <w:pPr>
        <w:spacing w:line="276" w:lineRule="auto"/>
        <w:ind w:left="709"/>
        <w:jc w:val="both"/>
        <w:rPr>
          <w:rFonts w:ascii="Arial" w:hAnsi="Arial" w:cs="Arial"/>
        </w:rPr>
      </w:pPr>
      <w:r w:rsidRPr="00386535">
        <w:rPr>
          <w:rFonts w:ascii="Arial" w:hAnsi="Arial" w:cs="Arial"/>
        </w:rPr>
        <w:t>En general, se encontró coherencia en un 80%, ya que los objetivos de las actividades contribuyen a los de los componentes, los objetivos de los componentes contribuyen al propósito, y los objetivos de los propósitos contribuyen a los Fines; el 20% de los objetivos no se encuentran claros, lo anterior, derivado de que en la mayoría de los casos existen componentes que se encuentran mal plante</w:t>
      </w:r>
      <w:r>
        <w:rPr>
          <w:rFonts w:ascii="Arial" w:hAnsi="Arial" w:cs="Arial"/>
        </w:rPr>
        <w:t>a</w:t>
      </w:r>
      <w:r w:rsidRPr="00386535">
        <w:rPr>
          <w:rFonts w:ascii="Arial" w:hAnsi="Arial" w:cs="Arial"/>
        </w:rPr>
        <w:t xml:space="preserve">dos y no contribuyen al logro de los objetivos del propósito. </w:t>
      </w:r>
    </w:p>
    <w:p w14:paraId="07946203" w14:textId="4A5B129A" w:rsidR="00B27374" w:rsidRDefault="00B27374" w:rsidP="00E92113">
      <w:pPr>
        <w:pStyle w:val="Prrafodelista"/>
        <w:autoSpaceDE w:val="0"/>
        <w:autoSpaceDN w:val="0"/>
        <w:adjustRightInd w:val="0"/>
        <w:spacing w:line="276" w:lineRule="auto"/>
        <w:ind w:left="0"/>
        <w:jc w:val="both"/>
        <w:rPr>
          <w:rFonts w:ascii="Arial" w:hAnsi="Arial" w:cs="Arial"/>
          <w:color w:val="000000"/>
          <w:highlight w:val="yellow"/>
        </w:rPr>
      </w:pPr>
    </w:p>
    <w:p w14:paraId="6A556408" w14:textId="6E74F661" w:rsidR="00A72571" w:rsidRPr="00386535" w:rsidRDefault="00247646" w:rsidP="00F54B10">
      <w:pPr>
        <w:spacing w:line="276" w:lineRule="auto"/>
        <w:ind w:left="709"/>
        <w:jc w:val="both"/>
        <w:rPr>
          <w:rFonts w:ascii="Arial" w:hAnsi="Arial" w:cs="Arial"/>
        </w:rPr>
      </w:pPr>
      <w:r>
        <w:rPr>
          <w:rFonts w:ascii="Arial" w:hAnsi="Arial" w:cs="Arial"/>
        </w:rPr>
        <w:t>S</w:t>
      </w:r>
      <w:r w:rsidR="00A72571" w:rsidRPr="00386535">
        <w:rPr>
          <w:rFonts w:ascii="Arial" w:hAnsi="Arial" w:cs="Arial"/>
        </w:rPr>
        <w:t xml:space="preserve">e observó </w:t>
      </w:r>
      <w:r w:rsidR="00E92113" w:rsidRPr="00386535">
        <w:rPr>
          <w:rFonts w:ascii="Arial" w:hAnsi="Arial" w:cs="Arial"/>
        </w:rPr>
        <w:t>que,</w:t>
      </w:r>
      <w:r w:rsidR="00A72571" w:rsidRPr="00386535">
        <w:rPr>
          <w:rFonts w:ascii="Arial" w:hAnsi="Arial" w:cs="Arial"/>
        </w:rPr>
        <w:t xml:space="preserve"> </w:t>
      </w:r>
      <w:r w:rsidR="00A72571" w:rsidRPr="00386535">
        <w:rPr>
          <w:rFonts w:ascii="Arial" w:hAnsi="Arial" w:cs="Arial"/>
          <w:lang w:val="es-ES"/>
        </w:rPr>
        <w:t xml:space="preserve">en el </w:t>
      </w:r>
      <w:r w:rsidR="00A72571" w:rsidRPr="008C30F9">
        <w:rPr>
          <w:rFonts w:ascii="Arial" w:hAnsi="Arial" w:cs="Arial"/>
          <w:b/>
          <w:bCs/>
          <w:lang w:val="es-ES"/>
        </w:rPr>
        <w:t>Resumen Narrativo</w:t>
      </w:r>
      <w:r w:rsidR="00A72571" w:rsidRPr="00386535">
        <w:rPr>
          <w:rFonts w:ascii="Arial" w:hAnsi="Arial" w:cs="Arial"/>
          <w:lang w:val="es-ES"/>
        </w:rPr>
        <w:t xml:space="preserve">, </w:t>
      </w:r>
      <w:r w:rsidR="00A72571" w:rsidRPr="00386535">
        <w:rPr>
          <w:rFonts w:ascii="Arial" w:hAnsi="Arial" w:cs="Arial"/>
        </w:rPr>
        <w:t>el 81.43% de los objetivos cumplieron con la sintaxis recomendada para cada nivel (Fines, propósitos, componentes y actividades). Si bien lo antes señalado indica un porcentaje alto de cumplimiento, se hace la mención de que las inconsistencias se debieron a que un 18.57% de los objetivos no cumplen con la sintaxis recomendada en los siguientes aspectos:</w:t>
      </w:r>
    </w:p>
    <w:p w14:paraId="0B1EA332" w14:textId="77777777" w:rsidR="00F746EC" w:rsidRDefault="00F746EC" w:rsidP="00F54B10">
      <w:pPr>
        <w:spacing w:line="276" w:lineRule="auto"/>
        <w:ind w:left="709"/>
        <w:jc w:val="both"/>
        <w:rPr>
          <w:rFonts w:ascii="Arial" w:hAnsi="Arial" w:cs="Arial"/>
          <w:b/>
        </w:rPr>
      </w:pPr>
    </w:p>
    <w:p w14:paraId="113ACA48" w14:textId="27F5D5B7" w:rsidR="00A72571" w:rsidRDefault="00A72571" w:rsidP="00F54B10">
      <w:pPr>
        <w:spacing w:line="276" w:lineRule="auto"/>
        <w:ind w:left="709"/>
        <w:jc w:val="both"/>
        <w:rPr>
          <w:rFonts w:ascii="Arial" w:hAnsi="Arial" w:cs="Arial"/>
        </w:rPr>
      </w:pPr>
      <w:r w:rsidRPr="008C30F9">
        <w:rPr>
          <w:rFonts w:ascii="Arial" w:hAnsi="Arial" w:cs="Arial"/>
          <w:b/>
        </w:rPr>
        <w:t xml:space="preserve">A nivel Propósito </w:t>
      </w:r>
      <w:r w:rsidRPr="00386535">
        <w:rPr>
          <w:rFonts w:ascii="Arial" w:hAnsi="Arial" w:cs="Arial"/>
        </w:rPr>
        <w:t>el objetivo del programa E042 contribuye al logro establecido en su programa institucional, y es consecuencia directa para el componente, sin embargo, no define el sujeto beneficiario y el resultado logrado.</w:t>
      </w:r>
    </w:p>
    <w:p w14:paraId="176EEDB9" w14:textId="3A2D7FF0" w:rsidR="00A72571" w:rsidRDefault="00A72571" w:rsidP="00F54B10">
      <w:pPr>
        <w:spacing w:line="276" w:lineRule="auto"/>
        <w:ind w:left="709"/>
        <w:jc w:val="both"/>
        <w:rPr>
          <w:rFonts w:ascii="Arial Narrow" w:hAnsi="Arial Narrow"/>
        </w:rPr>
      </w:pPr>
      <w:r w:rsidRPr="008C30F9">
        <w:rPr>
          <w:rFonts w:ascii="Arial" w:hAnsi="Arial" w:cs="Arial"/>
          <w:b/>
        </w:rPr>
        <w:t>A nivel Componente</w:t>
      </w:r>
      <w:r w:rsidRPr="00386535">
        <w:rPr>
          <w:rFonts w:ascii="Arial" w:hAnsi="Arial" w:cs="Arial"/>
          <w:b/>
        </w:rPr>
        <w:t xml:space="preserve"> </w:t>
      </w:r>
      <w:r w:rsidRPr="00386535">
        <w:rPr>
          <w:rFonts w:ascii="Arial" w:hAnsi="Arial" w:cs="Arial"/>
        </w:rPr>
        <w:t>no cuentan con claridad en los objetivos, debido a que no fue posible determinar de qué manera contribuyen al logro de sus respectivos propósitos y no utilizan el verbo en pasado participio.</w:t>
      </w:r>
      <w:r w:rsidRPr="00386535">
        <w:rPr>
          <w:rFonts w:ascii="Arial" w:hAnsi="Arial" w:cs="Arial"/>
          <w:b/>
        </w:rPr>
        <w:t xml:space="preserve"> </w:t>
      </w:r>
      <w:r w:rsidRPr="00386535">
        <w:rPr>
          <w:rFonts w:ascii="Arial" w:hAnsi="Arial" w:cs="Arial"/>
        </w:rPr>
        <w:t xml:space="preserve"> </w:t>
      </w:r>
      <w:r w:rsidRPr="00386535">
        <w:rPr>
          <w:rFonts w:ascii="Arial Narrow" w:hAnsi="Arial Narrow"/>
        </w:rPr>
        <w:t xml:space="preserve"> </w:t>
      </w:r>
    </w:p>
    <w:p w14:paraId="7E91F9CB" w14:textId="77777777" w:rsidR="00F746EC" w:rsidRPr="00386535" w:rsidRDefault="00F746EC" w:rsidP="00F54B10">
      <w:pPr>
        <w:spacing w:line="276" w:lineRule="auto"/>
        <w:ind w:left="709"/>
        <w:jc w:val="both"/>
        <w:rPr>
          <w:rFonts w:ascii="Arial" w:hAnsi="Arial" w:cs="Arial"/>
        </w:rPr>
      </w:pPr>
    </w:p>
    <w:p w14:paraId="15A28337" w14:textId="622E191E" w:rsidR="00A72571" w:rsidRDefault="00A72571" w:rsidP="00F54B10">
      <w:pPr>
        <w:spacing w:line="276" w:lineRule="auto"/>
        <w:ind w:left="709"/>
        <w:jc w:val="both"/>
        <w:rPr>
          <w:rFonts w:ascii="Arial" w:hAnsi="Arial" w:cs="Arial"/>
        </w:rPr>
      </w:pPr>
      <w:r w:rsidRPr="008C30F9">
        <w:rPr>
          <w:rFonts w:ascii="Arial" w:hAnsi="Arial" w:cs="Arial"/>
          <w:b/>
        </w:rPr>
        <w:t>A nivel Actividad</w:t>
      </w:r>
      <w:r w:rsidRPr="00386535">
        <w:rPr>
          <w:rFonts w:ascii="Arial" w:hAnsi="Arial" w:cs="Arial"/>
          <w:b/>
        </w:rPr>
        <w:t xml:space="preserve"> </w:t>
      </w:r>
      <w:r w:rsidR="00555F0F">
        <w:rPr>
          <w:rFonts w:ascii="Arial" w:hAnsi="Arial" w:cs="Arial"/>
        </w:rPr>
        <w:t>los programas E042 (C2A4) y M</w:t>
      </w:r>
      <w:r w:rsidRPr="00386535">
        <w:rPr>
          <w:rFonts w:ascii="Arial" w:hAnsi="Arial" w:cs="Arial"/>
        </w:rPr>
        <w:t xml:space="preserve">001 (C1A19) no cumplen con la sintaxis </w:t>
      </w:r>
      <w:r w:rsidR="00D97920">
        <w:rPr>
          <w:rFonts w:ascii="Arial" w:hAnsi="Arial" w:cs="Arial"/>
        </w:rPr>
        <w:t xml:space="preserve">recomendada </w:t>
      </w:r>
      <w:r w:rsidRPr="00386535">
        <w:rPr>
          <w:rFonts w:ascii="Arial" w:hAnsi="Arial" w:cs="Arial"/>
        </w:rPr>
        <w:t xml:space="preserve">debido a que no presentan una acción </w:t>
      </w:r>
      <w:r w:rsidR="00D97920">
        <w:rPr>
          <w:rFonts w:ascii="Arial" w:hAnsi="Arial" w:cs="Arial"/>
        </w:rPr>
        <w:t>(</w:t>
      </w:r>
      <w:r w:rsidRPr="00386535">
        <w:rPr>
          <w:rFonts w:ascii="Arial" w:hAnsi="Arial" w:cs="Arial"/>
        </w:rPr>
        <w:t>sustantivo derivado de un verbo + complemento</w:t>
      </w:r>
      <w:r w:rsidR="00D97920">
        <w:rPr>
          <w:rFonts w:ascii="Arial" w:hAnsi="Arial" w:cs="Arial"/>
        </w:rPr>
        <w:t>)</w:t>
      </w:r>
      <w:r w:rsidRPr="00386535">
        <w:rPr>
          <w:rFonts w:ascii="Arial" w:hAnsi="Arial" w:cs="Arial"/>
        </w:rPr>
        <w:t xml:space="preserve">. Asimismo, fue posible notar que las actividades fueron desagregadas de manera muy específica, no siendo esto recomendable, debido a que la Metodología del Marco Lógico señala a la Matriz de Indicadores para Resultados, </w:t>
      </w:r>
      <w:r w:rsidR="00247646">
        <w:rPr>
          <w:rFonts w:ascii="Arial" w:hAnsi="Arial" w:cs="Arial"/>
        </w:rPr>
        <w:t xml:space="preserve">es </w:t>
      </w:r>
      <w:r w:rsidRPr="00386535">
        <w:rPr>
          <w:rFonts w:ascii="Arial" w:hAnsi="Arial" w:cs="Arial"/>
        </w:rPr>
        <w:t xml:space="preserve">un resumen del proyecto. </w:t>
      </w:r>
    </w:p>
    <w:p w14:paraId="0C05B8CF" w14:textId="77777777" w:rsidR="00A72571" w:rsidRDefault="00A72571" w:rsidP="00F54B10">
      <w:pPr>
        <w:spacing w:line="276" w:lineRule="auto"/>
        <w:ind w:left="709"/>
        <w:jc w:val="both"/>
        <w:rPr>
          <w:rFonts w:ascii="Arial" w:hAnsi="Arial" w:cs="Arial"/>
          <w:bCs/>
          <w:lang w:eastAsia="en-US"/>
        </w:rPr>
      </w:pPr>
    </w:p>
    <w:p w14:paraId="7909B320" w14:textId="275BE8FB" w:rsidR="00A72571" w:rsidRDefault="00A72571" w:rsidP="00F54B10">
      <w:pPr>
        <w:spacing w:line="276" w:lineRule="auto"/>
        <w:ind w:left="709"/>
        <w:jc w:val="both"/>
        <w:rPr>
          <w:rFonts w:ascii="Arial" w:hAnsi="Arial" w:cs="Arial"/>
          <w:bCs/>
          <w:lang w:eastAsia="en-US"/>
        </w:rPr>
      </w:pPr>
      <w:r w:rsidRPr="0019487F">
        <w:rPr>
          <w:rFonts w:ascii="Arial" w:hAnsi="Arial" w:cs="Arial"/>
          <w:bCs/>
          <w:lang w:eastAsia="en-US"/>
        </w:rPr>
        <w:lastRenderedPageBreak/>
        <w:t>Se identificó que en el Componente C01 del Programa M001- Gestión y Apoyo Institucional consta de 29 actividades, sin embargo, de acuerdo con las Guías para el diseño y elaboración de Matriz de Indicadores para Resultados, es recomendable no definir demasiadas Actividades por Componente, sino, considerar solamente aquellas necesarias, suficientes y más relevantes para el logro de cada Componente.</w:t>
      </w:r>
    </w:p>
    <w:p w14:paraId="22E577C9" w14:textId="6BC764B7" w:rsidR="0007621A" w:rsidRDefault="0007621A" w:rsidP="00F54B10">
      <w:pPr>
        <w:pStyle w:val="Prrafodelista"/>
        <w:autoSpaceDE w:val="0"/>
        <w:autoSpaceDN w:val="0"/>
        <w:adjustRightInd w:val="0"/>
        <w:spacing w:line="276" w:lineRule="auto"/>
        <w:ind w:left="709"/>
        <w:jc w:val="both"/>
        <w:rPr>
          <w:rFonts w:ascii="Arial" w:hAnsi="Arial" w:cs="Arial"/>
          <w:color w:val="000000"/>
          <w:highlight w:val="yellow"/>
        </w:rPr>
      </w:pPr>
    </w:p>
    <w:p w14:paraId="62BED88D" w14:textId="7309F11B" w:rsidR="000C3826" w:rsidRDefault="000C3826" w:rsidP="00B5466C">
      <w:pPr>
        <w:pStyle w:val="Prrafodelista"/>
        <w:numPr>
          <w:ilvl w:val="0"/>
          <w:numId w:val="25"/>
        </w:numPr>
        <w:spacing w:line="276" w:lineRule="auto"/>
        <w:ind w:left="709" w:firstLine="0"/>
        <w:jc w:val="both"/>
        <w:rPr>
          <w:rFonts w:ascii="Arial" w:hAnsi="Arial" w:cs="Arial"/>
          <w:b/>
        </w:rPr>
      </w:pPr>
      <w:r w:rsidRPr="008C30F9">
        <w:rPr>
          <w:rFonts w:ascii="Arial" w:hAnsi="Arial" w:cs="Arial"/>
          <w:b/>
        </w:rPr>
        <w:t>Respecto a la Lógica Horizontal</w:t>
      </w:r>
    </w:p>
    <w:p w14:paraId="5F7384F7" w14:textId="77777777" w:rsidR="006E18C9" w:rsidRPr="008C30F9" w:rsidRDefault="006E18C9" w:rsidP="006E18C9">
      <w:pPr>
        <w:pStyle w:val="Prrafodelista"/>
        <w:spacing w:line="276" w:lineRule="auto"/>
        <w:ind w:left="709"/>
        <w:jc w:val="both"/>
        <w:rPr>
          <w:rFonts w:ascii="Arial" w:hAnsi="Arial" w:cs="Arial"/>
          <w:b/>
        </w:rPr>
      </w:pPr>
    </w:p>
    <w:p w14:paraId="46CA683B" w14:textId="53E9F28D" w:rsidR="00F22322" w:rsidRDefault="000C3826" w:rsidP="00F54B10">
      <w:pPr>
        <w:spacing w:line="276" w:lineRule="auto"/>
        <w:ind w:left="709"/>
        <w:jc w:val="both"/>
        <w:rPr>
          <w:rFonts w:ascii="Arial" w:hAnsi="Arial" w:cs="Arial"/>
        </w:rPr>
      </w:pPr>
      <w:r w:rsidRPr="00382789">
        <w:rPr>
          <w:rFonts w:ascii="Arial" w:hAnsi="Arial" w:cs="Arial"/>
        </w:rPr>
        <w:t>En términos generales, se puede informar que los programas cuentan con la estructura necesaria establecida en la Metodología del Marco Lógico, sin embargo, no están bien diseñados debido a que los elementos que los integran no permiten dar un seguimiento lógico a los resultados obtenidos de la</w:t>
      </w:r>
      <w:r w:rsidRPr="00CE0F80">
        <w:rPr>
          <w:rFonts w:ascii="Arial" w:hAnsi="Arial" w:cs="Arial"/>
          <w:sz w:val="20"/>
          <w:szCs w:val="20"/>
        </w:rPr>
        <w:t xml:space="preserve"> </w:t>
      </w:r>
      <w:r w:rsidRPr="00CE0F80">
        <w:rPr>
          <w:rFonts w:ascii="Arial" w:hAnsi="Arial" w:cs="Arial"/>
        </w:rPr>
        <w:t>implementación de los programas. Específicamente se mencionan a continuación las observaciones detectadas en cada</w:t>
      </w:r>
      <w:r w:rsidR="00F22322" w:rsidRPr="00F22322">
        <w:rPr>
          <w:rFonts w:ascii="Arial" w:hAnsi="Arial" w:cs="Arial"/>
        </w:rPr>
        <w:t xml:space="preserve"> </w:t>
      </w:r>
      <w:r w:rsidR="00F22322" w:rsidRPr="00CE0F80">
        <w:rPr>
          <w:rFonts w:ascii="Arial" w:hAnsi="Arial" w:cs="Arial"/>
        </w:rPr>
        <w:t>elemento analizado de izquierda a derecha de la MIR para la congruencia de la lógica horizontal:</w:t>
      </w:r>
    </w:p>
    <w:p w14:paraId="510AF518" w14:textId="77777777" w:rsidR="00F746EC" w:rsidRPr="00CE0F80" w:rsidRDefault="00F746EC" w:rsidP="00F54B10">
      <w:pPr>
        <w:spacing w:line="276" w:lineRule="auto"/>
        <w:ind w:left="709"/>
        <w:jc w:val="both"/>
        <w:rPr>
          <w:rFonts w:ascii="Arial" w:hAnsi="Arial" w:cs="Arial"/>
        </w:rPr>
      </w:pPr>
    </w:p>
    <w:p w14:paraId="5704AC52" w14:textId="77777777" w:rsidR="00F22322" w:rsidRPr="00CE0F80" w:rsidRDefault="00F22322" w:rsidP="00F54B10">
      <w:pPr>
        <w:spacing w:line="276" w:lineRule="auto"/>
        <w:ind w:left="709"/>
        <w:jc w:val="both"/>
        <w:rPr>
          <w:rFonts w:ascii="Arial" w:hAnsi="Arial" w:cs="Arial"/>
        </w:rPr>
      </w:pPr>
      <w:r w:rsidRPr="00CE0F80">
        <w:rPr>
          <w:rFonts w:ascii="Arial" w:hAnsi="Arial" w:cs="Arial"/>
          <w:b/>
        </w:rPr>
        <w:t>Supuestos:</w:t>
      </w:r>
      <w:r w:rsidRPr="00CE0F80">
        <w:rPr>
          <w:rFonts w:ascii="Arial" w:hAnsi="Arial" w:cs="Arial"/>
        </w:rPr>
        <w:t xml:space="preserve"> Se identificaron supuestos para cada nivel de la Matriz de indicadores, los cuales el 100% cumplen con la condición de ser factores externos no controlados por el Instituto, sin embargo, no</w:t>
      </w:r>
      <w:r>
        <w:rPr>
          <w:rFonts w:ascii="Arial" w:hAnsi="Arial" w:cs="Arial"/>
        </w:rPr>
        <w:t xml:space="preserve"> están planteados en un estado </w:t>
      </w:r>
      <w:r w:rsidRPr="00CE0F80">
        <w:rPr>
          <w:rFonts w:ascii="Arial" w:hAnsi="Arial" w:cs="Arial"/>
        </w:rPr>
        <w:t>positivo alcanzado, debido a que se encuentran redactados como riesgo anteponiendo la palabra “QUE”, aunado a que no se encuentran en presente indicativo.</w:t>
      </w:r>
    </w:p>
    <w:p w14:paraId="6953A146" w14:textId="77777777" w:rsidR="00F22322" w:rsidRPr="00CE0F80" w:rsidRDefault="00F22322" w:rsidP="00F54B10">
      <w:pPr>
        <w:spacing w:line="276" w:lineRule="auto"/>
        <w:ind w:left="709"/>
        <w:jc w:val="both"/>
        <w:rPr>
          <w:rFonts w:ascii="Arial" w:hAnsi="Arial" w:cs="Arial"/>
          <w:b/>
        </w:rPr>
      </w:pPr>
    </w:p>
    <w:p w14:paraId="485EF251" w14:textId="77777777" w:rsidR="00F22322" w:rsidRPr="00CE0F80" w:rsidRDefault="00F22322" w:rsidP="00F54B10">
      <w:pPr>
        <w:spacing w:line="276" w:lineRule="auto"/>
        <w:ind w:left="709"/>
        <w:jc w:val="both"/>
        <w:rPr>
          <w:rFonts w:ascii="Arial" w:hAnsi="Arial" w:cs="Arial"/>
        </w:rPr>
      </w:pPr>
      <w:r w:rsidRPr="00CE0F80">
        <w:rPr>
          <w:rFonts w:ascii="Arial" w:hAnsi="Arial" w:cs="Arial"/>
          <w:b/>
        </w:rPr>
        <w:t>Medios de Verificación</w:t>
      </w:r>
      <w:r w:rsidRPr="00CE0F80">
        <w:rPr>
          <w:rFonts w:ascii="Arial" w:hAnsi="Arial" w:cs="Arial"/>
        </w:rPr>
        <w:t>:  Se identificaron medios de verificación para cada nivel de la Matriz de Indicadores para Resultados, sin embargo, el 100% de los medios de verificación no son suficientes debido a que no mencionan el nombre completo del documento, el nombre del área que genera o publica la información, la periodicidad con la que se genera la misma y/o se ha omitido la liga a la página de la que se obtiene la información, en algunos casos se hace uso de siglas sin que se describa su significado; por todo lo anterior, los medios de verificación no corresponden a las fuentes de información que se puede utilizar para verificar el logro de los objetivos.</w:t>
      </w:r>
    </w:p>
    <w:p w14:paraId="5B6FB54B" w14:textId="4E8684D2" w:rsidR="0007621A" w:rsidRDefault="0007621A" w:rsidP="00F54B10">
      <w:pPr>
        <w:pStyle w:val="Prrafodelista"/>
        <w:autoSpaceDE w:val="0"/>
        <w:autoSpaceDN w:val="0"/>
        <w:adjustRightInd w:val="0"/>
        <w:spacing w:line="276" w:lineRule="auto"/>
        <w:ind w:left="709"/>
        <w:jc w:val="both"/>
        <w:rPr>
          <w:rFonts w:ascii="Arial" w:hAnsi="Arial" w:cs="Arial"/>
          <w:color w:val="000000"/>
          <w:highlight w:val="yellow"/>
        </w:rPr>
      </w:pPr>
    </w:p>
    <w:p w14:paraId="242E03AB" w14:textId="6D3FC4F9" w:rsidR="002C6C69" w:rsidRPr="00CE0F80" w:rsidRDefault="002C6C69" w:rsidP="00F54B10">
      <w:pPr>
        <w:spacing w:line="276" w:lineRule="auto"/>
        <w:ind w:left="709"/>
        <w:jc w:val="both"/>
        <w:rPr>
          <w:rFonts w:ascii="Arial" w:hAnsi="Arial" w:cs="Arial"/>
        </w:rPr>
      </w:pPr>
      <w:r w:rsidRPr="00CE0F80">
        <w:rPr>
          <w:rFonts w:ascii="Arial" w:hAnsi="Arial" w:cs="Arial"/>
          <w:b/>
        </w:rPr>
        <w:t>Indicadores:</w:t>
      </w:r>
      <w:r w:rsidRPr="00CE0F80">
        <w:rPr>
          <w:rFonts w:ascii="Arial Narrow" w:hAnsi="Arial Narrow"/>
        </w:rPr>
        <w:t xml:space="preserve"> </w:t>
      </w:r>
      <w:r w:rsidRPr="00CE0F80">
        <w:rPr>
          <w:rFonts w:ascii="Arial" w:hAnsi="Arial" w:cs="Arial"/>
        </w:rPr>
        <w:t xml:space="preserve">En la Matriz de Indicadores para Resultados de cada programa del Instituto se identificaron indicadores para cada nivel (Fin, Propósito, Componentes y Actividades) y el nombre de los indicadores en su mayoría tienen relación con los objetivos de cada nivel, sin embargo, el 15.71% de los indicadores fueron inadecuados, ya que no están planteados con una expresión cuantitativa y no contienen las variables (factores relevantes) que permitan medir el cumplimiento de los objetivos y metas establecidas; de igual manera se pudo observar que algunos de los indicadores del programa M001 están condicionados a la disponibilidad presupuestal. </w:t>
      </w:r>
    </w:p>
    <w:p w14:paraId="0470678C" w14:textId="2E735246" w:rsidR="0007621A" w:rsidRDefault="0007621A" w:rsidP="00F54B10">
      <w:pPr>
        <w:pStyle w:val="Prrafodelista"/>
        <w:autoSpaceDE w:val="0"/>
        <w:autoSpaceDN w:val="0"/>
        <w:adjustRightInd w:val="0"/>
        <w:spacing w:line="276" w:lineRule="auto"/>
        <w:ind w:left="709"/>
        <w:jc w:val="both"/>
        <w:rPr>
          <w:rFonts w:ascii="Arial" w:hAnsi="Arial" w:cs="Arial"/>
          <w:color w:val="000000"/>
          <w:highlight w:val="yellow"/>
        </w:rPr>
      </w:pPr>
    </w:p>
    <w:p w14:paraId="54E6A119" w14:textId="014AB382" w:rsidR="002C6C69" w:rsidRDefault="002C6C69" w:rsidP="00B5466C">
      <w:pPr>
        <w:pStyle w:val="Prrafodelista"/>
        <w:numPr>
          <w:ilvl w:val="0"/>
          <w:numId w:val="25"/>
        </w:numPr>
        <w:spacing w:line="276" w:lineRule="auto"/>
        <w:ind w:left="709" w:firstLine="0"/>
        <w:jc w:val="both"/>
        <w:rPr>
          <w:rFonts w:ascii="Arial" w:hAnsi="Arial" w:cs="Arial"/>
          <w:b/>
        </w:rPr>
      </w:pPr>
      <w:r w:rsidRPr="008C30F9">
        <w:rPr>
          <w:rFonts w:ascii="Arial" w:hAnsi="Arial" w:cs="Arial"/>
          <w:b/>
        </w:rPr>
        <w:t>Respecto a las Fichas Técnicas de los Indicadores</w:t>
      </w:r>
    </w:p>
    <w:p w14:paraId="29D532C8" w14:textId="77777777" w:rsidR="006E18C9" w:rsidRPr="008C30F9" w:rsidRDefault="006E18C9" w:rsidP="006E18C9">
      <w:pPr>
        <w:pStyle w:val="Prrafodelista"/>
        <w:spacing w:line="276" w:lineRule="auto"/>
        <w:ind w:left="709"/>
        <w:jc w:val="both"/>
        <w:rPr>
          <w:rFonts w:ascii="Arial" w:hAnsi="Arial" w:cs="Arial"/>
          <w:b/>
        </w:rPr>
      </w:pPr>
    </w:p>
    <w:p w14:paraId="0853130C" w14:textId="78A4C427" w:rsidR="004300FE" w:rsidRDefault="002C6C69" w:rsidP="00F54B10">
      <w:pPr>
        <w:spacing w:line="276" w:lineRule="auto"/>
        <w:ind w:left="709"/>
        <w:jc w:val="both"/>
        <w:rPr>
          <w:rFonts w:ascii="Arial" w:hAnsi="Arial" w:cs="Arial"/>
        </w:rPr>
      </w:pPr>
      <w:r w:rsidRPr="00CE0F80">
        <w:rPr>
          <w:rFonts w:ascii="Arial" w:hAnsi="Arial" w:cs="Arial"/>
        </w:rPr>
        <w:t>Debido a que el Instituto de Acceso a la Información y Protección de Datos Personales de Quintana Roo no remitió sus fichas de indicadores, no fue posible constatar que cuenta con ellas y no se pudo verificar la congruencia de la definición del indicador, categoría y periodicidad, sin embargo, se procedió a realizar el análisis d</w:t>
      </w:r>
      <w:r w:rsidRPr="002E70D6">
        <w:rPr>
          <w:rFonts w:ascii="Arial" w:hAnsi="Arial" w:cs="Arial"/>
        </w:rPr>
        <w:t xml:space="preserve">e la congruencia del </w:t>
      </w:r>
      <w:r w:rsidRPr="00CE0F80">
        <w:rPr>
          <w:rFonts w:ascii="Arial" w:hAnsi="Arial" w:cs="Arial"/>
        </w:rPr>
        <w:t>nombre del Indicador y su método de cálculo, obteniendo que:</w:t>
      </w:r>
    </w:p>
    <w:p w14:paraId="6405FB0F" w14:textId="77777777" w:rsidR="000A4A8A" w:rsidRPr="00DB121F" w:rsidRDefault="000A4A8A" w:rsidP="00F54B10">
      <w:pPr>
        <w:spacing w:line="276" w:lineRule="auto"/>
        <w:ind w:left="709"/>
        <w:jc w:val="both"/>
        <w:rPr>
          <w:rFonts w:ascii="Arial" w:hAnsi="Arial" w:cs="Arial"/>
        </w:rPr>
      </w:pPr>
    </w:p>
    <w:p w14:paraId="648EB464" w14:textId="792883EF" w:rsidR="004300FE" w:rsidRPr="00DB121F" w:rsidRDefault="004300FE" w:rsidP="00F54B10">
      <w:pPr>
        <w:numPr>
          <w:ilvl w:val="0"/>
          <w:numId w:val="19"/>
        </w:numPr>
        <w:spacing w:line="276" w:lineRule="auto"/>
        <w:ind w:left="709" w:firstLine="0"/>
        <w:jc w:val="both"/>
        <w:rPr>
          <w:rFonts w:ascii="Arial" w:hAnsi="Arial" w:cs="Arial"/>
        </w:rPr>
      </w:pPr>
      <w:r w:rsidRPr="00CE0F80">
        <w:rPr>
          <w:rFonts w:ascii="Arial" w:hAnsi="Arial" w:cs="Arial"/>
        </w:rPr>
        <w:t xml:space="preserve">El 15.71% de los indicadores no cuentan con el nombre de manera adecuada, debido a que en ellos fue omitida la </w:t>
      </w:r>
      <w:r w:rsidR="00247646">
        <w:rPr>
          <w:rFonts w:ascii="Arial" w:hAnsi="Arial" w:cs="Arial"/>
        </w:rPr>
        <w:t xml:space="preserve">expresión matemática </w:t>
      </w:r>
      <w:r w:rsidRPr="00CE0F80">
        <w:rPr>
          <w:rFonts w:ascii="Arial" w:hAnsi="Arial" w:cs="Arial"/>
        </w:rPr>
        <w:t xml:space="preserve">(porcentaje, razón, etc.) que se debe asignar a cada indicador de cada programa. </w:t>
      </w:r>
    </w:p>
    <w:p w14:paraId="51AB5631" w14:textId="0C9343A0" w:rsidR="004300FE" w:rsidRPr="0033533C" w:rsidRDefault="004300FE" w:rsidP="00F54B10">
      <w:pPr>
        <w:numPr>
          <w:ilvl w:val="0"/>
          <w:numId w:val="19"/>
        </w:numPr>
        <w:spacing w:line="276" w:lineRule="auto"/>
        <w:ind w:left="709" w:firstLine="0"/>
        <w:jc w:val="both"/>
        <w:rPr>
          <w:rFonts w:ascii="Arial" w:hAnsi="Arial" w:cs="Arial"/>
        </w:rPr>
      </w:pPr>
      <w:r w:rsidRPr="008C16E0">
        <w:rPr>
          <w:rFonts w:ascii="Arial" w:hAnsi="Arial" w:cs="Arial"/>
        </w:rPr>
        <w:t xml:space="preserve">El 34.29% de los indicadores es insuficiente, considerando que el método de cálculo no cumple con la función de determinar la forma en la que se relacionan las variables establecidas, adicional a que no se encuentra expresado en un lenguaje matemático o </w:t>
      </w:r>
      <w:r w:rsidRPr="0033533C">
        <w:rPr>
          <w:rFonts w:ascii="Arial" w:hAnsi="Arial" w:cs="Arial"/>
        </w:rPr>
        <w:t xml:space="preserve">éste no corresponde </w:t>
      </w:r>
      <w:r w:rsidR="00E92113" w:rsidRPr="0033533C">
        <w:rPr>
          <w:rFonts w:ascii="Arial" w:hAnsi="Arial" w:cs="Arial"/>
        </w:rPr>
        <w:t>a</w:t>
      </w:r>
      <w:r w:rsidRPr="0033533C">
        <w:rPr>
          <w:rFonts w:ascii="Arial" w:hAnsi="Arial" w:cs="Arial"/>
        </w:rPr>
        <w:t xml:space="preserve"> la misma unidad de medida con la que cuenta el indicador.</w:t>
      </w:r>
    </w:p>
    <w:p w14:paraId="6146DEF5" w14:textId="77777777" w:rsidR="00DB668E" w:rsidRDefault="00DB668E" w:rsidP="00DB668E">
      <w:pPr>
        <w:spacing w:line="276" w:lineRule="auto"/>
        <w:jc w:val="both"/>
        <w:rPr>
          <w:rFonts w:ascii="Arial" w:eastAsiaTheme="minorHAnsi" w:hAnsi="Arial" w:cs="Arial"/>
          <w:lang w:eastAsia="en-US"/>
        </w:rPr>
      </w:pPr>
    </w:p>
    <w:p w14:paraId="11EC1A83" w14:textId="77777777" w:rsidR="00815B4F" w:rsidRDefault="00815B4F" w:rsidP="00815B4F">
      <w:pPr>
        <w:spacing w:line="276" w:lineRule="auto"/>
        <w:jc w:val="both"/>
        <w:rPr>
          <w:rFonts w:ascii="Arial" w:hAnsi="Arial" w:cs="Arial"/>
          <w:b/>
          <w:color w:val="000000" w:themeColor="text1"/>
        </w:rPr>
      </w:pPr>
      <w:r>
        <w:rPr>
          <w:rFonts w:ascii="Arial" w:hAnsi="Arial" w:cs="Arial"/>
          <w:b/>
          <w:color w:val="000000" w:themeColor="text1"/>
        </w:rPr>
        <w:t>Normatividad r</w:t>
      </w:r>
      <w:r w:rsidRPr="00987E59">
        <w:rPr>
          <w:rFonts w:ascii="Arial" w:hAnsi="Arial" w:cs="Arial"/>
          <w:b/>
          <w:color w:val="000000" w:themeColor="text1"/>
        </w:rPr>
        <w:t>elacionada con la</w:t>
      </w:r>
      <w:r>
        <w:rPr>
          <w:rFonts w:ascii="Arial" w:hAnsi="Arial" w:cs="Arial"/>
          <w:b/>
          <w:color w:val="000000" w:themeColor="text1"/>
        </w:rPr>
        <w:t>s Observaciones</w:t>
      </w:r>
    </w:p>
    <w:p w14:paraId="29C1D5AE" w14:textId="77777777" w:rsidR="00815B4F" w:rsidRDefault="00815B4F" w:rsidP="00815B4F">
      <w:pPr>
        <w:spacing w:line="276" w:lineRule="auto"/>
        <w:jc w:val="both"/>
        <w:rPr>
          <w:rFonts w:ascii="Arial" w:hAnsi="Arial" w:cs="Arial"/>
        </w:rPr>
      </w:pPr>
    </w:p>
    <w:p w14:paraId="0C2F2FA2" w14:textId="77777777" w:rsidR="00815B4F" w:rsidRDefault="00815B4F" w:rsidP="00815B4F">
      <w:pPr>
        <w:spacing w:line="276" w:lineRule="auto"/>
        <w:jc w:val="both"/>
        <w:rPr>
          <w:rFonts w:ascii="Arial" w:hAnsi="Arial" w:cs="Arial"/>
        </w:rPr>
      </w:pPr>
      <w:r w:rsidRPr="008F7318">
        <w:rPr>
          <w:rFonts w:ascii="Arial" w:hAnsi="Arial" w:cs="Arial"/>
        </w:rPr>
        <w:t>Constitución Política de</w:t>
      </w:r>
      <w:r>
        <w:rPr>
          <w:rFonts w:ascii="Arial" w:hAnsi="Arial" w:cs="Arial"/>
        </w:rPr>
        <w:t xml:space="preserve"> los Estados Unidos Mexicanos, a</w:t>
      </w:r>
      <w:r w:rsidRPr="008F7318">
        <w:rPr>
          <w:rFonts w:ascii="Arial" w:hAnsi="Arial" w:cs="Arial"/>
        </w:rPr>
        <w:t>rtículo 134.</w:t>
      </w:r>
    </w:p>
    <w:p w14:paraId="3DC3B788" w14:textId="7CF06035" w:rsidR="00815B4F" w:rsidRDefault="00815B4F" w:rsidP="00815B4F">
      <w:pPr>
        <w:spacing w:line="276" w:lineRule="auto"/>
        <w:jc w:val="both"/>
        <w:rPr>
          <w:rFonts w:ascii="Arial" w:hAnsi="Arial" w:cs="Arial"/>
        </w:rPr>
      </w:pPr>
      <w:r w:rsidRPr="008F7318">
        <w:rPr>
          <w:rFonts w:ascii="Arial" w:hAnsi="Arial" w:cs="Arial"/>
        </w:rPr>
        <w:lastRenderedPageBreak/>
        <w:t xml:space="preserve">Ley de Disciplina Financiera de las Entidades Federativas y los Municipios, </w:t>
      </w:r>
      <w:r w:rsidR="00B230AE">
        <w:rPr>
          <w:rFonts w:ascii="Arial" w:hAnsi="Arial" w:cs="Arial"/>
        </w:rPr>
        <w:t>artículo 5</w:t>
      </w:r>
      <w:r>
        <w:rPr>
          <w:rFonts w:ascii="Arial" w:hAnsi="Arial" w:cs="Arial"/>
        </w:rPr>
        <w:t xml:space="preserve"> fracción I</w:t>
      </w:r>
      <w:r w:rsidRPr="00A12D22">
        <w:rPr>
          <w:rFonts w:ascii="Arial" w:hAnsi="Arial" w:cs="Arial"/>
        </w:rPr>
        <w:t>.</w:t>
      </w:r>
    </w:p>
    <w:p w14:paraId="6A2666C4" w14:textId="78740429" w:rsidR="00815B4F" w:rsidRPr="0020164E" w:rsidRDefault="00815B4F" w:rsidP="00815B4F">
      <w:pPr>
        <w:spacing w:line="276" w:lineRule="auto"/>
        <w:jc w:val="both"/>
        <w:rPr>
          <w:rFonts w:ascii="Arial" w:hAnsi="Arial" w:cs="Arial"/>
        </w:rPr>
      </w:pPr>
      <w:r w:rsidRPr="00A12D22">
        <w:rPr>
          <w:rFonts w:ascii="Arial" w:hAnsi="Arial" w:cs="Arial"/>
        </w:rPr>
        <w:t xml:space="preserve">Ley General </w:t>
      </w:r>
      <w:r>
        <w:rPr>
          <w:rFonts w:ascii="Arial" w:hAnsi="Arial" w:cs="Arial"/>
        </w:rPr>
        <w:t>de Contabilidad Gubernamental, a</w:t>
      </w:r>
      <w:r w:rsidRPr="00A12D22">
        <w:rPr>
          <w:rFonts w:ascii="Arial" w:hAnsi="Arial" w:cs="Arial"/>
        </w:rPr>
        <w:t xml:space="preserve">rtículos </w:t>
      </w:r>
      <w:r w:rsidR="00B230AE">
        <w:rPr>
          <w:rFonts w:ascii="Arial" w:hAnsi="Arial" w:cs="Arial"/>
        </w:rPr>
        <w:t>46 fracción III</w:t>
      </w:r>
      <w:r>
        <w:rPr>
          <w:rFonts w:ascii="Arial" w:hAnsi="Arial" w:cs="Arial"/>
        </w:rPr>
        <w:t xml:space="preserve"> inciso</w:t>
      </w:r>
      <w:r w:rsidR="00B230AE">
        <w:rPr>
          <w:rFonts w:ascii="Arial" w:hAnsi="Arial" w:cs="Arial"/>
        </w:rPr>
        <w:t>s</w:t>
      </w:r>
      <w:r>
        <w:rPr>
          <w:rFonts w:ascii="Arial" w:hAnsi="Arial" w:cs="Arial"/>
        </w:rPr>
        <w:t xml:space="preserve"> a y c, 54, </w:t>
      </w:r>
      <w:r w:rsidRPr="00A12D22">
        <w:rPr>
          <w:rFonts w:ascii="Arial" w:hAnsi="Arial" w:cs="Arial"/>
        </w:rPr>
        <w:t xml:space="preserve">61 </w:t>
      </w:r>
      <w:r w:rsidRPr="0020164E">
        <w:rPr>
          <w:rFonts w:ascii="Arial" w:hAnsi="Arial" w:cs="Arial"/>
        </w:rPr>
        <w:t>fracción II y 79.</w:t>
      </w:r>
    </w:p>
    <w:p w14:paraId="0A23F91A" w14:textId="7BF49F05" w:rsidR="00815B4F" w:rsidRPr="0020164E" w:rsidRDefault="00815B4F" w:rsidP="00815B4F">
      <w:pPr>
        <w:spacing w:line="276" w:lineRule="auto"/>
        <w:jc w:val="both"/>
        <w:rPr>
          <w:rFonts w:ascii="Arial" w:hAnsi="Arial" w:cs="Arial"/>
          <w:bCs/>
        </w:rPr>
      </w:pPr>
      <w:r w:rsidRPr="00BC3D5A">
        <w:rPr>
          <w:rFonts w:ascii="Arial" w:hAnsi="Arial" w:cs="Arial"/>
          <w:bCs/>
        </w:rPr>
        <w:t>Ley General de Responsabilidades Administrativas, artículo</w:t>
      </w:r>
      <w:r w:rsidR="004740C9" w:rsidRPr="00BC3D5A">
        <w:rPr>
          <w:rFonts w:ascii="Arial" w:hAnsi="Arial" w:cs="Arial"/>
          <w:bCs/>
        </w:rPr>
        <w:t>s</w:t>
      </w:r>
      <w:r w:rsidRPr="00BC3D5A">
        <w:rPr>
          <w:rFonts w:ascii="Arial" w:hAnsi="Arial" w:cs="Arial"/>
          <w:bCs/>
        </w:rPr>
        <w:t xml:space="preserve"> 7 incisos I y V</w:t>
      </w:r>
      <w:r w:rsidR="004740C9" w:rsidRPr="00BC3D5A">
        <w:rPr>
          <w:rFonts w:ascii="Arial" w:hAnsi="Arial" w:cs="Arial"/>
          <w:bCs/>
        </w:rPr>
        <w:t>.</w:t>
      </w:r>
    </w:p>
    <w:p w14:paraId="331465D2" w14:textId="04027381" w:rsidR="00815B4F" w:rsidRPr="0020164E" w:rsidRDefault="00815B4F" w:rsidP="00815B4F">
      <w:pPr>
        <w:spacing w:line="276" w:lineRule="auto"/>
        <w:jc w:val="both"/>
        <w:rPr>
          <w:rFonts w:ascii="Arial" w:hAnsi="Arial" w:cs="Arial"/>
        </w:rPr>
      </w:pPr>
      <w:r w:rsidRPr="0020164E">
        <w:rPr>
          <w:rFonts w:ascii="Arial" w:hAnsi="Arial" w:cs="Arial"/>
        </w:rPr>
        <w:t>Ley General de Protección de Datos Personales en Posesión de Sujetos Obligados, artículo 91 fracción XIII.</w:t>
      </w:r>
    </w:p>
    <w:p w14:paraId="12002545" w14:textId="77777777" w:rsidR="00815B4F" w:rsidRPr="0020164E" w:rsidRDefault="00815B4F" w:rsidP="00815B4F">
      <w:pPr>
        <w:spacing w:line="276" w:lineRule="auto"/>
        <w:jc w:val="both"/>
        <w:rPr>
          <w:rFonts w:ascii="Arial" w:hAnsi="Arial"/>
        </w:rPr>
      </w:pPr>
      <w:r w:rsidRPr="0020164E">
        <w:rPr>
          <w:rFonts w:ascii="Arial" w:hAnsi="Arial"/>
        </w:rPr>
        <w:t>Constitución Política del Estado Libre y Soberano de Quintana Roo, artículo 166.</w:t>
      </w:r>
    </w:p>
    <w:p w14:paraId="353F629E" w14:textId="77777777" w:rsidR="00815B4F" w:rsidRPr="0020164E" w:rsidRDefault="00815B4F" w:rsidP="00815B4F">
      <w:pPr>
        <w:spacing w:line="276" w:lineRule="auto"/>
        <w:jc w:val="both"/>
        <w:rPr>
          <w:rFonts w:ascii="Arial" w:hAnsi="Arial"/>
        </w:rPr>
      </w:pPr>
      <w:r w:rsidRPr="0020164E">
        <w:rPr>
          <w:rFonts w:ascii="Arial" w:hAnsi="Arial"/>
        </w:rPr>
        <w:t>Ley de Presupuesto y Gasto Público del Estado de Quintana Roo, artículos 16, 17, 18 y 63.</w:t>
      </w:r>
    </w:p>
    <w:p w14:paraId="1C6EA83B" w14:textId="63297FA1" w:rsidR="00815B4F" w:rsidRPr="0020164E" w:rsidRDefault="00815B4F" w:rsidP="00815B4F">
      <w:pPr>
        <w:spacing w:line="276" w:lineRule="auto"/>
        <w:jc w:val="both"/>
        <w:rPr>
          <w:rFonts w:ascii="Arial" w:hAnsi="Arial" w:cs="Arial"/>
        </w:rPr>
      </w:pPr>
      <w:r w:rsidRPr="0020164E">
        <w:rPr>
          <w:rFonts w:ascii="Arial" w:hAnsi="Arial" w:cs="Arial"/>
        </w:rPr>
        <w:t>Ley de Transparencia y Acceso a la Información Pública para el Estad</w:t>
      </w:r>
      <w:r w:rsidR="00B230AE">
        <w:rPr>
          <w:rFonts w:ascii="Arial" w:hAnsi="Arial" w:cs="Arial"/>
        </w:rPr>
        <w:t>o de Quintana Roo, artículos 29 fracción XL, 31 fracción VI y 73 Ter</w:t>
      </w:r>
      <w:r w:rsidRPr="0020164E">
        <w:rPr>
          <w:rFonts w:ascii="Arial" w:hAnsi="Arial" w:cs="Arial"/>
        </w:rPr>
        <w:t xml:space="preserve"> fracción XI. </w:t>
      </w:r>
    </w:p>
    <w:p w14:paraId="02713A6C" w14:textId="4099DAC6" w:rsidR="00815B4F" w:rsidRPr="00DD72C8" w:rsidRDefault="00815B4F" w:rsidP="00815B4F">
      <w:pPr>
        <w:spacing w:line="276" w:lineRule="auto"/>
        <w:jc w:val="both"/>
        <w:rPr>
          <w:rFonts w:ascii="Arial" w:hAnsi="Arial" w:cs="Arial"/>
        </w:rPr>
      </w:pPr>
      <w:r w:rsidRPr="0020164E">
        <w:rPr>
          <w:rFonts w:ascii="Arial" w:hAnsi="Arial" w:cs="Arial"/>
        </w:rPr>
        <w:t xml:space="preserve">Ley de </w:t>
      </w:r>
      <w:r w:rsidRPr="00DD72C8">
        <w:rPr>
          <w:rFonts w:ascii="Arial" w:hAnsi="Arial" w:cs="Arial"/>
        </w:rPr>
        <w:t>Protección de Datos Personales en Posesión de Sujetos Obligados para el Estad</w:t>
      </w:r>
      <w:r w:rsidR="00B230AE">
        <w:rPr>
          <w:rFonts w:ascii="Arial" w:hAnsi="Arial" w:cs="Arial"/>
        </w:rPr>
        <w:t>o de Quintana Roo, artículo 102</w:t>
      </w:r>
      <w:r w:rsidRPr="00DD72C8">
        <w:rPr>
          <w:rFonts w:ascii="Arial" w:hAnsi="Arial" w:cs="Arial"/>
        </w:rPr>
        <w:t xml:space="preserve"> fracción XIX.</w:t>
      </w:r>
    </w:p>
    <w:p w14:paraId="0785F4D0" w14:textId="5613F572" w:rsidR="00815B4F" w:rsidRDefault="00815B4F" w:rsidP="00815B4F">
      <w:pPr>
        <w:spacing w:line="276" w:lineRule="auto"/>
        <w:jc w:val="both"/>
        <w:rPr>
          <w:rFonts w:ascii="Arial" w:hAnsi="Arial" w:cs="Arial"/>
        </w:rPr>
      </w:pPr>
      <w:r w:rsidRPr="00DD72C8">
        <w:rPr>
          <w:rFonts w:ascii="Arial" w:hAnsi="Arial" w:cs="Arial"/>
        </w:rPr>
        <w:t>Reglamento Interior y Condiciones Generales de Trabajo del Instituto de Transparencia y Acceso a la Información Pública de Quintana Roo, artículo</w:t>
      </w:r>
      <w:r w:rsidR="00B230AE">
        <w:rPr>
          <w:rFonts w:ascii="Arial" w:hAnsi="Arial" w:cs="Arial"/>
        </w:rPr>
        <w:t>s 6 fracciones XVIII y XIX y 30 inciso C fracción I numeral 7, inciso D fracción I</w:t>
      </w:r>
      <w:r w:rsidRPr="00DD72C8">
        <w:rPr>
          <w:rFonts w:ascii="Arial" w:hAnsi="Arial" w:cs="Arial"/>
        </w:rPr>
        <w:t xml:space="preserve"> numeral 2, inciso E fracción I</w:t>
      </w:r>
      <w:r w:rsidR="00772A6B">
        <w:rPr>
          <w:rFonts w:ascii="Arial" w:hAnsi="Arial" w:cs="Arial"/>
        </w:rPr>
        <w:t xml:space="preserve"> numeral 7, inciso F fracción I</w:t>
      </w:r>
      <w:r w:rsidRPr="00DD72C8">
        <w:rPr>
          <w:rFonts w:ascii="Arial" w:hAnsi="Arial" w:cs="Arial"/>
        </w:rPr>
        <w:t xml:space="preserve"> numeral</w:t>
      </w:r>
      <w:r w:rsidR="00772A6B">
        <w:rPr>
          <w:rFonts w:ascii="Arial" w:hAnsi="Arial" w:cs="Arial"/>
        </w:rPr>
        <w:t>es</w:t>
      </w:r>
      <w:r w:rsidRPr="00DD72C8">
        <w:rPr>
          <w:rFonts w:ascii="Arial" w:hAnsi="Arial" w:cs="Arial"/>
        </w:rPr>
        <w:t xml:space="preserve"> 6 y 7.</w:t>
      </w:r>
      <w:r w:rsidRPr="00096456">
        <w:rPr>
          <w:rFonts w:ascii="Arial" w:hAnsi="Arial" w:cs="Arial"/>
        </w:rPr>
        <w:t xml:space="preserve"> </w:t>
      </w:r>
    </w:p>
    <w:p w14:paraId="388D74CD" w14:textId="51CBBE10" w:rsidR="006E18C9" w:rsidRDefault="00815B4F" w:rsidP="006E18C9">
      <w:pPr>
        <w:spacing w:line="276" w:lineRule="auto"/>
        <w:jc w:val="both"/>
        <w:rPr>
          <w:rFonts w:ascii="Arial" w:hAnsi="Arial" w:cs="Arial"/>
          <w:bCs/>
        </w:rPr>
      </w:pPr>
      <w:r w:rsidRPr="00995B14">
        <w:rPr>
          <w:rFonts w:ascii="Arial" w:hAnsi="Arial" w:cs="Arial"/>
          <w:bCs/>
        </w:rPr>
        <w:t>Plan Estatal de Desarrollo 2016-2022, Eje 3, Programa 17, Línea de acción 12 y Programa 19, Línea de acción 2, 14 y 16.</w:t>
      </w:r>
      <w:r>
        <w:rPr>
          <w:rFonts w:ascii="Arial" w:hAnsi="Arial" w:cs="Arial"/>
          <w:bCs/>
        </w:rPr>
        <w:t xml:space="preserve"> </w:t>
      </w:r>
      <w:bookmarkStart w:id="33" w:name="_Toc51083024"/>
      <w:bookmarkStart w:id="34" w:name="_Toc535405186"/>
    </w:p>
    <w:p w14:paraId="10475457" w14:textId="5B0F415C" w:rsidR="006E18C9" w:rsidRDefault="006E18C9" w:rsidP="006E18C9">
      <w:pPr>
        <w:spacing w:line="276" w:lineRule="auto"/>
        <w:jc w:val="both"/>
        <w:rPr>
          <w:rFonts w:ascii="Arial" w:hAnsi="Arial" w:cs="Arial"/>
          <w:bCs/>
        </w:rPr>
      </w:pPr>
    </w:p>
    <w:p w14:paraId="734B4E45" w14:textId="77777777" w:rsidR="006E18C9" w:rsidRPr="006E18C9" w:rsidRDefault="006E18C9" w:rsidP="006E18C9">
      <w:pPr>
        <w:spacing w:line="276" w:lineRule="auto"/>
        <w:jc w:val="both"/>
        <w:rPr>
          <w:rFonts w:ascii="Arial" w:hAnsi="Arial" w:cs="Arial"/>
          <w:bCs/>
        </w:rPr>
      </w:pPr>
    </w:p>
    <w:p w14:paraId="3EBDBD63" w14:textId="333B7E60" w:rsidR="00750258" w:rsidRPr="00A22640" w:rsidRDefault="00750258" w:rsidP="008E47D6">
      <w:pPr>
        <w:spacing w:line="276" w:lineRule="auto"/>
        <w:jc w:val="both"/>
        <w:outlineLvl w:val="0"/>
        <w:rPr>
          <w:rFonts w:ascii="Arial" w:eastAsia="Calibri" w:hAnsi="Arial" w:cs="Arial"/>
          <w:bCs/>
          <w:szCs w:val="20"/>
          <w:lang w:eastAsia="en-US"/>
        </w:rPr>
      </w:pPr>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bookmarkEnd w:id="33"/>
    </w:p>
    <w:p w14:paraId="10174793" w14:textId="77777777" w:rsidR="001255BB" w:rsidRDefault="001255BB" w:rsidP="008E47D6">
      <w:pPr>
        <w:spacing w:line="276" w:lineRule="auto"/>
        <w:jc w:val="both"/>
        <w:outlineLvl w:val="0"/>
        <w:rPr>
          <w:rFonts w:ascii="Arial" w:eastAsia="Calibri" w:hAnsi="Arial" w:cs="Arial"/>
          <w:bCs/>
          <w:szCs w:val="20"/>
          <w:lang w:eastAsia="en-US"/>
        </w:rPr>
      </w:pPr>
    </w:p>
    <w:p w14:paraId="692839C3" w14:textId="628EE149" w:rsidR="00750258" w:rsidRDefault="00750258" w:rsidP="00CA4A8B">
      <w:pPr>
        <w:spacing w:line="276" w:lineRule="auto"/>
        <w:jc w:val="both"/>
        <w:outlineLvl w:val="0"/>
        <w:rPr>
          <w:rFonts w:ascii="Arial" w:eastAsia="Calibri" w:hAnsi="Arial" w:cs="Arial"/>
          <w:bCs/>
          <w:szCs w:val="20"/>
          <w:lang w:eastAsia="en-US"/>
        </w:rPr>
      </w:pPr>
      <w:bookmarkStart w:id="35" w:name="_Toc51083025"/>
      <w:r w:rsidRPr="00A22640">
        <w:rPr>
          <w:rFonts w:ascii="Arial" w:eastAsia="Calibri" w:hAnsi="Arial" w:cs="Arial"/>
          <w:bCs/>
          <w:szCs w:val="20"/>
          <w:lang w:eastAsia="en-US"/>
        </w:rPr>
        <w:t>La Auditoría Superior del Esta</w:t>
      </w:r>
      <w:r>
        <w:rPr>
          <w:rFonts w:ascii="Arial" w:eastAsia="Calibri" w:hAnsi="Arial" w:cs="Arial"/>
          <w:bCs/>
          <w:szCs w:val="20"/>
          <w:lang w:eastAsia="en-US"/>
        </w:rPr>
        <w:t xml:space="preserve">do de Quintana Roo recomienda </w:t>
      </w:r>
      <w:r w:rsidR="00CE3493">
        <w:rPr>
          <w:rFonts w:ascii="Arial" w:eastAsia="Calibri" w:hAnsi="Arial" w:cs="Arial"/>
          <w:bCs/>
          <w:szCs w:val="20"/>
          <w:lang w:eastAsia="en-US"/>
        </w:rPr>
        <w:t>a</w:t>
      </w:r>
      <w:r w:rsidR="00DB4BC4">
        <w:rPr>
          <w:rFonts w:ascii="Arial" w:eastAsia="Calibri" w:hAnsi="Arial" w:cs="Arial"/>
          <w:bCs/>
          <w:szCs w:val="20"/>
          <w:lang w:eastAsia="en-US"/>
        </w:rPr>
        <w:t xml:space="preserve">l </w:t>
      </w:r>
      <w:r w:rsidR="00DB4BC4" w:rsidRPr="00DB4BC4">
        <w:rPr>
          <w:rFonts w:ascii="Arial" w:eastAsia="Calibri" w:hAnsi="Arial" w:cs="Arial"/>
          <w:b/>
          <w:bCs/>
          <w:szCs w:val="20"/>
          <w:lang w:eastAsia="en-US"/>
        </w:rPr>
        <w:t>Instituto de Acceso a la Información y protección de Datos Personales de Quintana Roo</w:t>
      </w:r>
      <w:r w:rsidRPr="00A22640">
        <w:rPr>
          <w:rFonts w:ascii="Arial" w:eastAsia="Calibri" w:hAnsi="Arial" w:cs="Arial"/>
          <w:bCs/>
          <w:szCs w:val="20"/>
          <w:lang w:eastAsia="en-US"/>
        </w:rPr>
        <w:t>, lo siguiente:</w:t>
      </w:r>
      <w:bookmarkEnd w:id="35"/>
    </w:p>
    <w:p w14:paraId="795DC699" w14:textId="77777777" w:rsidR="00A4485A" w:rsidRDefault="00A4485A" w:rsidP="00CA4A8B">
      <w:pPr>
        <w:spacing w:line="276" w:lineRule="auto"/>
        <w:jc w:val="both"/>
        <w:rPr>
          <w:rFonts w:ascii="Arial" w:hAnsi="Arial" w:cs="Arial"/>
          <w:b/>
          <w:bCs/>
        </w:rPr>
      </w:pPr>
    </w:p>
    <w:p w14:paraId="0FB5F78E" w14:textId="3EB56E54" w:rsidR="006747B1" w:rsidRDefault="006747B1" w:rsidP="00CA4A8B">
      <w:pPr>
        <w:spacing w:line="276" w:lineRule="auto"/>
        <w:jc w:val="both"/>
        <w:rPr>
          <w:rFonts w:ascii="Arial" w:hAnsi="Arial" w:cs="Arial"/>
          <w:b/>
          <w:bCs/>
        </w:rPr>
      </w:pPr>
      <w:r w:rsidRPr="006747B1">
        <w:rPr>
          <w:rFonts w:ascii="Arial" w:hAnsi="Arial" w:cs="Arial"/>
          <w:b/>
          <w:bCs/>
        </w:rPr>
        <w:t>Para la observación 1</w:t>
      </w:r>
    </w:p>
    <w:p w14:paraId="515653C6" w14:textId="77777777" w:rsidR="006747B1" w:rsidRPr="006747B1" w:rsidRDefault="006747B1" w:rsidP="00CA4A8B">
      <w:pPr>
        <w:spacing w:line="276" w:lineRule="auto"/>
        <w:jc w:val="both"/>
        <w:rPr>
          <w:rFonts w:ascii="Arial" w:hAnsi="Arial" w:cs="Arial"/>
          <w:b/>
          <w:bCs/>
        </w:rPr>
      </w:pPr>
    </w:p>
    <w:p w14:paraId="2FD76C16" w14:textId="77777777" w:rsidR="00854B5C" w:rsidRDefault="00CA4A8B" w:rsidP="006747B1">
      <w:pPr>
        <w:spacing w:line="276" w:lineRule="auto"/>
        <w:contextualSpacing/>
        <w:jc w:val="both"/>
        <w:rPr>
          <w:rFonts w:ascii="Arial" w:eastAsia="Calibri" w:hAnsi="Arial" w:cs="Arial"/>
          <w:lang w:eastAsia="en-US"/>
        </w:rPr>
      </w:pPr>
      <w:r w:rsidRPr="00CA4A8B">
        <w:rPr>
          <w:rFonts w:ascii="Arial" w:eastAsia="Calibri" w:hAnsi="Arial" w:cs="Arial"/>
          <w:lang w:eastAsia="en-US"/>
        </w:rPr>
        <w:t xml:space="preserve">Presentar un documento válido y oficial en el que se indiquen las ampliaciones presupuestales realizadas o en su caso un análisis del Presupuesto aprobado, el ejercido y el devengado, así como el origen del recurso que afecta la ampliación </w:t>
      </w:r>
      <w:r w:rsidRPr="00CA4A8B">
        <w:rPr>
          <w:rFonts w:ascii="Arial" w:eastAsia="Calibri" w:hAnsi="Arial" w:cs="Arial"/>
          <w:lang w:eastAsia="en-US"/>
        </w:rPr>
        <w:lastRenderedPageBreak/>
        <w:t>presupuestal, para esclarecer las diferencias con los montos aprobados en el Presupuesto de Egresos del Estado</w:t>
      </w:r>
      <w:r w:rsidR="00854B5C">
        <w:rPr>
          <w:rFonts w:ascii="Arial" w:eastAsia="Calibri" w:hAnsi="Arial" w:cs="Arial"/>
          <w:lang w:eastAsia="en-US"/>
        </w:rPr>
        <w:t>.</w:t>
      </w:r>
    </w:p>
    <w:p w14:paraId="14147606" w14:textId="5893D881" w:rsidR="00454D72" w:rsidRDefault="00454D72" w:rsidP="00454D72">
      <w:pPr>
        <w:spacing w:line="276" w:lineRule="auto"/>
        <w:ind w:left="646"/>
        <w:contextualSpacing/>
        <w:jc w:val="both"/>
        <w:rPr>
          <w:rFonts w:ascii="Arial" w:eastAsia="Calibri" w:hAnsi="Arial" w:cs="Arial"/>
          <w:lang w:eastAsia="en-US"/>
        </w:rPr>
      </w:pPr>
    </w:p>
    <w:p w14:paraId="1A3B1AB4" w14:textId="037CFEED" w:rsidR="004C687F" w:rsidRPr="00526122" w:rsidRDefault="004C687F" w:rsidP="004C687F">
      <w:pPr>
        <w:autoSpaceDE w:val="0"/>
        <w:autoSpaceDN w:val="0"/>
        <w:adjustRightInd w:val="0"/>
        <w:spacing w:line="276" w:lineRule="auto"/>
        <w:jc w:val="both"/>
        <w:rPr>
          <w:rFonts w:ascii="Arial" w:hAnsi="Arial" w:cs="Arial"/>
        </w:rPr>
      </w:pPr>
      <w:r w:rsidRPr="00526122">
        <w:rPr>
          <w:rFonts w:ascii="Arial" w:hAnsi="Arial" w:cs="Arial"/>
          <w:bCs/>
        </w:rPr>
        <w:t xml:space="preserve">Con motivo de la reunión de trabajo efectuada para la presentación de resultados finales de auditoría y observaciones preliminares, mediante oficio número IDAIPQROO/CA/0101/IX/2020 de fecha 30 de septiembre de 2020, el </w:t>
      </w:r>
      <w:r w:rsidRPr="00526122">
        <w:rPr>
          <w:rFonts w:ascii="Arial" w:hAnsi="Arial" w:cs="Arial"/>
        </w:rPr>
        <w:t xml:space="preserve">Instituto de Acceso a la Información y Protección de Datos Personales de Quintana Roo </w:t>
      </w:r>
      <w:r w:rsidRPr="00526122">
        <w:rPr>
          <w:rFonts w:ascii="Arial" w:hAnsi="Arial" w:cs="Arial"/>
          <w:color w:val="000000" w:themeColor="text1"/>
        </w:rPr>
        <w:t xml:space="preserve">aclara que, </w:t>
      </w:r>
      <w:r w:rsidRPr="00526122">
        <w:rPr>
          <w:rFonts w:ascii="Arial" w:hAnsi="Arial" w:cs="Arial"/>
        </w:rPr>
        <w:t>la</w:t>
      </w:r>
      <w:r w:rsidRPr="00526122">
        <w:rPr>
          <w:rFonts w:ascii="Arial" w:hAnsi="Arial" w:cs="Arial"/>
          <w:color w:val="000000" w:themeColor="text1"/>
        </w:rPr>
        <w:t xml:space="preserve"> Secretaría de Finanzas y Planeación (SEFIPLAN) autorizó una ampliación presupuestal, anexando copia del oficio número SEFIPLAN/SSPHCP/DCPSP/DSPSPPA/065/II/2019, de fecha 06 d</w:t>
      </w:r>
      <w:r w:rsidR="007877E9">
        <w:rPr>
          <w:rFonts w:ascii="Arial" w:hAnsi="Arial" w:cs="Arial"/>
          <w:color w:val="000000" w:themeColor="text1"/>
        </w:rPr>
        <w:t>e febrero de 2019;</w:t>
      </w:r>
      <w:r w:rsidRPr="00526122">
        <w:rPr>
          <w:rFonts w:ascii="Arial" w:hAnsi="Arial" w:cs="Arial"/>
          <w:color w:val="000000" w:themeColor="text1"/>
        </w:rPr>
        <w:t xml:space="preserve"> </w:t>
      </w:r>
      <w:r w:rsidR="007877E9">
        <w:rPr>
          <w:rFonts w:ascii="Arial" w:hAnsi="Arial" w:cs="Arial"/>
        </w:rPr>
        <w:t>una vez verificada la justificación de los montos presupuestales</w:t>
      </w:r>
      <w:r w:rsidRPr="00526122">
        <w:rPr>
          <w:rFonts w:ascii="Arial" w:hAnsi="Arial" w:cs="Arial"/>
          <w:color w:val="000000" w:themeColor="text1"/>
        </w:rPr>
        <w:t>, se da por atendida la observación.</w:t>
      </w:r>
    </w:p>
    <w:p w14:paraId="685DEF69" w14:textId="76B68C0C" w:rsidR="00B5466C" w:rsidRDefault="00B5466C" w:rsidP="006747B1">
      <w:pPr>
        <w:spacing w:line="276" w:lineRule="auto"/>
        <w:contextualSpacing/>
        <w:jc w:val="both"/>
        <w:rPr>
          <w:rFonts w:ascii="Arial" w:eastAsia="Calibri" w:hAnsi="Arial" w:cs="Arial"/>
          <w:lang w:eastAsia="en-US"/>
        </w:rPr>
      </w:pPr>
    </w:p>
    <w:p w14:paraId="5427A0B1" w14:textId="77777777" w:rsidR="00B5466C" w:rsidRDefault="00B5466C" w:rsidP="006747B1">
      <w:pPr>
        <w:spacing w:line="276" w:lineRule="auto"/>
        <w:contextualSpacing/>
        <w:jc w:val="both"/>
        <w:rPr>
          <w:rFonts w:ascii="Arial" w:eastAsia="Calibri" w:hAnsi="Arial" w:cs="Arial"/>
          <w:lang w:eastAsia="en-US"/>
        </w:rPr>
      </w:pPr>
    </w:p>
    <w:p w14:paraId="3DD1E5C1" w14:textId="77777777" w:rsidR="006747B1" w:rsidRPr="006747B1" w:rsidRDefault="006747B1" w:rsidP="006747B1">
      <w:pPr>
        <w:spacing w:line="276" w:lineRule="auto"/>
        <w:jc w:val="both"/>
        <w:rPr>
          <w:rFonts w:ascii="Arial" w:hAnsi="Arial" w:cs="Arial"/>
          <w:b/>
          <w:bCs/>
        </w:rPr>
      </w:pPr>
      <w:r w:rsidRPr="006747B1">
        <w:rPr>
          <w:rFonts w:ascii="Arial" w:hAnsi="Arial" w:cs="Arial"/>
          <w:b/>
          <w:bCs/>
        </w:rPr>
        <w:t xml:space="preserve">Para la observación </w:t>
      </w:r>
      <w:r>
        <w:rPr>
          <w:rFonts w:ascii="Arial" w:hAnsi="Arial" w:cs="Arial"/>
          <w:b/>
          <w:bCs/>
        </w:rPr>
        <w:t>2</w:t>
      </w:r>
    </w:p>
    <w:p w14:paraId="0F127DD0" w14:textId="77777777" w:rsidR="00772A6B" w:rsidRDefault="00772A6B" w:rsidP="006747B1">
      <w:pPr>
        <w:spacing w:line="276" w:lineRule="auto"/>
        <w:jc w:val="both"/>
        <w:rPr>
          <w:rFonts w:ascii="Arial" w:hAnsi="Arial" w:cs="Arial"/>
        </w:rPr>
      </w:pPr>
    </w:p>
    <w:p w14:paraId="700072DB" w14:textId="5AA88C12" w:rsidR="00454D72" w:rsidRDefault="00454D72" w:rsidP="006747B1">
      <w:pPr>
        <w:spacing w:line="276" w:lineRule="auto"/>
        <w:jc w:val="both"/>
        <w:rPr>
          <w:rFonts w:ascii="Arial" w:hAnsi="Arial" w:cs="Arial"/>
        </w:rPr>
      </w:pPr>
      <w:r w:rsidRPr="00454D72">
        <w:rPr>
          <w:rFonts w:ascii="Arial" w:hAnsi="Arial" w:cs="Arial"/>
        </w:rPr>
        <w:t>Adecuar las Matrices de Indicadores para Resultados (MIR) a los Programas</w:t>
      </w:r>
      <w:r w:rsidR="006747B1">
        <w:rPr>
          <w:rFonts w:ascii="Arial" w:hAnsi="Arial" w:cs="Arial"/>
        </w:rPr>
        <w:t xml:space="preserve"> </w:t>
      </w:r>
      <w:r w:rsidRPr="00454D72">
        <w:rPr>
          <w:rFonts w:ascii="Arial" w:hAnsi="Arial" w:cs="Arial"/>
        </w:rPr>
        <w:t>presupuestarios que se realizarán a partir del ejercicio 2021, atendiendo los detalles de la observación 2 de esta auditoría y de acuerdo con la Metodología del Marco Lógico (MML), con la finalidad de trabajar con matrices que mantengan una estructura construida con dicha metodología, que permita tener congruencia con la lógica vertical y horizontal.  En el caso de las actividades de cada programa presupuestario, se deberá establecer que éstas incluyan todas las acciones de manera que se cumpla con los criterios de “necesarias” y “suficientes” sin desagregar excesivamente la lista de las actividades,  al ser la MIR un resumen del programa y de esta manera cumplir la relación causa-efecto con los componentes y a la par, mantener la congruencia para el logro del propósito y a su vez del Fin; asimismo, verificar que cada indicador contenido en las fichas técnicas, cuenten con los elementos necesarios para su correcta evaluación y seguimiento.</w:t>
      </w:r>
    </w:p>
    <w:p w14:paraId="4BE516BD" w14:textId="77777777" w:rsidR="006747B1" w:rsidRPr="00454D72" w:rsidRDefault="006747B1" w:rsidP="006747B1">
      <w:pPr>
        <w:spacing w:line="276" w:lineRule="auto"/>
        <w:jc w:val="both"/>
        <w:rPr>
          <w:rFonts w:ascii="Arial" w:hAnsi="Arial" w:cs="Arial"/>
          <w:b/>
        </w:rPr>
      </w:pPr>
    </w:p>
    <w:p w14:paraId="6052A805" w14:textId="4CC6DC24" w:rsidR="004C687F" w:rsidRPr="006747B1" w:rsidRDefault="004C687F" w:rsidP="004C687F">
      <w:pPr>
        <w:autoSpaceDE w:val="0"/>
        <w:autoSpaceDN w:val="0"/>
        <w:adjustRightInd w:val="0"/>
        <w:spacing w:line="276" w:lineRule="auto"/>
        <w:jc w:val="both"/>
        <w:rPr>
          <w:rFonts w:ascii="Arial" w:hAnsi="Arial" w:cs="Arial"/>
          <w:bCs/>
        </w:rPr>
      </w:pPr>
      <w:r w:rsidRPr="006747B1">
        <w:rPr>
          <w:rFonts w:ascii="Arial" w:hAnsi="Arial" w:cs="Arial"/>
          <w:bCs/>
        </w:rPr>
        <w:t xml:space="preserve">Con motivo de la reunión de trabajo efectuada para la presentación de resultados finales de auditoría y observaciones preliminares, mediante oficio número IDAIPQROO/CA/0101/IX/2020 de fecha 30 de septiembre de 2020, el </w:t>
      </w:r>
      <w:r w:rsidRPr="006747B1">
        <w:rPr>
          <w:rFonts w:ascii="Arial" w:hAnsi="Arial" w:cs="Arial"/>
        </w:rPr>
        <w:t xml:space="preserve">Instituto de </w:t>
      </w:r>
      <w:r w:rsidRPr="006747B1">
        <w:rPr>
          <w:rFonts w:ascii="Arial" w:hAnsi="Arial" w:cs="Arial"/>
        </w:rPr>
        <w:lastRenderedPageBreak/>
        <w:t>Acceso a la Información y Protección de Datos Personales de Quintana Roo</w:t>
      </w:r>
      <w:r w:rsidR="006747B1">
        <w:rPr>
          <w:rFonts w:ascii="Arial" w:hAnsi="Arial" w:cs="Arial"/>
        </w:rPr>
        <w:t>,</w:t>
      </w:r>
      <w:r w:rsidRPr="006747B1">
        <w:rPr>
          <w:rFonts w:ascii="Arial" w:hAnsi="Arial" w:cs="Arial"/>
        </w:rPr>
        <w:t xml:space="preserve"> presenta</w:t>
      </w:r>
      <w:r w:rsidRPr="006747B1">
        <w:rPr>
          <w:rFonts w:ascii="Arial" w:hAnsi="Arial" w:cs="Arial"/>
          <w:color w:val="000000" w:themeColor="text1"/>
        </w:rPr>
        <w:t xml:space="preserve"> dos Matrices de Indicadores para Resultados del ejercicio fiscal 2021, correspondientes a los </w:t>
      </w:r>
      <w:r w:rsidR="006747B1">
        <w:rPr>
          <w:rFonts w:ascii="Arial" w:hAnsi="Arial" w:cs="Arial"/>
          <w:color w:val="000000" w:themeColor="text1"/>
        </w:rPr>
        <w:t>p</w:t>
      </w:r>
      <w:r w:rsidRPr="006747B1">
        <w:rPr>
          <w:rFonts w:ascii="Arial" w:hAnsi="Arial" w:cs="Arial"/>
          <w:color w:val="000000" w:themeColor="text1"/>
        </w:rPr>
        <w:t xml:space="preserve">rogramas presupuestarios E031-Acceso a la Información y Protección de Datos Personales en Posesión de Sujetos Obligados y </w:t>
      </w:r>
      <w:r w:rsidRPr="006747B1">
        <w:rPr>
          <w:rFonts w:ascii="Arial" w:hAnsi="Arial" w:cs="Arial"/>
        </w:rPr>
        <w:t>M</w:t>
      </w:r>
      <w:r w:rsidRPr="006747B1">
        <w:rPr>
          <w:rFonts w:ascii="Arial" w:hAnsi="Arial" w:cs="Arial"/>
          <w:color w:val="000000" w:themeColor="text1"/>
        </w:rPr>
        <w:t>001-Gestión y Apoyo Institucional, realizando las actualizaciones de acuerdo a la Metodología del Marco Lógico, la sintaxis establecida para para nivel, así como la modificación de los Supuestos y los Medios de Verificación; sin embargo, se identificaron que aún persisten algunas inconsistencias en las MIR, por otra parte, las fichas de indicadores se encuentran en proceso de validación por parte de la  Secretaría de Finanzas y Planeación (SEFIPLAN)</w:t>
      </w:r>
      <w:r w:rsidR="006747B1">
        <w:rPr>
          <w:rFonts w:ascii="Arial" w:hAnsi="Arial" w:cs="Arial"/>
          <w:color w:val="000000" w:themeColor="text1"/>
        </w:rPr>
        <w:t>. E</w:t>
      </w:r>
      <w:r w:rsidR="006747B1">
        <w:rPr>
          <w:rFonts w:ascii="Arial" w:hAnsi="Arial" w:cs="Arial"/>
          <w:bCs/>
        </w:rPr>
        <w:t>l equipo auditor revisó las Matrices de Indicadores para Resultados presentadas</w:t>
      </w:r>
      <w:r w:rsidRPr="006747B1">
        <w:rPr>
          <w:rFonts w:ascii="Arial" w:hAnsi="Arial" w:cs="Arial"/>
          <w:bCs/>
        </w:rPr>
        <w:t xml:space="preserve">, </w:t>
      </w:r>
      <w:r w:rsidR="006747B1">
        <w:rPr>
          <w:rFonts w:ascii="Arial" w:hAnsi="Arial" w:cs="Arial"/>
          <w:bCs/>
        </w:rPr>
        <w:t xml:space="preserve">observando que aún presentan inconsistencias; </w:t>
      </w:r>
      <w:r w:rsidRPr="006747B1">
        <w:rPr>
          <w:rFonts w:ascii="Arial" w:hAnsi="Arial" w:cs="Arial"/>
          <w:bCs/>
        </w:rPr>
        <w:t xml:space="preserve">se estableció la fecha compromiso para su </w:t>
      </w:r>
      <w:r w:rsidR="00526122" w:rsidRPr="006747B1">
        <w:rPr>
          <w:rFonts w:ascii="Arial" w:hAnsi="Arial" w:cs="Arial"/>
          <w:bCs/>
        </w:rPr>
        <w:t>corrección y entrega</w:t>
      </w:r>
      <w:r w:rsidR="006747B1">
        <w:rPr>
          <w:rFonts w:ascii="Arial" w:hAnsi="Arial" w:cs="Arial"/>
          <w:bCs/>
        </w:rPr>
        <w:t>,</w:t>
      </w:r>
      <w:r w:rsidRPr="006747B1">
        <w:rPr>
          <w:rFonts w:ascii="Arial" w:hAnsi="Arial" w:cs="Arial"/>
          <w:bCs/>
        </w:rPr>
        <w:t xml:space="preserve"> el 31 de marzo de 2021, por lo que, la observación persiste hasta su atención.</w:t>
      </w:r>
    </w:p>
    <w:p w14:paraId="49D2306D" w14:textId="7527990D" w:rsidR="000A4A8A" w:rsidRDefault="000A4A8A" w:rsidP="0072028E"/>
    <w:p w14:paraId="0B278F59" w14:textId="2DEF7ABF" w:rsidR="000A4A8A" w:rsidRDefault="000A4A8A" w:rsidP="0072028E"/>
    <w:p w14:paraId="15D39B54" w14:textId="400C52A0" w:rsidR="00C16679" w:rsidRPr="00CA3406" w:rsidRDefault="000A2E52" w:rsidP="0078651E">
      <w:pPr>
        <w:pStyle w:val="Ttulo2"/>
        <w:numPr>
          <w:ilvl w:val="0"/>
          <w:numId w:val="12"/>
        </w:numPr>
        <w:ind w:left="426" w:hanging="142"/>
        <w:rPr>
          <w:rFonts w:cs="Arial"/>
          <w:bCs/>
        </w:rPr>
      </w:pPr>
      <w:bookmarkStart w:id="36" w:name="_Toc51083027"/>
      <w:r w:rsidRPr="00CA3406">
        <w:rPr>
          <w:rFonts w:cs="Arial"/>
          <w:bCs/>
        </w:rPr>
        <w:t>COMENTARIOS DE LA ENTIDAD FISCALIZADA</w:t>
      </w:r>
      <w:bookmarkEnd w:id="34"/>
      <w:bookmarkEnd w:id="36"/>
    </w:p>
    <w:p w14:paraId="71FAAA4C" w14:textId="77777777" w:rsidR="00C16679" w:rsidRPr="00692326" w:rsidRDefault="00C16679" w:rsidP="008E47D6">
      <w:pPr>
        <w:spacing w:line="276" w:lineRule="auto"/>
      </w:pPr>
    </w:p>
    <w:p w14:paraId="38641C12" w14:textId="5F268FD9" w:rsidR="00C16679" w:rsidRPr="00E6436F" w:rsidRDefault="00C16679" w:rsidP="008E47D6">
      <w:pPr>
        <w:spacing w:line="276" w:lineRule="auto"/>
        <w:jc w:val="both"/>
        <w:rPr>
          <w:rFonts w:ascii="Arial" w:hAnsi="Arial" w:cs="Arial"/>
          <w:bCs/>
        </w:rPr>
      </w:pPr>
      <w:r w:rsidRPr="00E6436F">
        <w:rPr>
          <w:rFonts w:ascii="Arial" w:hAnsi="Arial" w:cs="Arial"/>
        </w:rPr>
        <w:t>Es importante señalar que la documentación proporcionada por</w:t>
      </w:r>
      <w:r w:rsidR="00D97920">
        <w:rPr>
          <w:rFonts w:ascii="Arial" w:hAnsi="Arial" w:cs="Arial"/>
        </w:rPr>
        <w:t xml:space="preserve"> la entidad fiscalizada</w:t>
      </w:r>
      <w:r w:rsidRPr="00E6436F">
        <w:rPr>
          <w:rFonts w:ascii="Arial" w:hAnsi="Arial" w:cs="Arial"/>
        </w:rPr>
        <w:t xml:space="preserve"> para aclarar o justificar los resultados y las observaciones presentadas en las reuniones de trabajo, fue analizada con el fin de determinar la procedencia</w:t>
      </w:r>
      <w:r>
        <w:rPr>
          <w:rFonts w:ascii="Arial" w:hAnsi="Arial" w:cs="Arial"/>
        </w:rPr>
        <w:t>,</w:t>
      </w:r>
      <w:r w:rsidRPr="00E6436F">
        <w:rPr>
          <w:rFonts w:ascii="Arial" w:hAnsi="Arial" w:cs="Arial"/>
        </w:rPr>
        <w:t xml:space="preserve"> de eliminar, rectificar o ratificar los resultados y las observaciones preliminares determinadas por la Auditoría Superior del Estado de Quintana Roo y que se presentó a esta entidad fiscalizadora para efectos de la elaboración definitiva de este Informe.</w:t>
      </w:r>
      <w:r w:rsidRPr="00E6436F">
        <w:rPr>
          <w:rFonts w:ascii="Arial" w:hAnsi="Arial" w:cs="Arial"/>
          <w:bCs/>
        </w:rPr>
        <w:t xml:space="preserve"> </w:t>
      </w:r>
    </w:p>
    <w:p w14:paraId="52D1E745" w14:textId="73C0D6BC" w:rsidR="0072028E" w:rsidRDefault="0072028E" w:rsidP="00C16679">
      <w:pPr>
        <w:jc w:val="both"/>
        <w:rPr>
          <w:rFonts w:ascii="Arial" w:hAnsi="Arial" w:cs="Arial"/>
          <w:b/>
          <w:bCs/>
        </w:rPr>
      </w:pPr>
    </w:p>
    <w:p w14:paraId="47FAF30A" w14:textId="77777777" w:rsidR="006E18C9" w:rsidRDefault="006E18C9" w:rsidP="00C16679">
      <w:pPr>
        <w:jc w:val="both"/>
        <w:rPr>
          <w:rFonts w:ascii="Arial" w:hAnsi="Arial" w:cs="Arial"/>
          <w:b/>
          <w:bCs/>
        </w:rPr>
      </w:pPr>
    </w:p>
    <w:p w14:paraId="59A22831" w14:textId="1120A49F" w:rsidR="00C16679" w:rsidRPr="00CA3406" w:rsidRDefault="000A2E52" w:rsidP="0078651E">
      <w:pPr>
        <w:pStyle w:val="Ttulo2"/>
        <w:numPr>
          <w:ilvl w:val="0"/>
          <w:numId w:val="12"/>
        </w:numPr>
        <w:ind w:left="426" w:hanging="142"/>
        <w:rPr>
          <w:rFonts w:cs="Arial"/>
        </w:rPr>
      </w:pPr>
      <w:bookmarkStart w:id="37" w:name="_Toc535405187"/>
      <w:bookmarkStart w:id="38" w:name="_Toc51083028"/>
      <w:r w:rsidRPr="00CA3406">
        <w:rPr>
          <w:rFonts w:cs="Arial"/>
        </w:rPr>
        <w:t>TABLA DE JUSTIFICACIONES Y ACLARACIONES DE LOS RESULTADOS</w:t>
      </w:r>
      <w:bookmarkEnd w:id="37"/>
      <w:bookmarkEnd w:id="38"/>
    </w:p>
    <w:p w14:paraId="3CECCFBF" w14:textId="77777777" w:rsidR="00C16679" w:rsidRDefault="00C16679" w:rsidP="00C16679">
      <w:pPr>
        <w:jc w:val="both"/>
        <w:rPr>
          <w:rFonts w:ascii="Arial" w:hAnsi="Arial" w:cs="Arial"/>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A759A5" w14:paraId="76F1679E" w14:textId="77777777" w:rsidTr="006F3702">
        <w:trPr>
          <w:trHeight w:val="269"/>
          <w:tblHeader/>
          <w:jc w:val="center"/>
        </w:trPr>
        <w:tc>
          <w:tcPr>
            <w:tcW w:w="6374" w:type="dxa"/>
            <w:tcBorders>
              <w:bottom w:val="single" w:sz="4" w:space="0" w:color="BFBFBF" w:themeColor="background1" w:themeShade="BF"/>
            </w:tcBorders>
            <w:shd w:val="clear" w:color="auto" w:fill="DBDBDB"/>
            <w:noWrap/>
            <w:vAlign w:val="center"/>
            <w:hideMark/>
          </w:tcPr>
          <w:p w14:paraId="63EA9419" w14:textId="77777777" w:rsidR="00C16679" w:rsidRPr="00A759A5" w:rsidRDefault="00C16679" w:rsidP="00A759A5">
            <w:pPr>
              <w:spacing w:line="276" w:lineRule="auto"/>
              <w:jc w:val="center"/>
              <w:rPr>
                <w:rFonts w:ascii="Arial" w:hAnsi="Arial" w:cs="Arial"/>
                <w:b/>
                <w:bCs/>
                <w:sz w:val="18"/>
                <w:szCs w:val="18"/>
                <w:lang w:val="es-ES"/>
              </w:rPr>
            </w:pPr>
            <w:r w:rsidRPr="00A759A5">
              <w:rPr>
                <w:rFonts w:ascii="Arial" w:hAnsi="Arial" w:cs="Arial"/>
                <w:b/>
                <w:bCs/>
                <w:sz w:val="18"/>
                <w:szCs w:val="18"/>
                <w:lang w:val="es-ES"/>
              </w:rPr>
              <w:t>Concepto</w:t>
            </w:r>
          </w:p>
        </w:tc>
        <w:tc>
          <w:tcPr>
            <w:tcW w:w="2421" w:type="dxa"/>
            <w:shd w:val="clear" w:color="auto" w:fill="DBDBDB"/>
            <w:noWrap/>
            <w:vAlign w:val="center"/>
            <w:hideMark/>
          </w:tcPr>
          <w:p w14:paraId="39406863" w14:textId="77777777" w:rsidR="00C16679" w:rsidRPr="00A759A5" w:rsidRDefault="00C16679" w:rsidP="00A759A5">
            <w:pPr>
              <w:spacing w:line="276" w:lineRule="auto"/>
              <w:jc w:val="center"/>
              <w:rPr>
                <w:rFonts w:ascii="Arial" w:hAnsi="Arial" w:cs="Arial"/>
                <w:b/>
                <w:bCs/>
                <w:sz w:val="18"/>
                <w:szCs w:val="18"/>
                <w:highlight w:val="yellow"/>
                <w:lang w:val="es-ES"/>
              </w:rPr>
            </w:pPr>
            <w:r w:rsidRPr="00A759A5">
              <w:rPr>
                <w:rFonts w:ascii="Arial" w:hAnsi="Arial" w:cs="Arial"/>
                <w:b/>
                <w:bCs/>
                <w:sz w:val="18"/>
                <w:szCs w:val="18"/>
                <w:lang w:val="es-ES"/>
              </w:rPr>
              <w:t>Atención</w:t>
            </w:r>
          </w:p>
        </w:tc>
      </w:tr>
      <w:tr w:rsidR="00C16679" w:rsidRPr="00A759A5" w14:paraId="6CE99691" w14:textId="77777777" w:rsidTr="002E28B2">
        <w:trPr>
          <w:trHeight w:val="269"/>
          <w:jc w:val="center"/>
        </w:trPr>
        <w:tc>
          <w:tcPr>
            <w:tcW w:w="6374" w:type="dxa"/>
            <w:tcBorders>
              <w:right w:val="nil"/>
            </w:tcBorders>
            <w:shd w:val="clear" w:color="000000" w:fill="D9D9D9"/>
            <w:noWrap/>
            <w:vAlign w:val="center"/>
          </w:tcPr>
          <w:p w14:paraId="26210772" w14:textId="26ABE1A3" w:rsidR="001C59FF" w:rsidRPr="00A759A5" w:rsidRDefault="001C59FF" w:rsidP="00A759A5">
            <w:pPr>
              <w:spacing w:line="276" w:lineRule="auto"/>
              <w:jc w:val="both"/>
              <w:rPr>
                <w:rFonts w:ascii="Arial" w:hAnsi="Arial" w:cs="Arial"/>
                <w:b/>
                <w:bCs/>
                <w:sz w:val="18"/>
                <w:szCs w:val="18"/>
                <w:highlight w:val="yellow"/>
                <w:lang w:val="es-ES"/>
              </w:rPr>
            </w:pPr>
            <w:r w:rsidRPr="00A759A5">
              <w:rPr>
                <w:rFonts w:ascii="Arial" w:hAnsi="Arial" w:cs="Arial"/>
                <w:b/>
                <w:sz w:val="18"/>
                <w:szCs w:val="18"/>
              </w:rPr>
              <w:t>Auditoría de Desempeño a los Programas Presupuestarios, Análisis de Matriz de Indicadores de Resultados y revisión del Cumplimiento de los Objetivos, Metas e Indicadores del Instituto de Acceso a la Información y Protección de Datos Personales de Quintana Roo</w:t>
            </w:r>
          </w:p>
        </w:tc>
        <w:tc>
          <w:tcPr>
            <w:tcW w:w="2421" w:type="dxa"/>
            <w:tcBorders>
              <w:left w:val="nil"/>
            </w:tcBorders>
            <w:shd w:val="clear" w:color="000000" w:fill="D9D9D9"/>
            <w:noWrap/>
            <w:vAlign w:val="center"/>
          </w:tcPr>
          <w:p w14:paraId="5C275B62" w14:textId="77777777" w:rsidR="00C16679" w:rsidRPr="00A759A5" w:rsidRDefault="00C16679" w:rsidP="00A759A5">
            <w:pPr>
              <w:spacing w:line="276" w:lineRule="auto"/>
              <w:jc w:val="both"/>
              <w:rPr>
                <w:rFonts w:ascii="Arial" w:hAnsi="Arial" w:cs="Arial"/>
                <w:b/>
                <w:bCs/>
                <w:sz w:val="18"/>
                <w:szCs w:val="18"/>
                <w:highlight w:val="yellow"/>
                <w:lang w:val="es-ES"/>
              </w:rPr>
            </w:pPr>
          </w:p>
        </w:tc>
      </w:tr>
      <w:tr w:rsidR="00C16679" w:rsidRPr="00A759A5" w14:paraId="1487889D" w14:textId="77777777" w:rsidTr="002E28B2">
        <w:trPr>
          <w:trHeight w:val="269"/>
          <w:jc w:val="center"/>
        </w:trPr>
        <w:tc>
          <w:tcPr>
            <w:tcW w:w="6374" w:type="dxa"/>
            <w:shd w:val="clear" w:color="auto" w:fill="auto"/>
            <w:vAlign w:val="center"/>
          </w:tcPr>
          <w:p w14:paraId="58421BF4" w14:textId="77777777" w:rsidR="00C16679" w:rsidRPr="00A759A5" w:rsidRDefault="004563C3" w:rsidP="00A759A5">
            <w:pPr>
              <w:spacing w:line="276" w:lineRule="auto"/>
              <w:jc w:val="both"/>
              <w:rPr>
                <w:rFonts w:ascii="Arial" w:hAnsi="Arial" w:cs="Arial"/>
                <w:sz w:val="18"/>
                <w:szCs w:val="18"/>
                <w:lang w:val="es-ES"/>
              </w:rPr>
            </w:pPr>
            <w:r w:rsidRPr="00A759A5">
              <w:rPr>
                <w:rFonts w:ascii="Arial" w:hAnsi="Arial" w:cs="Arial"/>
                <w:sz w:val="18"/>
                <w:szCs w:val="18"/>
              </w:rPr>
              <w:t>Control Interno/Ambiente de Control</w:t>
            </w:r>
          </w:p>
        </w:tc>
        <w:tc>
          <w:tcPr>
            <w:tcW w:w="2421" w:type="dxa"/>
            <w:shd w:val="clear" w:color="auto" w:fill="auto"/>
            <w:vAlign w:val="center"/>
          </w:tcPr>
          <w:p w14:paraId="7B375367" w14:textId="77777777" w:rsidR="00C16679" w:rsidRPr="00A759A5" w:rsidRDefault="00C16679" w:rsidP="00A759A5">
            <w:pPr>
              <w:spacing w:line="276" w:lineRule="auto"/>
              <w:jc w:val="center"/>
              <w:rPr>
                <w:rFonts w:ascii="Arial" w:hAnsi="Arial" w:cs="Arial"/>
                <w:sz w:val="18"/>
                <w:szCs w:val="18"/>
                <w:lang w:val="es-ES"/>
              </w:rPr>
            </w:pPr>
            <w:r w:rsidRPr="00A759A5">
              <w:rPr>
                <w:rFonts w:ascii="Arial" w:hAnsi="Arial" w:cs="Arial"/>
                <w:sz w:val="18"/>
                <w:szCs w:val="18"/>
                <w:lang w:val="es-ES"/>
              </w:rPr>
              <w:t>Seguimiento</w:t>
            </w:r>
          </w:p>
        </w:tc>
      </w:tr>
      <w:tr w:rsidR="004563C3" w:rsidRPr="00A759A5" w14:paraId="5ACDCEC9" w14:textId="77777777" w:rsidTr="002E28B2">
        <w:trPr>
          <w:trHeight w:val="269"/>
          <w:jc w:val="center"/>
        </w:trPr>
        <w:tc>
          <w:tcPr>
            <w:tcW w:w="6374" w:type="dxa"/>
            <w:shd w:val="clear" w:color="auto" w:fill="auto"/>
            <w:vAlign w:val="center"/>
          </w:tcPr>
          <w:p w14:paraId="2E909B9E" w14:textId="77777777" w:rsidR="004563C3" w:rsidRPr="00A759A5" w:rsidRDefault="004563C3" w:rsidP="00A759A5">
            <w:pPr>
              <w:spacing w:line="276" w:lineRule="auto"/>
              <w:jc w:val="both"/>
              <w:rPr>
                <w:rFonts w:ascii="Arial" w:hAnsi="Arial" w:cs="Arial"/>
                <w:sz w:val="18"/>
                <w:szCs w:val="18"/>
                <w:lang w:val="es-ES"/>
              </w:rPr>
            </w:pPr>
            <w:r w:rsidRPr="00A759A5">
              <w:rPr>
                <w:rFonts w:ascii="Arial" w:hAnsi="Arial" w:cs="Arial"/>
                <w:sz w:val="18"/>
                <w:szCs w:val="18"/>
                <w:lang w:val="es-ES"/>
              </w:rPr>
              <w:t>Matriz de Indicadores para Resultados</w:t>
            </w:r>
          </w:p>
        </w:tc>
        <w:tc>
          <w:tcPr>
            <w:tcW w:w="2421" w:type="dxa"/>
            <w:shd w:val="clear" w:color="auto" w:fill="auto"/>
            <w:vAlign w:val="center"/>
          </w:tcPr>
          <w:p w14:paraId="7CAED928" w14:textId="77777777" w:rsidR="004563C3" w:rsidRPr="00A759A5" w:rsidRDefault="004563C3" w:rsidP="00A759A5">
            <w:pPr>
              <w:spacing w:line="276" w:lineRule="auto"/>
              <w:jc w:val="center"/>
              <w:rPr>
                <w:rFonts w:ascii="Arial" w:hAnsi="Arial" w:cs="Arial"/>
                <w:sz w:val="18"/>
                <w:szCs w:val="18"/>
                <w:lang w:val="es-ES"/>
              </w:rPr>
            </w:pPr>
            <w:r w:rsidRPr="00A759A5">
              <w:rPr>
                <w:rFonts w:ascii="Arial" w:hAnsi="Arial" w:cs="Arial"/>
                <w:sz w:val="18"/>
                <w:szCs w:val="18"/>
                <w:lang w:val="es-ES"/>
              </w:rPr>
              <w:t>Seguimiento</w:t>
            </w:r>
          </w:p>
        </w:tc>
      </w:tr>
      <w:tr w:rsidR="004563C3" w:rsidRPr="00A759A5" w14:paraId="4DE12A92" w14:textId="77777777" w:rsidTr="002E28B2">
        <w:trPr>
          <w:trHeight w:val="269"/>
          <w:jc w:val="center"/>
        </w:trPr>
        <w:tc>
          <w:tcPr>
            <w:tcW w:w="8795" w:type="dxa"/>
            <w:gridSpan w:val="2"/>
            <w:shd w:val="clear" w:color="auto" w:fill="auto"/>
            <w:vAlign w:val="center"/>
          </w:tcPr>
          <w:p w14:paraId="2482ED95" w14:textId="77777777" w:rsidR="004563C3" w:rsidRPr="00A759A5" w:rsidRDefault="004563C3" w:rsidP="00A759A5">
            <w:pPr>
              <w:spacing w:line="276" w:lineRule="auto"/>
              <w:jc w:val="both"/>
              <w:rPr>
                <w:rFonts w:ascii="Arial" w:hAnsi="Arial" w:cs="Arial"/>
                <w:sz w:val="18"/>
                <w:szCs w:val="18"/>
                <w:highlight w:val="yellow"/>
                <w:lang w:val="es-ES"/>
              </w:rPr>
            </w:pPr>
            <w:r w:rsidRPr="00A759A5">
              <w:rPr>
                <w:rFonts w:ascii="Arial" w:hAnsi="Arial" w:cs="Arial"/>
                <w:b/>
                <w:bCs/>
                <w:sz w:val="18"/>
                <w:szCs w:val="18"/>
                <w:lang w:val="es-ES"/>
              </w:rPr>
              <w:lastRenderedPageBreak/>
              <w:t>Recomendación al Desempeño:</w:t>
            </w:r>
            <w:r w:rsidRPr="00A759A5">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C16679" w:rsidRPr="00A759A5"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A759A5" w:rsidRDefault="00C16679" w:rsidP="00A759A5">
            <w:pPr>
              <w:spacing w:line="276" w:lineRule="auto"/>
              <w:jc w:val="both"/>
              <w:rPr>
                <w:rFonts w:ascii="Arial" w:hAnsi="Arial" w:cs="Arial"/>
                <w:sz w:val="18"/>
                <w:szCs w:val="18"/>
                <w:lang w:val="es-ES"/>
              </w:rPr>
            </w:pPr>
            <w:r w:rsidRPr="00A759A5">
              <w:rPr>
                <w:rFonts w:ascii="Arial" w:hAnsi="Arial" w:cs="Arial"/>
                <w:b/>
                <w:bCs/>
                <w:sz w:val="18"/>
                <w:szCs w:val="18"/>
                <w:lang w:val="es-ES"/>
              </w:rPr>
              <w:t>Atendid</w:t>
            </w:r>
            <w:r w:rsidR="004563C3" w:rsidRPr="00A759A5">
              <w:rPr>
                <w:rFonts w:ascii="Arial" w:hAnsi="Arial" w:cs="Arial"/>
                <w:b/>
                <w:bCs/>
                <w:sz w:val="18"/>
                <w:szCs w:val="18"/>
                <w:lang w:val="es-ES"/>
              </w:rPr>
              <w:t>o</w:t>
            </w:r>
            <w:r w:rsidR="00454B25" w:rsidRPr="00A759A5">
              <w:rPr>
                <w:rFonts w:ascii="Arial" w:hAnsi="Arial" w:cs="Arial"/>
                <w:sz w:val="18"/>
                <w:szCs w:val="18"/>
                <w:lang w:val="es-ES"/>
              </w:rPr>
              <w:t xml:space="preserve">: Información remitida por la </w:t>
            </w:r>
            <w:r w:rsidR="004563C3" w:rsidRPr="00A759A5">
              <w:rPr>
                <w:rFonts w:ascii="Arial" w:hAnsi="Arial" w:cs="Arial"/>
                <w:sz w:val="18"/>
                <w:szCs w:val="18"/>
                <w:lang w:val="es-ES"/>
              </w:rPr>
              <w:t xml:space="preserve">Entidad Fiscalizada </w:t>
            </w:r>
            <w:r w:rsidRPr="00A759A5">
              <w:rPr>
                <w:rFonts w:ascii="Arial" w:hAnsi="Arial" w:cs="Arial"/>
                <w:sz w:val="18"/>
                <w:szCs w:val="18"/>
                <w:lang w:val="es-ES"/>
              </w:rPr>
              <w:t>en atención</w:t>
            </w:r>
            <w:r w:rsidR="004563C3" w:rsidRPr="00A759A5">
              <w:rPr>
                <w:rFonts w:ascii="Arial" w:hAnsi="Arial" w:cs="Arial"/>
                <w:sz w:val="18"/>
                <w:szCs w:val="18"/>
                <w:lang w:val="es-ES"/>
              </w:rPr>
              <w:t xml:space="preserve"> a los resultados preliminares.</w:t>
            </w:r>
          </w:p>
        </w:tc>
      </w:tr>
      <w:tr w:rsidR="00C16679" w:rsidRPr="00A759A5" w14:paraId="23AE2E52" w14:textId="77777777" w:rsidTr="002E28B2">
        <w:trPr>
          <w:trHeight w:val="269"/>
          <w:jc w:val="center"/>
        </w:trPr>
        <w:tc>
          <w:tcPr>
            <w:tcW w:w="8795" w:type="dxa"/>
            <w:gridSpan w:val="2"/>
            <w:shd w:val="clear" w:color="auto" w:fill="auto"/>
            <w:vAlign w:val="center"/>
            <w:hideMark/>
          </w:tcPr>
          <w:p w14:paraId="1772A199" w14:textId="77777777" w:rsidR="00C16679" w:rsidRPr="00A759A5" w:rsidRDefault="00C16679" w:rsidP="00A759A5">
            <w:pPr>
              <w:spacing w:line="276" w:lineRule="auto"/>
              <w:jc w:val="both"/>
              <w:rPr>
                <w:rFonts w:ascii="Arial" w:hAnsi="Arial" w:cs="Arial"/>
                <w:sz w:val="18"/>
                <w:szCs w:val="18"/>
                <w:lang w:val="es-ES"/>
              </w:rPr>
            </w:pPr>
            <w:r w:rsidRPr="00A759A5">
              <w:rPr>
                <w:rFonts w:ascii="Arial" w:hAnsi="Arial" w:cs="Arial"/>
                <w:b/>
                <w:bCs/>
                <w:sz w:val="18"/>
                <w:szCs w:val="18"/>
                <w:lang w:val="es-ES"/>
              </w:rPr>
              <w:t>No atendid</w:t>
            </w:r>
            <w:r w:rsidR="004563C3" w:rsidRPr="00A759A5">
              <w:rPr>
                <w:rFonts w:ascii="Arial" w:hAnsi="Arial" w:cs="Arial"/>
                <w:b/>
                <w:bCs/>
                <w:sz w:val="18"/>
                <w:szCs w:val="18"/>
                <w:lang w:val="es-ES"/>
              </w:rPr>
              <w:t>o</w:t>
            </w:r>
            <w:r w:rsidRPr="00A759A5">
              <w:rPr>
                <w:rFonts w:ascii="Arial" w:hAnsi="Arial" w:cs="Arial"/>
                <w:sz w:val="18"/>
                <w:szCs w:val="18"/>
                <w:lang w:val="es-ES"/>
              </w:rPr>
              <w:t xml:space="preserve">: Las observaciones que no se atendieron en la reunión de trabajo de </w:t>
            </w:r>
            <w:r w:rsidR="00454B25" w:rsidRPr="00A759A5">
              <w:rPr>
                <w:rFonts w:ascii="Arial" w:hAnsi="Arial" w:cs="Arial"/>
                <w:sz w:val="18"/>
                <w:szCs w:val="18"/>
                <w:lang w:val="es-ES"/>
              </w:rPr>
              <w:t xml:space="preserve">resultados preliminares por la </w:t>
            </w:r>
            <w:r w:rsidR="004563C3" w:rsidRPr="00A759A5">
              <w:rPr>
                <w:rFonts w:ascii="Arial" w:hAnsi="Arial" w:cs="Arial"/>
                <w:sz w:val="18"/>
                <w:szCs w:val="18"/>
                <w:lang w:val="es-ES"/>
              </w:rPr>
              <w:t>Entidad Fiscalizada.</w:t>
            </w:r>
          </w:p>
        </w:tc>
      </w:tr>
      <w:tr w:rsidR="00C16679" w:rsidRPr="00A759A5"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A759A5" w:rsidRDefault="00C16679" w:rsidP="00A759A5">
            <w:pPr>
              <w:spacing w:line="276" w:lineRule="auto"/>
              <w:jc w:val="both"/>
              <w:rPr>
                <w:rFonts w:ascii="Arial" w:hAnsi="Arial" w:cs="Arial"/>
                <w:b/>
                <w:bCs/>
                <w:sz w:val="18"/>
                <w:szCs w:val="18"/>
                <w:lang w:val="es-ES"/>
              </w:rPr>
            </w:pPr>
            <w:r w:rsidRPr="00A759A5">
              <w:rPr>
                <w:rFonts w:ascii="Arial" w:hAnsi="Arial" w:cs="Arial"/>
                <w:b/>
                <w:bCs/>
                <w:sz w:val="18"/>
                <w:szCs w:val="18"/>
                <w:lang w:val="es-ES"/>
              </w:rPr>
              <w:t>Seguimiento de las Recomendaciones</w:t>
            </w:r>
            <w:r w:rsidRPr="00A759A5">
              <w:rPr>
                <w:rFonts w:ascii="Arial" w:hAnsi="Arial" w:cs="Arial"/>
                <w:sz w:val="18"/>
                <w:szCs w:val="18"/>
                <w:lang w:val="es-ES"/>
              </w:rPr>
              <w:t>: Las observaciones en las que se estableció una fe</w:t>
            </w:r>
            <w:r w:rsidR="00454B25" w:rsidRPr="00A759A5">
              <w:rPr>
                <w:rFonts w:ascii="Arial" w:hAnsi="Arial" w:cs="Arial"/>
                <w:sz w:val="18"/>
                <w:szCs w:val="18"/>
                <w:lang w:val="es-ES"/>
              </w:rPr>
              <w:t xml:space="preserve">cha compromiso por parte de la </w:t>
            </w:r>
            <w:r w:rsidR="004563C3" w:rsidRPr="00A759A5">
              <w:rPr>
                <w:rFonts w:ascii="Arial" w:hAnsi="Arial" w:cs="Arial"/>
                <w:sz w:val="18"/>
                <w:szCs w:val="18"/>
                <w:lang w:val="es-ES"/>
              </w:rPr>
              <w:t xml:space="preserve">Entidad Fiscalizada </w:t>
            </w:r>
            <w:r w:rsidRPr="00A759A5">
              <w:rPr>
                <w:rFonts w:ascii="Arial" w:hAnsi="Arial" w:cs="Arial"/>
                <w:sz w:val="18"/>
                <w:szCs w:val="18"/>
                <w:lang w:val="es-ES"/>
              </w:rPr>
              <w:t>para su atención en la mejora e implementación de las recomendaciones.</w:t>
            </w:r>
          </w:p>
        </w:tc>
      </w:tr>
    </w:tbl>
    <w:p w14:paraId="561C860B" w14:textId="64D44AB2" w:rsidR="00C16679" w:rsidRDefault="00C16679" w:rsidP="00C16679">
      <w:pPr>
        <w:jc w:val="both"/>
        <w:rPr>
          <w:rFonts w:ascii="Arial" w:hAnsi="Arial" w:cs="Arial"/>
          <w:b/>
          <w:bCs/>
          <w:szCs w:val="26"/>
        </w:rPr>
      </w:pPr>
    </w:p>
    <w:p w14:paraId="441865E6" w14:textId="77777777" w:rsidR="00B5466C" w:rsidRDefault="00B5466C" w:rsidP="00C16679">
      <w:pPr>
        <w:jc w:val="both"/>
        <w:rPr>
          <w:rFonts w:ascii="Arial" w:hAnsi="Arial" w:cs="Arial"/>
          <w:b/>
          <w:bCs/>
          <w:szCs w:val="26"/>
        </w:rPr>
      </w:pPr>
    </w:p>
    <w:p w14:paraId="6190C9F3" w14:textId="77777777" w:rsidR="00B5466C" w:rsidRDefault="00B5466C" w:rsidP="00C16679">
      <w:pPr>
        <w:jc w:val="both"/>
        <w:rPr>
          <w:rFonts w:ascii="Arial" w:hAnsi="Arial" w:cs="Arial"/>
          <w:b/>
          <w:bCs/>
          <w:szCs w:val="26"/>
        </w:rPr>
      </w:pPr>
    </w:p>
    <w:p w14:paraId="0D3AA9A3" w14:textId="1C88CC63" w:rsidR="00C16679" w:rsidRPr="00EC018B" w:rsidRDefault="00C16679" w:rsidP="0078651E">
      <w:pPr>
        <w:pStyle w:val="Ttulo2"/>
        <w:numPr>
          <w:ilvl w:val="0"/>
          <w:numId w:val="12"/>
        </w:numPr>
        <w:ind w:left="567" w:hanging="283"/>
        <w:rPr>
          <w:rFonts w:cs="Arial"/>
        </w:rPr>
      </w:pPr>
      <w:bookmarkStart w:id="39" w:name="_Toc535405188"/>
      <w:bookmarkStart w:id="40" w:name="_Toc51083029"/>
      <w:bookmarkStart w:id="41" w:name="_Hlk53392979"/>
      <w:r w:rsidRPr="00EC018B">
        <w:rPr>
          <w:rFonts w:cs="Arial"/>
        </w:rPr>
        <w:t>DICTAMEN</w:t>
      </w:r>
      <w:bookmarkEnd w:id="39"/>
      <w:bookmarkEnd w:id="40"/>
    </w:p>
    <w:bookmarkEnd w:id="41"/>
    <w:p w14:paraId="1E8A88B1" w14:textId="77777777" w:rsidR="00C16679" w:rsidRPr="00DC3137" w:rsidRDefault="00C16679" w:rsidP="00C16679">
      <w:pPr>
        <w:spacing w:line="360" w:lineRule="auto"/>
        <w:ind w:right="190"/>
        <w:jc w:val="both"/>
        <w:rPr>
          <w:rFonts w:ascii="Arial" w:hAnsi="Arial" w:cs="Arial"/>
          <w:b/>
        </w:rPr>
      </w:pPr>
    </w:p>
    <w:p w14:paraId="43AAA3CD" w14:textId="41EA73E6" w:rsidR="00E85164" w:rsidRPr="00F8581B" w:rsidRDefault="0016491F" w:rsidP="0016491F">
      <w:pPr>
        <w:spacing w:line="276" w:lineRule="auto"/>
        <w:jc w:val="both"/>
        <w:rPr>
          <w:rFonts w:ascii="Arial" w:hAnsi="Arial" w:cs="Arial"/>
        </w:rPr>
      </w:pPr>
      <w:r w:rsidRPr="0016491F">
        <w:rPr>
          <w:rFonts w:ascii="Arial" w:hAnsi="Arial" w:cs="Arial"/>
        </w:rPr>
        <w:t xml:space="preserve">El presente dictamen se emite con fecha </w:t>
      </w:r>
      <w:r w:rsidR="00667AC3">
        <w:rPr>
          <w:rFonts w:ascii="Arial" w:hAnsi="Arial" w:cs="Arial"/>
        </w:rPr>
        <w:t>15</w:t>
      </w:r>
      <w:r w:rsidRPr="0016491F">
        <w:rPr>
          <w:rFonts w:ascii="Arial" w:hAnsi="Arial" w:cs="Arial"/>
        </w:rPr>
        <w:t xml:space="preserve"> de octubre de 20</w:t>
      </w:r>
      <w:r>
        <w:rPr>
          <w:rFonts w:ascii="Arial" w:hAnsi="Arial" w:cs="Arial"/>
        </w:rPr>
        <w:t>20</w:t>
      </w:r>
      <w:r w:rsidRPr="0016491F">
        <w:rPr>
          <w:rFonts w:ascii="Arial" w:hAnsi="Arial" w:cs="Arial"/>
        </w:rPr>
        <w:t>, fecha de conclusión de los</w:t>
      </w:r>
      <w:r>
        <w:rPr>
          <w:rFonts w:ascii="Arial" w:hAnsi="Arial" w:cs="Arial"/>
        </w:rPr>
        <w:t xml:space="preserve"> </w:t>
      </w:r>
      <w:r w:rsidRPr="0016491F">
        <w:rPr>
          <w:rFonts w:ascii="Arial" w:hAnsi="Arial" w:cs="Arial"/>
        </w:rPr>
        <w:t>trabajos de auditoría, la cual se practicó sobre la información proporcionada por la entidad</w:t>
      </w:r>
      <w:r>
        <w:rPr>
          <w:rFonts w:ascii="Arial" w:hAnsi="Arial" w:cs="Arial"/>
        </w:rPr>
        <w:t xml:space="preserve"> </w:t>
      </w:r>
      <w:r w:rsidRPr="0016491F">
        <w:rPr>
          <w:rFonts w:ascii="Arial" w:hAnsi="Arial" w:cs="Arial"/>
        </w:rPr>
        <w:t>fiscalizada de cuya veracidad es responsable; fue planeada y desarrollada de acuerdo con</w:t>
      </w:r>
      <w:r>
        <w:rPr>
          <w:rFonts w:ascii="Arial" w:hAnsi="Arial" w:cs="Arial"/>
        </w:rPr>
        <w:t xml:space="preserve"> </w:t>
      </w:r>
      <w:r w:rsidRPr="0016491F">
        <w:rPr>
          <w:rFonts w:ascii="Arial" w:hAnsi="Arial" w:cs="Arial"/>
        </w:rPr>
        <w:t xml:space="preserve">el alcance y objetivo para </w:t>
      </w:r>
      <w:r w:rsidR="00E85164" w:rsidRPr="00D86262">
        <w:rPr>
          <w:rFonts w:ascii="Arial" w:hAnsi="Arial" w:cs="Arial"/>
        </w:rPr>
        <w:t xml:space="preserve">el </w:t>
      </w:r>
      <w:r w:rsidR="00C01309">
        <w:rPr>
          <w:rFonts w:ascii="Arial" w:hAnsi="Arial" w:cs="Arial"/>
        </w:rPr>
        <w:t>a</w:t>
      </w:r>
      <w:r w:rsidR="001E240F" w:rsidRPr="00D86262">
        <w:rPr>
          <w:rFonts w:ascii="Arial" w:hAnsi="Arial" w:cs="Arial"/>
        </w:rPr>
        <w:t xml:space="preserve">nálisis y revisión </w:t>
      </w:r>
      <w:r w:rsidR="001E240F" w:rsidRPr="00CF2FC2">
        <w:rPr>
          <w:rFonts w:ascii="Arial" w:hAnsi="Arial" w:cs="Arial"/>
        </w:rPr>
        <w:t>de</w:t>
      </w:r>
      <w:r w:rsidR="00F75E89" w:rsidRPr="00CF2FC2">
        <w:rPr>
          <w:rFonts w:ascii="Arial" w:hAnsi="Arial" w:cs="Arial"/>
        </w:rPr>
        <w:t xml:space="preserve"> la normativa de mediano plazo y Matriz de Indicadores para Resultados de los programas aprobados</w:t>
      </w:r>
      <w:r w:rsidR="00A84150" w:rsidRPr="00CF2FC2">
        <w:rPr>
          <w:rFonts w:ascii="Arial" w:hAnsi="Arial" w:cs="Arial"/>
        </w:rPr>
        <w:t xml:space="preserve"> </w:t>
      </w:r>
      <w:r w:rsidR="00D86262" w:rsidRPr="00CF2FC2">
        <w:rPr>
          <w:rFonts w:ascii="Arial" w:hAnsi="Arial" w:cs="Arial"/>
        </w:rPr>
        <w:t>del Instituto de Acceso a la Información y Protección de Datos Personales de Quintana Roo</w:t>
      </w:r>
      <w:r w:rsidR="00E85164" w:rsidRPr="00CF2FC2">
        <w:rPr>
          <w:rFonts w:ascii="Arial" w:hAnsi="Arial" w:cs="Arial"/>
        </w:rPr>
        <w:t>, con el</w:t>
      </w:r>
      <w:r w:rsidR="001E240F" w:rsidRPr="00CF2FC2">
        <w:rPr>
          <w:rFonts w:ascii="Arial" w:hAnsi="Arial" w:cs="Arial"/>
        </w:rPr>
        <w:t xml:space="preserve"> fin de verificar</w:t>
      </w:r>
      <w:r w:rsidR="00F75E89" w:rsidRPr="00CF2FC2">
        <w:rPr>
          <w:rFonts w:ascii="Arial" w:hAnsi="Arial" w:cs="Arial"/>
        </w:rPr>
        <w:t xml:space="preserve"> la homologación de la normativa</w:t>
      </w:r>
      <w:r w:rsidR="00F75E89">
        <w:rPr>
          <w:rFonts w:ascii="Arial" w:hAnsi="Arial" w:cs="Arial"/>
        </w:rPr>
        <w:t xml:space="preserve"> y </w:t>
      </w:r>
      <w:r w:rsidR="00E87E7D" w:rsidRPr="00F8581B">
        <w:rPr>
          <w:rFonts w:ascii="Arial" w:hAnsi="Arial" w:cs="Arial"/>
        </w:rPr>
        <w:t xml:space="preserve">el cumplimiento de las disposiciones señaladas en la Metodología de Marco Lógico </w:t>
      </w:r>
      <w:r w:rsidR="00F75E89">
        <w:rPr>
          <w:rFonts w:ascii="Arial" w:hAnsi="Arial" w:cs="Arial"/>
        </w:rPr>
        <w:t>para</w:t>
      </w:r>
      <w:r w:rsidR="00E87E7D" w:rsidRPr="00F8581B">
        <w:rPr>
          <w:rFonts w:ascii="Arial" w:hAnsi="Arial" w:cs="Arial"/>
        </w:rPr>
        <w:t xml:space="preserve"> la elaboración de las Matrices de Indicadores para Resultados, así como corroborar el cumplimiento de los objetivos y metas de los indicadores establecidos en el presupuesto de egresos. </w:t>
      </w:r>
      <w:r w:rsidR="00E85164" w:rsidRPr="00F8581B">
        <w:rPr>
          <w:rFonts w:ascii="Arial" w:hAnsi="Arial" w:cs="Arial"/>
        </w:rPr>
        <w:t xml:space="preserve">Se aplicaron los procedimientos y las pruebas selectivas que se consideraron necesarios; en consecuencia, existe una base razonable para sustentar el presente dictamen. </w:t>
      </w:r>
    </w:p>
    <w:p w14:paraId="045ABD7A" w14:textId="77777777" w:rsidR="00C16679" w:rsidRPr="00F8581B" w:rsidRDefault="00C16679" w:rsidP="003A19AB">
      <w:pPr>
        <w:spacing w:line="276" w:lineRule="auto"/>
        <w:ind w:right="190"/>
        <w:jc w:val="both"/>
        <w:rPr>
          <w:rFonts w:ascii="Arial" w:hAnsi="Arial" w:cs="Arial"/>
        </w:rPr>
      </w:pPr>
    </w:p>
    <w:p w14:paraId="2823A82B" w14:textId="77777777" w:rsidR="00E85164" w:rsidRPr="00284240" w:rsidRDefault="00815A60" w:rsidP="003A19AB">
      <w:pPr>
        <w:spacing w:line="276" w:lineRule="auto"/>
        <w:jc w:val="both"/>
        <w:rPr>
          <w:rFonts w:ascii="Arial" w:hAnsi="Arial" w:cs="Arial"/>
        </w:rPr>
      </w:pPr>
      <w:r w:rsidRPr="00284240">
        <w:rPr>
          <w:rFonts w:ascii="Arial" w:hAnsi="Arial" w:cs="Arial"/>
        </w:rPr>
        <w:t>En opinión de la Auditoría Superior del Estado</w:t>
      </w:r>
      <w:r w:rsidR="00097BB0" w:rsidRPr="00284240">
        <w:rPr>
          <w:rFonts w:ascii="Arial" w:hAnsi="Arial" w:cs="Arial"/>
        </w:rPr>
        <w:t xml:space="preserve"> de Quintana Roo</w:t>
      </w:r>
      <w:r w:rsidR="00E85164" w:rsidRPr="00284240">
        <w:rPr>
          <w:rFonts w:ascii="Arial" w:hAnsi="Arial" w:cs="Arial"/>
        </w:rPr>
        <w:t xml:space="preserve"> se identificaron oportunidades, áreas de mejora, fortalezas y debilidades que se deberán atender como parte de las recomendaciones emitidas.</w:t>
      </w:r>
    </w:p>
    <w:p w14:paraId="7AF751F5" w14:textId="7A579D7F" w:rsidR="00C16679" w:rsidRDefault="00C16679" w:rsidP="008D699F">
      <w:pPr>
        <w:tabs>
          <w:tab w:val="left" w:pos="3465"/>
        </w:tabs>
        <w:spacing w:line="276" w:lineRule="auto"/>
        <w:jc w:val="both"/>
        <w:rPr>
          <w:rFonts w:ascii="Arial" w:hAnsi="Arial"/>
        </w:rPr>
      </w:pPr>
    </w:p>
    <w:p w14:paraId="18637F90" w14:textId="77777777" w:rsidR="00F75E89" w:rsidRDefault="00F75E89" w:rsidP="00F75E89">
      <w:pPr>
        <w:spacing w:line="276" w:lineRule="auto"/>
        <w:jc w:val="both"/>
        <w:rPr>
          <w:rFonts w:ascii="Arial" w:hAnsi="Arial" w:cs="Arial"/>
        </w:rPr>
      </w:pPr>
      <w:r>
        <w:rPr>
          <w:rFonts w:ascii="Arial" w:hAnsi="Arial" w:cs="Arial"/>
        </w:rPr>
        <w:t xml:space="preserve">En materia de control interno, se identificaron aspectos que requieren ajustes en el marco normativo interno, por lo que deberán continuar con su actualización y </w:t>
      </w:r>
      <w:r>
        <w:rPr>
          <w:rFonts w:ascii="Arial" w:hAnsi="Arial" w:cs="Arial"/>
        </w:rPr>
        <w:lastRenderedPageBreak/>
        <w:t>fortalecimiento, hasta lograr gestionar su autorización y publicación correspondiente en el Periódico Oficial del Estado de Quintana Roo.</w:t>
      </w:r>
    </w:p>
    <w:p w14:paraId="3C21659E" w14:textId="77777777" w:rsidR="00F75E89" w:rsidRDefault="00F75E89" w:rsidP="00F75E89">
      <w:pPr>
        <w:tabs>
          <w:tab w:val="left" w:pos="3465"/>
        </w:tabs>
        <w:spacing w:line="276" w:lineRule="auto"/>
        <w:jc w:val="both"/>
        <w:rPr>
          <w:rFonts w:ascii="Arial" w:hAnsi="Arial"/>
        </w:rPr>
      </w:pPr>
    </w:p>
    <w:p w14:paraId="7D102A1F" w14:textId="6ADD8B1C" w:rsidR="00A77B43" w:rsidRPr="00284240" w:rsidRDefault="008D699F" w:rsidP="008D699F">
      <w:pPr>
        <w:spacing w:line="276" w:lineRule="auto"/>
        <w:jc w:val="both"/>
        <w:rPr>
          <w:rFonts w:ascii="Arial" w:hAnsi="Arial" w:cs="Arial"/>
        </w:rPr>
      </w:pPr>
      <w:r w:rsidRPr="00284240">
        <w:rPr>
          <w:rFonts w:ascii="Arial" w:hAnsi="Arial"/>
        </w:rPr>
        <w:t>El</w:t>
      </w:r>
      <w:r w:rsidR="00284240" w:rsidRPr="00284240">
        <w:rPr>
          <w:rFonts w:ascii="Arial" w:hAnsi="Arial"/>
        </w:rPr>
        <w:t xml:space="preserve"> presupuesto autorizado para el Instituto</w:t>
      </w:r>
      <w:r w:rsidRPr="00284240">
        <w:rPr>
          <w:rFonts w:ascii="Arial" w:hAnsi="Arial"/>
        </w:rPr>
        <w:t xml:space="preserve"> </w:t>
      </w:r>
      <w:r w:rsidR="00CF2FC2">
        <w:rPr>
          <w:rFonts w:ascii="Arial" w:hAnsi="Arial"/>
        </w:rPr>
        <w:t xml:space="preserve">tuvo ampliaciones presupuestales y </w:t>
      </w:r>
      <w:r w:rsidRPr="00284240">
        <w:rPr>
          <w:rFonts w:ascii="Arial" w:hAnsi="Arial"/>
        </w:rPr>
        <w:t xml:space="preserve">fue distribuido en su totalidad en los programas presupuestarios autorizados </w:t>
      </w:r>
      <w:r w:rsidR="00284240" w:rsidRPr="00284240">
        <w:rPr>
          <w:rFonts w:ascii="Arial" w:hAnsi="Arial"/>
        </w:rPr>
        <w:t>para el ejercicio fiscal 2019</w:t>
      </w:r>
      <w:r w:rsidRPr="00284240">
        <w:rPr>
          <w:rFonts w:ascii="Arial" w:hAnsi="Arial" w:cs="Arial"/>
        </w:rPr>
        <w:t xml:space="preserve">; </w:t>
      </w:r>
      <w:r w:rsidRPr="00284240">
        <w:rPr>
          <w:rFonts w:ascii="Arial" w:hAnsi="Arial"/>
        </w:rPr>
        <w:t xml:space="preserve">la </w:t>
      </w:r>
      <w:r w:rsidR="00FF5681" w:rsidRPr="00284240">
        <w:rPr>
          <w:rFonts w:ascii="Arial" w:hAnsi="Arial" w:cs="Arial"/>
        </w:rPr>
        <w:t>Matriz</w:t>
      </w:r>
      <w:r w:rsidRPr="00284240">
        <w:rPr>
          <w:rFonts w:ascii="Arial" w:hAnsi="Arial" w:cs="Arial"/>
        </w:rPr>
        <w:t xml:space="preserve"> de </w:t>
      </w:r>
      <w:r w:rsidR="00FF5681" w:rsidRPr="00284240">
        <w:rPr>
          <w:rFonts w:ascii="Arial" w:hAnsi="Arial" w:cs="Arial"/>
        </w:rPr>
        <w:t>Indicadores</w:t>
      </w:r>
      <w:r w:rsidRPr="00284240">
        <w:rPr>
          <w:rFonts w:ascii="Arial" w:hAnsi="Arial" w:cs="Arial"/>
        </w:rPr>
        <w:t xml:space="preserve"> para </w:t>
      </w:r>
      <w:r w:rsidR="00FF5681" w:rsidRPr="00284240">
        <w:rPr>
          <w:rFonts w:ascii="Arial" w:hAnsi="Arial" w:cs="Arial"/>
        </w:rPr>
        <w:t>Resultados</w:t>
      </w:r>
      <w:r w:rsidRPr="00284240">
        <w:rPr>
          <w:rFonts w:ascii="Arial" w:hAnsi="Arial" w:cs="Arial"/>
        </w:rPr>
        <w:t xml:space="preserve"> de los programas presupuestarios presentó deficiencias en la redacción de sus elementos</w:t>
      </w:r>
      <w:r w:rsidR="00CF2FC2">
        <w:rPr>
          <w:rFonts w:ascii="Arial" w:hAnsi="Arial" w:cs="Arial"/>
        </w:rPr>
        <w:t>,</w:t>
      </w:r>
      <w:r w:rsidRPr="00284240">
        <w:rPr>
          <w:rFonts w:ascii="Arial" w:hAnsi="Arial" w:cs="Arial"/>
        </w:rPr>
        <w:t xml:space="preserve"> </w:t>
      </w:r>
      <w:r w:rsidR="00CF2FC2">
        <w:rPr>
          <w:rFonts w:ascii="Arial" w:hAnsi="Arial" w:cs="Arial"/>
        </w:rPr>
        <w:t>evitando establecer</w:t>
      </w:r>
      <w:r w:rsidRPr="00284240">
        <w:rPr>
          <w:rFonts w:ascii="Arial" w:hAnsi="Arial" w:cs="Arial"/>
        </w:rPr>
        <w:t xml:space="preserve"> la relación causa-efecto en</w:t>
      </w:r>
      <w:r w:rsidR="00F82093" w:rsidRPr="00284240">
        <w:rPr>
          <w:rFonts w:ascii="Arial" w:hAnsi="Arial" w:cs="Arial"/>
        </w:rPr>
        <w:t xml:space="preserve"> su lógica horizontal y vertical</w:t>
      </w:r>
      <w:r w:rsidR="00037BBF" w:rsidRPr="00284240">
        <w:rPr>
          <w:rFonts w:ascii="Arial" w:hAnsi="Arial" w:cs="Arial"/>
        </w:rPr>
        <w:t xml:space="preserve">; </w:t>
      </w:r>
      <w:r w:rsidR="00C01309">
        <w:rPr>
          <w:rFonts w:ascii="Arial" w:hAnsi="Arial" w:cs="Arial"/>
        </w:rPr>
        <w:t xml:space="preserve">de acuerdo a la semaforización establecida para los indicadores de sus metas y objetivos, </w:t>
      </w:r>
      <w:r w:rsidR="00F75E89">
        <w:rPr>
          <w:rFonts w:ascii="Arial" w:hAnsi="Arial" w:cs="Arial"/>
        </w:rPr>
        <w:t xml:space="preserve">el Instituto logró </w:t>
      </w:r>
      <w:r w:rsidR="00CF2FC2">
        <w:rPr>
          <w:rFonts w:ascii="Arial" w:hAnsi="Arial" w:cs="Arial"/>
        </w:rPr>
        <w:t>las</w:t>
      </w:r>
      <w:r w:rsidR="00F75E89">
        <w:rPr>
          <w:rFonts w:ascii="Arial" w:hAnsi="Arial" w:cs="Arial"/>
        </w:rPr>
        <w:t xml:space="preserve"> metas</w:t>
      </w:r>
      <w:r w:rsidR="00CF2FC2">
        <w:rPr>
          <w:rFonts w:ascii="Arial" w:hAnsi="Arial" w:cs="Arial"/>
        </w:rPr>
        <w:t xml:space="preserve"> de sus programas presupuestarios</w:t>
      </w:r>
      <w:r w:rsidR="00F75E89">
        <w:rPr>
          <w:rFonts w:ascii="Arial" w:hAnsi="Arial" w:cs="Arial"/>
        </w:rPr>
        <w:t xml:space="preserve"> </w:t>
      </w:r>
      <w:r w:rsidR="00CF2FC2">
        <w:rPr>
          <w:rFonts w:ascii="Arial" w:hAnsi="Arial" w:cs="Arial"/>
        </w:rPr>
        <w:t>a un nivel aceptable.</w:t>
      </w:r>
    </w:p>
    <w:p w14:paraId="702CECDB" w14:textId="77777777" w:rsidR="00A77B43" w:rsidRPr="006531A5" w:rsidRDefault="00A77B43" w:rsidP="008D699F">
      <w:pPr>
        <w:spacing w:line="276" w:lineRule="auto"/>
        <w:jc w:val="both"/>
        <w:rPr>
          <w:rFonts w:ascii="Arial" w:hAnsi="Arial" w:cs="Arial"/>
          <w:highlight w:val="cyan"/>
        </w:rPr>
      </w:pPr>
    </w:p>
    <w:p w14:paraId="1DF67844" w14:textId="71494B90" w:rsidR="00A77B43" w:rsidRDefault="00E85164" w:rsidP="0023656F">
      <w:pPr>
        <w:tabs>
          <w:tab w:val="left" w:pos="3975"/>
        </w:tabs>
        <w:spacing w:line="276" w:lineRule="auto"/>
        <w:jc w:val="both"/>
        <w:rPr>
          <w:rFonts w:ascii="Arial" w:hAnsi="Arial" w:cs="Arial"/>
        </w:rPr>
      </w:pPr>
      <w:r w:rsidRPr="00FD5201">
        <w:rPr>
          <w:rFonts w:ascii="Arial" w:hAnsi="Arial" w:cs="Arial"/>
        </w:rPr>
        <w:t xml:space="preserve">Con la fiscalización y la atención de las recomendaciones al desempeño se contribuirá a que </w:t>
      </w:r>
      <w:r w:rsidR="00BC1A27" w:rsidRPr="00FD5201">
        <w:rPr>
          <w:rFonts w:ascii="Arial" w:hAnsi="Arial" w:cs="Arial"/>
        </w:rPr>
        <w:t>el</w:t>
      </w:r>
      <w:r w:rsidR="00FD5201" w:rsidRPr="00FD5201">
        <w:rPr>
          <w:rFonts w:ascii="Arial" w:hAnsi="Arial" w:cs="Arial"/>
        </w:rPr>
        <w:t xml:space="preserve"> </w:t>
      </w:r>
      <w:r w:rsidR="00FD5201" w:rsidRPr="00FD5201">
        <w:rPr>
          <w:rFonts w:ascii="Arial" w:hAnsi="Arial" w:cs="Arial"/>
          <w:b/>
        </w:rPr>
        <w:t>Instituto de Acceso a la Información y Protección de Datos Personales de Quintana Roo</w:t>
      </w:r>
      <w:r w:rsidR="00FD5201" w:rsidRPr="00FD5201">
        <w:rPr>
          <w:rFonts w:ascii="Arial" w:hAnsi="Arial" w:cs="Arial"/>
        </w:rPr>
        <w:t xml:space="preserve">, </w:t>
      </w:r>
      <w:r w:rsidRPr="00FD5201">
        <w:rPr>
          <w:rFonts w:ascii="Arial" w:hAnsi="Arial" w:cs="Arial"/>
        </w:rPr>
        <w:t>subsane las debilidades detectadas en la planeación</w:t>
      </w:r>
      <w:r w:rsidR="00153B5B" w:rsidRPr="00FD5201">
        <w:rPr>
          <w:rFonts w:ascii="Arial" w:hAnsi="Arial" w:cs="Arial"/>
        </w:rPr>
        <w:t>, formulación y contenido de sus Matrices de Indicadores para Resultado</w:t>
      </w:r>
      <w:r w:rsidR="005E2206">
        <w:rPr>
          <w:rFonts w:ascii="Arial" w:hAnsi="Arial" w:cs="Arial"/>
        </w:rPr>
        <w:t>, lo que le permitirá tener una mejor estructura y contar con normas e indicadores que midan y coadyuven a proporcionar sus servicios con eficiencia, eficacia y economía a su población objetivo.</w:t>
      </w:r>
    </w:p>
    <w:p w14:paraId="23E4B924" w14:textId="77777777" w:rsidR="0023656F" w:rsidRPr="00C91950" w:rsidRDefault="0023656F" w:rsidP="0023656F">
      <w:pPr>
        <w:tabs>
          <w:tab w:val="left" w:pos="3975"/>
        </w:tabs>
        <w:spacing w:line="276" w:lineRule="auto"/>
        <w:jc w:val="both"/>
        <w:rPr>
          <w:rFonts w:ascii="Arial" w:hAnsi="Arial" w:cs="Arial"/>
        </w:rPr>
      </w:pPr>
    </w:p>
    <w:p w14:paraId="137088B2" w14:textId="77777777" w:rsidR="00354B93" w:rsidRPr="00C91950" w:rsidRDefault="00354B93" w:rsidP="007A5C39">
      <w:pPr>
        <w:pStyle w:val="Ttulo6"/>
        <w:spacing w:line="276" w:lineRule="auto"/>
        <w:jc w:val="center"/>
        <w:rPr>
          <w:rFonts w:ascii="Arial" w:hAnsi="Arial" w:cs="Arial"/>
          <w:sz w:val="24"/>
          <w:szCs w:val="24"/>
        </w:rPr>
      </w:pPr>
      <w:r w:rsidRPr="00C91950">
        <w:rPr>
          <w:rFonts w:ascii="Arial" w:hAnsi="Arial" w:cs="Arial"/>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C91950" w14:paraId="47AA58F7" w14:textId="77777777" w:rsidTr="006531A5">
        <w:trPr>
          <w:cantSplit/>
          <w:trHeight w:val="1609"/>
          <w:jc w:val="center"/>
        </w:trPr>
        <w:tc>
          <w:tcPr>
            <w:tcW w:w="5000" w:type="pct"/>
          </w:tcPr>
          <w:p w14:paraId="5F38CCC9" w14:textId="77777777" w:rsidR="00354B93" w:rsidRPr="00C91950" w:rsidRDefault="00354B93" w:rsidP="007A5C39">
            <w:pPr>
              <w:spacing w:line="276" w:lineRule="auto"/>
              <w:jc w:val="both"/>
              <w:rPr>
                <w:rFonts w:ascii="Arial" w:hAnsi="Arial" w:cs="Arial"/>
                <w:b/>
              </w:rPr>
            </w:pPr>
          </w:p>
          <w:p w14:paraId="211516BC" w14:textId="77777777" w:rsidR="00B940C3" w:rsidRPr="00C91950" w:rsidRDefault="00B940C3" w:rsidP="007A5C39">
            <w:pPr>
              <w:spacing w:line="276" w:lineRule="auto"/>
              <w:jc w:val="both"/>
              <w:rPr>
                <w:rFonts w:ascii="Arial" w:hAnsi="Arial" w:cs="Arial"/>
                <w:b/>
              </w:rPr>
            </w:pPr>
          </w:p>
          <w:p w14:paraId="4115EA5C" w14:textId="77777777" w:rsidR="00354B93" w:rsidRPr="00C91950" w:rsidRDefault="00354B93" w:rsidP="007A5C39">
            <w:pPr>
              <w:spacing w:line="276" w:lineRule="auto"/>
              <w:jc w:val="both"/>
              <w:rPr>
                <w:rFonts w:ascii="Arial" w:hAnsi="Arial" w:cs="Arial"/>
                <w:b/>
              </w:rPr>
            </w:pPr>
          </w:p>
          <w:p w14:paraId="00CCB0E1" w14:textId="77777777" w:rsidR="00354B93" w:rsidRPr="00C91950" w:rsidRDefault="006531A5" w:rsidP="007A5C39">
            <w:pPr>
              <w:pStyle w:val="Ttulo5"/>
              <w:spacing w:line="276" w:lineRule="auto"/>
              <w:rPr>
                <w:rFonts w:ascii="Arial" w:hAnsi="Arial" w:cs="Arial"/>
                <w:sz w:val="24"/>
                <w:szCs w:val="24"/>
              </w:rPr>
            </w:pPr>
            <w:r>
              <w:rPr>
                <w:rFonts w:ascii="Arial" w:hAnsi="Arial" w:cs="Arial"/>
                <w:sz w:val="24"/>
                <w:szCs w:val="24"/>
              </w:rPr>
              <w:t>L.C.C. MANUEL PALACIOS HERRERA</w:t>
            </w:r>
          </w:p>
        </w:tc>
      </w:tr>
    </w:tbl>
    <w:p w14:paraId="6D23E288" w14:textId="77777777" w:rsidR="00F54CB4" w:rsidRDefault="00F54CB4" w:rsidP="00980667">
      <w:pPr>
        <w:pStyle w:val="Ttulo1"/>
        <w:spacing w:line="276" w:lineRule="auto"/>
      </w:pPr>
      <w:bookmarkStart w:id="42" w:name="_Toc520277598"/>
      <w:bookmarkEnd w:id="42"/>
    </w:p>
    <w:sectPr w:rsidR="00F54CB4" w:rsidSect="000945EC">
      <w:headerReference w:type="even" r:id="rId8"/>
      <w:headerReference w:type="default" r:id="rId9"/>
      <w:footerReference w:type="default" r:id="rId10"/>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44A52" w14:textId="77777777" w:rsidR="009179DA" w:rsidRDefault="009179DA" w:rsidP="00354B93">
      <w:r>
        <w:separator/>
      </w:r>
    </w:p>
  </w:endnote>
  <w:endnote w:type="continuationSeparator" w:id="0">
    <w:p w14:paraId="57800EBE" w14:textId="77777777" w:rsidR="009179DA" w:rsidRDefault="009179DA"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9179DA"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9179DA" w:rsidRPr="008718C5" w:rsidRDefault="009179DA"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61172ABD" w:rsidR="009179DA" w:rsidRPr="000945EC" w:rsidRDefault="009179DA"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146399">
            <w:rPr>
              <w:rFonts w:ascii="Arial Narrow" w:hAnsi="Arial Narrow"/>
              <w:noProof/>
              <w:sz w:val="18"/>
              <w:szCs w:val="18"/>
            </w:rPr>
            <w:t>21</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146399">
            <w:rPr>
              <w:rFonts w:ascii="Arial Narrow" w:hAnsi="Arial Narrow"/>
              <w:noProof/>
              <w:sz w:val="18"/>
              <w:szCs w:val="18"/>
            </w:rPr>
            <w:t>25</w:t>
          </w:r>
          <w:r w:rsidRPr="000945EC">
            <w:rPr>
              <w:rFonts w:ascii="Arial Narrow" w:hAnsi="Arial Narrow"/>
              <w:noProof/>
              <w:sz w:val="18"/>
              <w:szCs w:val="18"/>
            </w:rPr>
            <w:fldChar w:fldCharType="end"/>
          </w:r>
        </w:p>
      </w:tc>
    </w:tr>
  </w:tbl>
  <w:p w14:paraId="1EA9190F" w14:textId="77777777" w:rsidR="009179DA" w:rsidRDefault="009179DA"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C7C55" w14:textId="77777777" w:rsidR="009179DA" w:rsidRDefault="009179DA" w:rsidP="00354B93">
      <w:r>
        <w:separator/>
      </w:r>
    </w:p>
  </w:footnote>
  <w:footnote w:type="continuationSeparator" w:id="0">
    <w:p w14:paraId="37D310D3" w14:textId="77777777" w:rsidR="009179DA" w:rsidRDefault="009179DA" w:rsidP="0035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2666" w14:textId="77777777" w:rsidR="009179DA" w:rsidRDefault="009179DA">
    <w:pPr>
      <w:pStyle w:val="Encabezado"/>
    </w:pPr>
  </w:p>
  <w:p w14:paraId="438B1695" w14:textId="77777777" w:rsidR="009179DA" w:rsidRDefault="009179DA"/>
  <w:p w14:paraId="49EE31D0" w14:textId="77777777" w:rsidR="009179DA" w:rsidRDefault="009179DA"/>
  <w:p w14:paraId="51F9D0AD" w14:textId="77777777" w:rsidR="009179DA" w:rsidRDefault="009179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9179DA" w14:paraId="2CB55E5D" w14:textId="77777777" w:rsidTr="00263DB3">
      <w:trPr>
        <w:cantSplit/>
        <w:jc w:val="center"/>
      </w:trPr>
      <w:tc>
        <w:tcPr>
          <w:tcW w:w="2234" w:type="dxa"/>
        </w:tcPr>
        <w:p w14:paraId="38D64743" w14:textId="77777777" w:rsidR="009179DA" w:rsidRDefault="009179DA"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9179DA" w:rsidRDefault="009179DA"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9179DA" w:rsidRDefault="009179DA"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9179DA" w:rsidRPr="00131350" w:rsidRDefault="009179DA"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9179DA" w:rsidRDefault="009179DA" w:rsidP="006C1DD1">
          <w:pPr>
            <w:pStyle w:val="Encabezado"/>
            <w:jc w:val="center"/>
          </w:pPr>
        </w:p>
      </w:tc>
    </w:tr>
    <w:tr w:rsidR="009179DA" w14:paraId="016F1EBB" w14:textId="77777777" w:rsidTr="00263DB3">
      <w:trPr>
        <w:cantSplit/>
        <w:jc w:val="center"/>
      </w:trPr>
      <w:tc>
        <w:tcPr>
          <w:tcW w:w="2234" w:type="dxa"/>
          <w:tcBorders>
            <w:bottom w:val="thinThickSmallGap" w:sz="24" w:space="0" w:color="auto"/>
          </w:tcBorders>
        </w:tcPr>
        <w:p w14:paraId="44F1DFAA" w14:textId="77777777" w:rsidR="009179DA" w:rsidRDefault="009179DA" w:rsidP="006C1DD1">
          <w:pPr>
            <w:pStyle w:val="Encabezado"/>
            <w:jc w:val="center"/>
            <w:rPr>
              <w:sz w:val="10"/>
            </w:rPr>
          </w:pPr>
        </w:p>
      </w:tc>
      <w:tc>
        <w:tcPr>
          <w:tcW w:w="4592" w:type="dxa"/>
          <w:tcBorders>
            <w:bottom w:val="thinThickSmallGap" w:sz="24" w:space="0" w:color="auto"/>
          </w:tcBorders>
        </w:tcPr>
        <w:p w14:paraId="0E1E5A59" w14:textId="77777777" w:rsidR="009179DA" w:rsidRDefault="009179DA" w:rsidP="006C1DD1">
          <w:pPr>
            <w:pStyle w:val="Encabezado"/>
            <w:rPr>
              <w:sz w:val="10"/>
            </w:rPr>
          </w:pPr>
        </w:p>
      </w:tc>
      <w:tc>
        <w:tcPr>
          <w:tcW w:w="2336" w:type="dxa"/>
          <w:tcBorders>
            <w:bottom w:val="thinThickSmallGap" w:sz="24" w:space="0" w:color="auto"/>
          </w:tcBorders>
        </w:tcPr>
        <w:p w14:paraId="3D7CB6CA" w14:textId="77777777" w:rsidR="009179DA" w:rsidRDefault="009179DA" w:rsidP="006C1DD1">
          <w:pPr>
            <w:pStyle w:val="Encabezado"/>
            <w:jc w:val="center"/>
            <w:rPr>
              <w:sz w:val="10"/>
            </w:rPr>
          </w:pPr>
        </w:p>
      </w:tc>
      <w:tc>
        <w:tcPr>
          <w:tcW w:w="359" w:type="dxa"/>
          <w:tcBorders>
            <w:bottom w:val="thinThickSmallGap" w:sz="24" w:space="0" w:color="auto"/>
          </w:tcBorders>
        </w:tcPr>
        <w:p w14:paraId="747D2E88" w14:textId="77777777" w:rsidR="009179DA" w:rsidRDefault="009179DA" w:rsidP="006C1DD1">
          <w:pPr>
            <w:pStyle w:val="Encabezado"/>
            <w:jc w:val="center"/>
            <w:rPr>
              <w:sz w:val="10"/>
            </w:rPr>
          </w:pPr>
        </w:p>
      </w:tc>
    </w:tr>
  </w:tbl>
  <w:p w14:paraId="1EFAA136" w14:textId="77777777" w:rsidR="009179DA" w:rsidRPr="004A658E" w:rsidRDefault="009179DA"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950D"/>
      </v:shape>
    </w:pict>
  </w:numPicBullet>
  <w:abstractNum w:abstractNumId="0" w15:restartNumberingAfterBreak="0">
    <w:nsid w:val="08AA1037"/>
    <w:multiLevelType w:val="hybridMultilevel"/>
    <w:tmpl w:val="92A428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331BD8"/>
    <w:multiLevelType w:val="hybridMultilevel"/>
    <w:tmpl w:val="AF26F852"/>
    <w:lvl w:ilvl="0" w:tplc="F9BA0E56">
      <w:start w:val="1"/>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691BDD"/>
    <w:multiLevelType w:val="hybridMultilevel"/>
    <w:tmpl w:val="43A69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39854BC"/>
    <w:multiLevelType w:val="hybridMultilevel"/>
    <w:tmpl w:val="E0E432CA"/>
    <w:lvl w:ilvl="0" w:tplc="080A0015">
      <w:start w:val="1"/>
      <w:numFmt w:val="upperLetter"/>
      <w:lvlText w:val="%1."/>
      <w:lvlJc w:val="left"/>
      <w:pPr>
        <w:ind w:left="2345"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1F826963"/>
    <w:multiLevelType w:val="hybridMultilevel"/>
    <w:tmpl w:val="A37C4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30CBB"/>
    <w:multiLevelType w:val="hybridMultilevel"/>
    <w:tmpl w:val="DE920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EE0200"/>
    <w:multiLevelType w:val="hybridMultilevel"/>
    <w:tmpl w:val="F426DB2E"/>
    <w:lvl w:ilvl="0" w:tplc="DA92B188">
      <w:start w:val="3"/>
      <w:numFmt w:val="decimal"/>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C3791"/>
    <w:multiLevelType w:val="hybridMultilevel"/>
    <w:tmpl w:val="4E0ED04C"/>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35A36BEF"/>
    <w:multiLevelType w:val="hybridMultilevel"/>
    <w:tmpl w:val="7EF62896"/>
    <w:lvl w:ilvl="0" w:tplc="71322F58">
      <w:start w:val="1"/>
      <w:numFmt w:val="decimal"/>
      <w:lvlText w:val="%1."/>
      <w:lvlJc w:val="right"/>
      <w:pPr>
        <w:ind w:left="720" w:hanging="360"/>
      </w:pPr>
      <w:rPr>
        <w:rFonts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F010A"/>
    <w:multiLevelType w:val="hybridMultilevel"/>
    <w:tmpl w:val="583C8A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CF71A37"/>
    <w:multiLevelType w:val="hybridMultilevel"/>
    <w:tmpl w:val="B75839C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EB01C49"/>
    <w:multiLevelType w:val="hybridMultilevel"/>
    <w:tmpl w:val="0B10CC38"/>
    <w:lvl w:ilvl="0" w:tplc="20F4807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C81CD5"/>
    <w:multiLevelType w:val="hybridMultilevel"/>
    <w:tmpl w:val="F0D49FDA"/>
    <w:lvl w:ilvl="0" w:tplc="10DC059E">
      <w:start w:val="1"/>
      <w:numFmt w:val="lowerLetter"/>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621A67"/>
    <w:multiLevelType w:val="hybridMultilevel"/>
    <w:tmpl w:val="0CAA4B04"/>
    <w:lvl w:ilvl="0" w:tplc="40C655C0">
      <w:start w:val="3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217FF3"/>
    <w:multiLevelType w:val="multilevel"/>
    <w:tmpl w:val="147E8108"/>
    <w:lvl w:ilvl="0">
      <w:start w:val="1"/>
      <w:numFmt w:val="upperRoman"/>
      <w:lvlText w:val="%1."/>
      <w:lvlJc w:val="right"/>
      <w:pPr>
        <w:ind w:left="720" w:hanging="360"/>
      </w:pPr>
    </w:lvl>
    <w:lvl w:ilvl="1">
      <w:start w:val="2"/>
      <w:numFmt w:val="decimal"/>
      <w:isLgl/>
      <w:lvlText w:val="%1.%2"/>
      <w:lvlJc w:val="left"/>
      <w:pPr>
        <w:ind w:left="1211" w:hanging="36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913" w:hanging="108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4255" w:hanging="144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597" w:hanging="1800"/>
      </w:pPr>
      <w:rPr>
        <w:rFonts w:hint="default"/>
        <w:b w:val="0"/>
      </w:rPr>
    </w:lvl>
    <w:lvl w:ilvl="8">
      <w:start w:val="1"/>
      <w:numFmt w:val="decimal"/>
      <w:isLgl/>
      <w:lvlText w:val="%1.%2.%3.%4.%5.%6.%7.%8.%9"/>
      <w:lvlJc w:val="left"/>
      <w:pPr>
        <w:ind w:left="6088" w:hanging="1800"/>
      </w:pPr>
      <w:rPr>
        <w:rFonts w:hint="default"/>
        <w:b w:val="0"/>
      </w:rPr>
    </w:lvl>
  </w:abstractNum>
  <w:abstractNum w:abstractNumId="16" w15:restartNumberingAfterBreak="0">
    <w:nsid w:val="66192124"/>
    <w:multiLevelType w:val="hybridMultilevel"/>
    <w:tmpl w:val="720C956A"/>
    <w:lvl w:ilvl="0" w:tplc="14D0E1AA">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6A2133A"/>
    <w:multiLevelType w:val="hybridMultilevel"/>
    <w:tmpl w:val="A988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3E15A1"/>
    <w:multiLevelType w:val="hybridMultilevel"/>
    <w:tmpl w:val="F2D6C73A"/>
    <w:lvl w:ilvl="0" w:tplc="6A6064BC">
      <w:start w:val="1"/>
      <w:numFmt w:val="decimal"/>
      <w:lvlText w:val="%1."/>
      <w:lvlJc w:val="left"/>
      <w:pPr>
        <w:ind w:left="1006" w:hanging="360"/>
      </w:pPr>
      <w:rPr>
        <w:rFonts w:hint="default"/>
        <w:b/>
      </w:rPr>
    </w:lvl>
    <w:lvl w:ilvl="1" w:tplc="95E28106">
      <w:start w:val="2"/>
      <w:numFmt w:val="decimal"/>
      <w:lvlText w:val="%2"/>
      <w:lvlJc w:val="left"/>
      <w:pPr>
        <w:ind w:left="1726" w:hanging="360"/>
      </w:pPr>
      <w:rPr>
        <w:rFonts w:hint="default"/>
      </w:r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19"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87401D"/>
    <w:multiLevelType w:val="hybridMultilevel"/>
    <w:tmpl w:val="1AC4155C"/>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5C0031"/>
    <w:multiLevelType w:val="hybridMultilevel"/>
    <w:tmpl w:val="D3806E4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798D6543"/>
    <w:multiLevelType w:val="hybridMultilevel"/>
    <w:tmpl w:val="1CC2C6DA"/>
    <w:lvl w:ilvl="0" w:tplc="080A0013">
      <w:start w:val="1"/>
      <w:numFmt w:val="upperRoman"/>
      <w:lvlText w:val="%1."/>
      <w:lvlJc w:val="righ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7CFE74CE"/>
    <w:multiLevelType w:val="hybridMultilevel"/>
    <w:tmpl w:val="98768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2"/>
  </w:num>
  <w:num w:numId="5">
    <w:abstractNumId w:val="20"/>
  </w:num>
  <w:num w:numId="6">
    <w:abstractNumId w:val="5"/>
  </w:num>
  <w:num w:numId="7">
    <w:abstractNumId w:val="9"/>
  </w:num>
  <w:num w:numId="8">
    <w:abstractNumId w:val="1"/>
  </w:num>
  <w:num w:numId="9">
    <w:abstractNumId w:val="15"/>
  </w:num>
  <w:num w:numId="10">
    <w:abstractNumId w:val="21"/>
  </w:num>
  <w:num w:numId="11">
    <w:abstractNumId w:val="8"/>
  </w:num>
  <w:num w:numId="12">
    <w:abstractNumId w:val="19"/>
  </w:num>
  <w:num w:numId="13">
    <w:abstractNumId w:val="17"/>
  </w:num>
  <w:num w:numId="14">
    <w:abstractNumId w:val="23"/>
  </w:num>
  <w:num w:numId="15">
    <w:abstractNumId w:val="13"/>
  </w:num>
  <w:num w:numId="16">
    <w:abstractNumId w:val="7"/>
  </w:num>
  <w:num w:numId="17">
    <w:abstractNumId w:val="12"/>
  </w:num>
  <w:num w:numId="18">
    <w:abstractNumId w:val="16"/>
  </w:num>
  <w:num w:numId="19">
    <w:abstractNumId w:val="0"/>
  </w:num>
  <w:num w:numId="20">
    <w:abstractNumId w:val="6"/>
  </w:num>
  <w:num w:numId="21">
    <w:abstractNumId w:val="18"/>
  </w:num>
  <w:num w:numId="22">
    <w:abstractNumId w:val="14"/>
  </w:num>
  <w:num w:numId="23">
    <w:abstractNumId w:val="4"/>
  </w:num>
  <w:num w:numId="24">
    <w:abstractNumId w:val="24"/>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93"/>
    <w:rsid w:val="0000126C"/>
    <w:rsid w:val="000024FB"/>
    <w:rsid w:val="0000278B"/>
    <w:rsid w:val="000041C6"/>
    <w:rsid w:val="00005BC1"/>
    <w:rsid w:val="00007348"/>
    <w:rsid w:val="00013137"/>
    <w:rsid w:val="00015248"/>
    <w:rsid w:val="00020004"/>
    <w:rsid w:val="00020460"/>
    <w:rsid w:val="00023252"/>
    <w:rsid w:val="000239D6"/>
    <w:rsid w:val="00025273"/>
    <w:rsid w:val="00025AA1"/>
    <w:rsid w:val="00027C36"/>
    <w:rsid w:val="0003018B"/>
    <w:rsid w:val="00031026"/>
    <w:rsid w:val="00032121"/>
    <w:rsid w:val="00032189"/>
    <w:rsid w:val="000328C3"/>
    <w:rsid w:val="000330B6"/>
    <w:rsid w:val="0003622F"/>
    <w:rsid w:val="00037704"/>
    <w:rsid w:val="00037BBF"/>
    <w:rsid w:val="00041D0B"/>
    <w:rsid w:val="0004342C"/>
    <w:rsid w:val="000435DA"/>
    <w:rsid w:val="00045008"/>
    <w:rsid w:val="00050CA8"/>
    <w:rsid w:val="0005134E"/>
    <w:rsid w:val="0005210C"/>
    <w:rsid w:val="0005283F"/>
    <w:rsid w:val="00054912"/>
    <w:rsid w:val="00054C67"/>
    <w:rsid w:val="00057571"/>
    <w:rsid w:val="00062A62"/>
    <w:rsid w:val="000702F5"/>
    <w:rsid w:val="00071126"/>
    <w:rsid w:val="0007389D"/>
    <w:rsid w:val="0007621A"/>
    <w:rsid w:val="00083EBA"/>
    <w:rsid w:val="00084EFA"/>
    <w:rsid w:val="000874E2"/>
    <w:rsid w:val="00087F67"/>
    <w:rsid w:val="00092E9F"/>
    <w:rsid w:val="00093368"/>
    <w:rsid w:val="000945EC"/>
    <w:rsid w:val="00094C7E"/>
    <w:rsid w:val="00097BB0"/>
    <w:rsid w:val="00097C3F"/>
    <w:rsid w:val="000A2E52"/>
    <w:rsid w:val="000A2F4E"/>
    <w:rsid w:val="000A4756"/>
    <w:rsid w:val="000A4A8A"/>
    <w:rsid w:val="000A75FF"/>
    <w:rsid w:val="000B1CFA"/>
    <w:rsid w:val="000B22C5"/>
    <w:rsid w:val="000B33D1"/>
    <w:rsid w:val="000C0546"/>
    <w:rsid w:val="000C3826"/>
    <w:rsid w:val="000C4DE9"/>
    <w:rsid w:val="000C62BB"/>
    <w:rsid w:val="000C65D2"/>
    <w:rsid w:val="000C71DA"/>
    <w:rsid w:val="000D409C"/>
    <w:rsid w:val="000D5996"/>
    <w:rsid w:val="000D79CB"/>
    <w:rsid w:val="000E1E8D"/>
    <w:rsid w:val="000E20A0"/>
    <w:rsid w:val="000E601B"/>
    <w:rsid w:val="000F01F9"/>
    <w:rsid w:val="000F1265"/>
    <w:rsid w:val="000F3191"/>
    <w:rsid w:val="000F331D"/>
    <w:rsid w:val="000F76D8"/>
    <w:rsid w:val="000F7C71"/>
    <w:rsid w:val="00100FC0"/>
    <w:rsid w:val="001025E3"/>
    <w:rsid w:val="001072CE"/>
    <w:rsid w:val="001132C6"/>
    <w:rsid w:val="0011476F"/>
    <w:rsid w:val="001164CE"/>
    <w:rsid w:val="00121E37"/>
    <w:rsid w:val="001255BB"/>
    <w:rsid w:val="001272FC"/>
    <w:rsid w:val="00137633"/>
    <w:rsid w:val="00140108"/>
    <w:rsid w:val="00140D72"/>
    <w:rsid w:val="0014105E"/>
    <w:rsid w:val="00141399"/>
    <w:rsid w:val="00141E3A"/>
    <w:rsid w:val="00142743"/>
    <w:rsid w:val="001427D5"/>
    <w:rsid w:val="00142841"/>
    <w:rsid w:val="00143CB2"/>
    <w:rsid w:val="00146399"/>
    <w:rsid w:val="001463C4"/>
    <w:rsid w:val="00146AD6"/>
    <w:rsid w:val="00151C6B"/>
    <w:rsid w:val="00152535"/>
    <w:rsid w:val="00152ACD"/>
    <w:rsid w:val="00153B5B"/>
    <w:rsid w:val="001542C9"/>
    <w:rsid w:val="001546B1"/>
    <w:rsid w:val="00160F98"/>
    <w:rsid w:val="0016245D"/>
    <w:rsid w:val="00162DED"/>
    <w:rsid w:val="001631A0"/>
    <w:rsid w:val="00163ED0"/>
    <w:rsid w:val="00164430"/>
    <w:rsid w:val="0016491F"/>
    <w:rsid w:val="00164E81"/>
    <w:rsid w:val="00165138"/>
    <w:rsid w:val="00165E9F"/>
    <w:rsid w:val="00171EF2"/>
    <w:rsid w:val="00173CAC"/>
    <w:rsid w:val="0017562C"/>
    <w:rsid w:val="001760B5"/>
    <w:rsid w:val="00176FEF"/>
    <w:rsid w:val="00180937"/>
    <w:rsid w:val="0018265B"/>
    <w:rsid w:val="0018480F"/>
    <w:rsid w:val="00186EA8"/>
    <w:rsid w:val="00190B05"/>
    <w:rsid w:val="00190B3E"/>
    <w:rsid w:val="00194487"/>
    <w:rsid w:val="00194953"/>
    <w:rsid w:val="00197D9A"/>
    <w:rsid w:val="001A066E"/>
    <w:rsid w:val="001A6347"/>
    <w:rsid w:val="001A7305"/>
    <w:rsid w:val="001B03E8"/>
    <w:rsid w:val="001B086C"/>
    <w:rsid w:val="001B1911"/>
    <w:rsid w:val="001B5D80"/>
    <w:rsid w:val="001C076E"/>
    <w:rsid w:val="001C27B8"/>
    <w:rsid w:val="001C59FF"/>
    <w:rsid w:val="001C6974"/>
    <w:rsid w:val="001D1C71"/>
    <w:rsid w:val="001D3321"/>
    <w:rsid w:val="001D4103"/>
    <w:rsid w:val="001D65A7"/>
    <w:rsid w:val="001D6769"/>
    <w:rsid w:val="001D68A6"/>
    <w:rsid w:val="001E1C1F"/>
    <w:rsid w:val="001E240F"/>
    <w:rsid w:val="001E303A"/>
    <w:rsid w:val="001E331D"/>
    <w:rsid w:val="001E7115"/>
    <w:rsid w:val="001F0389"/>
    <w:rsid w:val="001F10AC"/>
    <w:rsid w:val="001F221B"/>
    <w:rsid w:val="001F32F2"/>
    <w:rsid w:val="001F33C6"/>
    <w:rsid w:val="001F3F32"/>
    <w:rsid w:val="001F4004"/>
    <w:rsid w:val="001F5E39"/>
    <w:rsid w:val="002003BB"/>
    <w:rsid w:val="002015B9"/>
    <w:rsid w:val="00202BDE"/>
    <w:rsid w:val="0020433F"/>
    <w:rsid w:val="00204A26"/>
    <w:rsid w:val="00207668"/>
    <w:rsid w:val="0022363C"/>
    <w:rsid w:val="00231525"/>
    <w:rsid w:val="002339BE"/>
    <w:rsid w:val="0023474A"/>
    <w:rsid w:val="00235225"/>
    <w:rsid w:val="002358D9"/>
    <w:rsid w:val="00236243"/>
    <w:rsid w:val="0023656F"/>
    <w:rsid w:val="002425A5"/>
    <w:rsid w:val="002438BD"/>
    <w:rsid w:val="00245597"/>
    <w:rsid w:val="00247646"/>
    <w:rsid w:val="00247ABC"/>
    <w:rsid w:val="00254C19"/>
    <w:rsid w:val="00254D0B"/>
    <w:rsid w:val="002551E2"/>
    <w:rsid w:val="00255EAA"/>
    <w:rsid w:val="002634F1"/>
    <w:rsid w:val="00263D33"/>
    <w:rsid w:val="00263DB3"/>
    <w:rsid w:val="002662A1"/>
    <w:rsid w:val="002748D4"/>
    <w:rsid w:val="002819CE"/>
    <w:rsid w:val="002828C1"/>
    <w:rsid w:val="00284240"/>
    <w:rsid w:val="0029059B"/>
    <w:rsid w:val="002906EA"/>
    <w:rsid w:val="002911D6"/>
    <w:rsid w:val="00291444"/>
    <w:rsid w:val="00291556"/>
    <w:rsid w:val="00292A20"/>
    <w:rsid w:val="00297D03"/>
    <w:rsid w:val="002A4FCB"/>
    <w:rsid w:val="002A6D28"/>
    <w:rsid w:val="002A6F94"/>
    <w:rsid w:val="002A7E98"/>
    <w:rsid w:val="002B21BD"/>
    <w:rsid w:val="002B2B22"/>
    <w:rsid w:val="002B4C62"/>
    <w:rsid w:val="002C1B5E"/>
    <w:rsid w:val="002C374F"/>
    <w:rsid w:val="002C3A63"/>
    <w:rsid w:val="002C4979"/>
    <w:rsid w:val="002C5428"/>
    <w:rsid w:val="002C63FB"/>
    <w:rsid w:val="002C659A"/>
    <w:rsid w:val="002C6C69"/>
    <w:rsid w:val="002C7BCD"/>
    <w:rsid w:val="002D184E"/>
    <w:rsid w:val="002D4066"/>
    <w:rsid w:val="002D4CC3"/>
    <w:rsid w:val="002E0D66"/>
    <w:rsid w:val="002E154C"/>
    <w:rsid w:val="002E27DB"/>
    <w:rsid w:val="002E28B2"/>
    <w:rsid w:val="002E428B"/>
    <w:rsid w:val="002E7E23"/>
    <w:rsid w:val="002F08C3"/>
    <w:rsid w:val="002F2B4E"/>
    <w:rsid w:val="002F78A6"/>
    <w:rsid w:val="002F7F38"/>
    <w:rsid w:val="00301220"/>
    <w:rsid w:val="00302E0E"/>
    <w:rsid w:val="00305502"/>
    <w:rsid w:val="00312F66"/>
    <w:rsid w:val="00315E9A"/>
    <w:rsid w:val="00315F81"/>
    <w:rsid w:val="00317F45"/>
    <w:rsid w:val="00320203"/>
    <w:rsid w:val="0032316B"/>
    <w:rsid w:val="003255DC"/>
    <w:rsid w:val="00325BF6"/>
    <w:rsid w:val="003273F3"/>
    <w:rsid w:val="00333F7E"/>
    <w:rsid w:val="0033533C"/>
    <w:rsid w:val="00335D51"/>
    <w:rsid w:val="00337CDB"/>
    <w:rsid w:val="003420BF"/>
    <w:rsid w:val="003456F7"/>
    <w:rsid w:val="00350F6C"/>
    <w:rsid w:val="003533AD"/>
    <w:rsid w:val="003542F9"/>
    <w:rsid w:val="00354B93"/>
    <w:rsid w:val="003561F6"/>
    <w:rsid w:val="003574D5"/>
    <w:rsid w:val="0036397A"/>
    <w:rsid w:val="00370FD3"/>
    <w:rsid w:val="00371C4B"/>
    <w:rsid w:val="00373CC3"/>
    <w:rsid w:val="00373FB4"/>
    <w:rsid w:val="0038080F"/>
    <w:rsid w:val="00381E46"/>
    <w:rsid w:val="00383ABE"/>
    <w:rsid w:val="00384108"/>
    <w:rsid w:val="0038607A"/>
    <w:rsid w:val="003903F5"/>
    <w:rsid w:val="00395457"/>
    <w:rsid w:val="0039545B"/>
    <w:rsid w:val="003A19AB"/>
    <w:rsid w:val="003A2E49"/>
    <w:rsid w:val="003A2EAF"/>
    <w:rsid w:val="003A3F73"/>
    <w:rsid w:val="003A5EF7"/>
    <w:rsid w:val="003B0B65"/>
    <w:rsid w:val="003B12A4"/>
    <w:rsid w:val="003B4233"/>
    <w:rsid w:val="003B476D"/>
    <w:rsid w:val="003C0178"/>
    <w:rsid w:val="003C2ADE"/>
    <w:rsid w:val="003C64EA"/>
    <w:rsid w:val="003D0D67"/>
    <w:rsid w:val="003D20A0"/>
    <w:rsid w:val="003D628B"/>
    <w:rsid w:val="003D77ED"/>
    <w:rsid w:val="003E0C65"/>
    <w:rsid w:val="003E2585"/>
    <w:rsid w:val="003E48D7"/>
    <w:rsid w:val="003E4CA5"/>
    <w:rsid w:val="003E6811"/>
    <w:rsid w:val="003F0B31"/>
    <w:rsid w:val="003F2DFB"/>
    <w:rsid w:val="0040140F"/>
    <w:rsid w:val="00401871"/>
    <w:rsid w:val="00403B80"/>
    <w:rsid w:val="00404B42"/>
    <w:rsid w:val="00406800"/>
    <w:rsid w:val="00411479"/>
    <w:rsid w:val="00413990"/>
    <w:rsid w:val="004143CC"/>
    <w:rsid w:val="004155D0"/>
    <w:rsid w:val="00415D71"/>
    <w:rsid w:val="004227AB"/>
    <w:rsid w:val="00423822"/>
    <w:rsid w:val="00423BE9"/>
    <w:rsid w:val="004255C4"/>
    <w:rsid w:val="00427920"/>
    <w:rsid w:val="004300FE"/>
    <w:rsid w:val="00431142"/>
    <w:rsid w:val="00431B8C"/>
    <w:rsid w:val="00434DC6"/>
    <w:rsid w:val="004355DA"/>
    <w:rsid w:val="0043662E"/>
    <w:rsid w:val="0043724A"/>
    <w:rsid w:val="00437BFF"/>
    <w:rsid w:val="00441526"/>
    <w:rsid w:val="00441552"/>
    <w:rsid w:val="00442498"/>
    <w:rsid w:val="004424C9"/>
    <w:rsid w:val="00444AFD"/>
    <w:rsid w:val="00451323"/>
    <w:rsid w:val="004515FC"/>
    <w:rsid w:val="00454528"/>
    <w:rsid w:val="004548B3"/>
    <w:rsid w:val="00454B25"/>
    <w:rsid w:val="00454BF8"/>
    <w:rsid w:val="00454D72"/>
    <w:rsid w:val="004563C3"/>
    <w:rsid w:val="00456BB3"/>
    <w:rsid w:val="00461EE8"/>
    <w:rsid w:val="0046216B"/>
    <w:rsid w:val="004638DD"/>
    <w:rsid w:val="00470AD0"/>
    <w:rsid w:val="004740C9"/>
    <w:rsid w:val="00480906"/>
    <w:rsid w:val="00480C9F"/>
    <w:rsid w:val="004818BB"/>
    <w:rsid w:val="00486A3F"/>
    <w:rsid w:val="00486C47"/>
    <w:rsid w:val="00487EBE"/>
    <w:rsid w:val="0049049E"/>
    <w:rsid w:val="004913AB"/>
    <w:rsid w:val="004956F9"/>
    <w:rsid w:val="004A3E71"/>
    <w:rsid w:val="004A658E"/>
    <w:rsid w:val="004A68B9"/>
    <w:rsid w:val="004A7154"/>
    <w:rsid w:val="004A7244"/>
    <w:rsid w:val="004A7B4B"/>
    <w:rsid w:val="004B1A95"/>
    <w:rsid w:val="004B2019"/>
    <w:rsid w:val="004B4159"/>
    <w:rsid w:val="004B572F"/>
    <w:rsid w:val="004B6569"/>
    <w:rsid w:val="004C038D"/>
    <w:rsid w:val="004C0552"/>
    <w:rsid w:val="004C2238"/>
    <w:rsid w:val="004C41D0"/>
    <w:rsid w:val="004C4459"/>
    <w:rsid w:val="004C4F36"/>
    <w:rsid w:val="004C5D88"/>
    <w:rsid w:val="004C687F"/>
    <w:rsid w:val="004C7FAD"/>
    <w:rsid w:val="004D6819"/>
    <w:rsid w:val="004E1BBA"/>
    <w:rsid w:val="004E26C1"/>
    <w:rsid w:val="004E3F6D"/>
    <w:rsid w:val="004E46AF"/>
    <w:rsid w:val="004E4C6A"/>
    <w:rsid w:val="004F2721"/>
    <w:rsid w:val="004F44B8"/>
    <w:rsid w:val="00500F49"/>
    <w:rsid w:val="00502D05"/>
    <w:rsid w:val="00516362"/>
    <w:rsid w:val="00517858"/>
    <w:rsid w:val="00521EA6"/>
    <w:rsid w:val="00523BE7"/>
    <w:rsid w:val="00526122"/>
    <w:rsid w:val="00526B88"/>
    <w:rsid w:val="0053163F"/>
    <w:rsid w:val="00533D3B"/>
    <w:rsid w:val="0053558D"/>
    <w:rsid w:val="0053592D"/>
    <w:rsid w:val="005361E8"/>
    <w:rsid w:val="005365D7"/>
    <w:rsid w:val="0054516D"/>
    <w:rsid w:val="00545EA8"/>
    <w:rsid w:val="00551781"/>
    <w:rsid w:val="005537DE"/>
    <w:rsid w:val="00553B3A"/>
    <w:rsid w:val="00553F0D"/>
    <w:rsid w:val="00555F0F"/>
    <w:rsid w:val="005615F8"/>
    <w:rsid w:val="00561743"/>
    <w:rsid w:val="00562DC1"/>
    <w:rsid w:val="00562E10"/>
    <w:rsid w:val="005635EC"/>
    <w:rsid w:val="00572822"/>
    <w:rsid w:val="0057472E"/>
    <w:rsid w:val="00584590"/>
    <w:rsid w:val="0058502C"/>
    <w:rsid w:val="005857C1"/>
    <w:rsid w:val="005870A4"/>
    <w:rsid w:val="005870AD"/>
    <w:rsid w:val="00591ED2"/>
    <w:rsid w:val="00593181"/>
    <w:rsid w:val="00593DBB"/>
    <w:rsid w:val="00596053"/>
    <w:rsid w:val="005A38FC"/>
    <w:rsid w:val="005A54BC"/>
    <w:rsid w:val="005B0880"/>
    <w:rsid w:val="005B12F9"/>
    <w:rsid w:val="005B1596"/>
    <w:rsid w:val="005B15A5"/>
    <w:rsid w:val="005B2D33"/>
    <w:rsid w:val="005B42FD"/>
    <w:rsid w:val="005B59EA"/>
    <w:rsid w:val="005C0EEA"/>
    <w:rsid w:val="005C1295"/>
    <w:rsid w:val="005C16CE"/>
    <w:rsid w:val="005C2184"/>
    <w:rsid w:val="005C48BC"/>
    <w:rsid w:val="005C557A"/>
    <w:rsid w:val="005C653A"/>
    <w:rsid w:val="005C7046"/>
    <w:rsid w:val="005D3772"/>
    <w:rsid w:val="005E10F4"/>
    <w:rsid w:val="005E2206"/>
    <w:rsid w:val="005E3FB3"/>
    <w:rsid w:val="005E5D34"/>
    <w:rsid w:val="005E74D4"/>
    <w:rsid w:val="005F01D7"/>
    <w:rsid w:val="005F053E"/>
    <w:rsid w:val="005F05A3"/>
    <w:rsid w:val="005F18D8"/>
    <w:rsid w:val="005F2A42"/>
    <w:rsid w:val="005F2C38"/>
    <w:rsid w:val="00601C35"/>
    <w:rsid w:val="0060438F"/>
    <w:rsid w:val="0060540F"/>
    <w:rsid w:val="00605413"/>
    <w:rsid w:val="00605698"/>
    <w:rsid w:val="00605C78"/>
    <w:rsid w:val="00607614"/>
    <w:rsid w:val="0061164F"/>
    <w:rsid w:val="00632584"/>
    <w:rsid w:val="00633769"/>
    <w:rsid w:val="00634DB8"/>
    <w:rsid w:val="00635616"/>
    <w:rsid w:val="00640482"/>
    <w:rsid w:val="0064172B"/>
    <w:rsid w:val="00641CAD"/>
    <w:rsid w:val="00644667"/>
    <w:rsid w:val="00647E49"/>
    <w:rsid w:val="0065102D"/>
    <w:rsid w:val="006531A5"/>
    <w:rsid w:val="0065372F"/>
    <w:rsid w:val="00654845"/>
    <w:rsid w:val="0065488D"/>
    <w:rsid w:val="00657417"/>
    <w:rsid w:val="0066395F"/>
    <w:rsid w:val="00665708"/>
    <w:rsid w:val="00666764"/>
    <w:rsid w:val="00667AC3"/>
    <w:rsid w:val="00673781"/>
    <w:rsid w:val="006747B1"/>
    <w:rsid w:val="006772A4"/>
    <w:rsid w:val="00681576"/>
    <w:rsid w:val="00681646"/>
    <w:rsid w:val="00682BBA"/>
    <w:rsid w:val="00686E65"/>
    <w:rsid w:val="0068796E"/>
    <w:rsid w:val="00690D35"/>
    <w:rsid w:val="006910D9"/>
    <w:rsid w:val="00692C7D"/>
    <w:rsid w:val="00693B21"/>
    <w:rsid w:val="006A0F69"/>
    <w:rsid w:val="006A49C0"/>
    <w:rsid w:val="006A5512"/>
    <w:rsid w:val="006A69FA"/>
    <w:rsid w:val="006A7032"/>
    <w:rsid w:val="006B1820"/>
    <w:rsid w:val="006B58E7"/>
    <w:rsid w:val="006B5BE3"/>
    <w:rsid w:val="006B6BA7"/>
    <w:rsid w:val="006C1C43"/>
    <w:rsid w:val="006C1DD1"/>
    <w:rsid w:val="006C400A"/>
    <w:rsid w:val="006C7928"/>
    <w:rsid w:val="006C7A81"/>
    <w:rsid w:val="006C7E02"/>
    <w:rsid w:val="006D0064"/>
    <w:rsid w:val="006D3FC3"/>
    <w:rsid w:val="006D4BE5"/>
    <w:rsid w:val="006E00B1"/>
    <w:rsid w:val="006E18C9"/>
    <w:rsid w:val="006E6EBB"/>
    <w:rsid w:val="006E778E"/>
    <w:rsid w:val="006F0885"/>
    <w:rsid w:val="006F3702"/>
    <w:rsid w:val="006F37BC"/>
    <w:rsid w:val="006F7207"/>
    <w:rsid w:val="006F7721"/>
    <w:rsid w:val="00701136"/>
    <w:rsid w:val="007036AA"/>
    <w:rsid w:val="00706EDB"/>
    <w:rsid w:val="00707EE5"/>
    <w:rsid w:val="0071129C"/>
    <w:rsid w:val="00712575"/>
    <w:rsid w:val="0072028E"/>
    <w:rsid w:val="00723683"/>
    <w:rsid w:val="00723DDE"/>
    <w:rsid w:val="00726DE1"/>
    <w:rsid w:val="00727A09"/>
    <w:rsid w:val="0073155E"/>
    <w:rsid w:val="00731F37"/>
    <w:rsid w:val="0073289B"/>
    <w:rsid w:val="007338D5"/>
    <w:rsid w:val="00736242"/>
    <w:rsid w:val="00746A43"/>
    <w:rsid w:val="00750258"/>
    <w:rsid w:val="00751EDC"/>
    <w:rsid w:val="00752D17"/>
    <w:rsid w:val="00753AE9"/>
    <w:rsid w:val="00755EF2"/>
    <w:rsid w:val="00757106"/>
    <w:rsid w:val="0076408C"/>
    <w:rsid w:val="00765769"/>
    <w:rsid w:val="00766445"/>
    <w:rsid w:val="007712A4"/>
    <w:rsid w:val="007713A3"/>
    <w:rsid w:val="00772357"/>
    <w:rsid w:val="00772A6B"/>
    <w:rsid w:val="007748EA"/>
    <w:rsid w:val="00777475"/>
    <w:rsid w:val="0078039D"/>
    <w:rsid w:val="007821F5"/>
    <w:rsid w:val="0078402F"/>
    <w:rsid w:val="0078651E"/>
    <w:rsid w:val="00786B46"/>
    <w:rsid w:val="007873CC"/>
    <w:rsid w:val="007877E9"/>
    <w:rsid w:val="00787B61"/>
    <w:rsid w:val="00791DAF"/>
    <w:rsid w:val="0079251C"/>
    <w:rsid w:val="00794C24"/>
    <w:rsid w:val="007953B2"/>
    <w:rsid w:val="0079540A"/>
    <w:rsid w:val="007956FD"/>
    <w:rsid w:val="0079740D"/>
    <w:rsid w:val="007A2E89"/>
    <w:rsid w:val="007A3715"/>
    <w:rsid w:val="007A5C39"/>
    <w:rsid w:val="007A5CB1"/>
    <w:rsid w:val="007A6413"/>
    <w:rsid w:val="007A66C4"/>
    <w:rsid w:val="007A7978"/>
    <w:rsid w:val="007B0FC8"/>
    <w:rsid w:val="007B117D"/>
    <w:rsid w:val="007B5F20"/>
    <w:rsid w:val="007B792D"/>
    <w:rsid w:val="007C0921"/>
    <w:rsid w:val="007C1A26"/>
    <w:rsid w:val="007C2A79"/>
    <w:rsid w:val="007C2E10"/>
    <w:rsid w:val="007C3500"/>
    <w:rsid w:val="007C5B95"/>
    <w:rsid w:val="007C5BD0"/>
    <w:rsid w:val="007D2990"/>
    <w:rsid w:val="007E13BA"/>
    <w:rsid w:val="007E36F7"/>
    <w:rsid w:val="007E491A"/>
    <w:rsid w:val="007E5A30"/>
    <w:rsid w:val="007F07A4"/>
    <w:rsid w:val="007F3D53"/>
    <w:rsid w:val="007F3D98"/>
    <w:rsid w:val="007F4BCD"/>
    <w:rsid w:val="007F678F"/>
    <w:rsid w:val="007F7D67"/>
    <w:rsid w:val="0080050C"/>
    <w:rsid w:val="008008FD"/>
    <w:rsid w:val="00801313"/>
    <w:rsid w:val="008033CD"/>
    <w:rsid w:val="0080393F"/>
    <w:rsid w:val="0080431D"/>
    <w:rsid w:val="00804C0A"/>
    <w:rsid w:val="00804CEC"/>
    <w:rsid w:val="0080718F"/>
    <w:rsid w:val="00807A2F"/>
    <w:rsid w:val="00811BF6"/>
    <w:rsid w:val="00815A60"/>
    <w:rsid w:val="00815B4F"/>
    <w:rsid w:val="008162C0"/>
    <w:rsid w:val="008173F7"/>
    <w:rsid w:val="00820720"/>
    <w:rsid w:val="0083416F"/>
    <w:rsid w:val="008352EB"/>
    <w:rsid w:val="008458F6"/>
    <w:rsid w:val="00850AAD"/>
    <w:rsid w:val="008519A8"/>
    <w:rsid w:val="00851B28"/>
    <w:rsid w:val="0085246C"/>
    <w:rsid w:val="008530FE"/>
    <w:rsid w:val="00854B5C"/>
    <w:rsid w:val="00856D72"/>
    <w:rsid w:val="00862CEC"/>
    <w:rsid w:val="00866FC8"/>
    <w:rsid w:val="00870136"/>
    <w:rsid w:val="008731EC"/>
    <w:rsid w:val="00876C6F"/>
    <w:rsid w:val="0087761B"/>
    <w:rsid w:val="00880E43"/>
    <w:rsid w:val="00882AB0"/>
    <w:rsid w:val="0088747C"/>
    <w:rsid w:val="00892333"/>
    <w:rsid w:val="00897EF0"/>
    <w:rsid w:val="008B10A4"/>
    <w:rsid w:val="008B1A1E"/>
    <w:rsid w:val="008B4A2F"/>
    <w:rsid w:val="008C1279"/>
    <w:rsid w:val="008C175E"/>
    <w:rsid w:val="008C29E3"/>
    <w:rsid w:val="008C30F9"/>
    <w:rsid w:val="008C5AC2"/>
    <w:rsid w:val="008C75CD"/>
    <w:rsid w:val="008D08C6"/>
    <w:rsid w:val="008D1CCE"/>
    <w:rsid w:val="008D21E0"/>
    <w:rsid w:val="008D3FF7"/>
    <w:rsid w:val="008D551B"/>
    <w:rsid w:val="008D699F"/>
    <w:rsid w:val="008D732B"/>
    <w:rsid w:val="008D7996"/>
    <w:rsid w:val="008E31BA"/>
    <w:rsid w:val="008E47D6"/>
    <w:rsid w:val="008E511B"/>
    <w:rsid w:val="008E5C84"/>
    <w:rsid w:val="008F000E"/>
    <w:rsid w:val="008F1F42"/>
    <w:rsid w:val="008F25B5"/>
    <w:rsid w:val="008F452A"/>
    <w:rsid w:val="008F5EE9"/>
    <w:rsid w:val="00902189"/>
    <w:rsid w:val="00902EDC"/>
    <w:rsid w:val="00904235"/>
    <w:rsid w:val="009046E3"/>
    <w:rsid w:val="0090523C"/>
    <w:rsid w:val="00905247"/>
    <w:rsid w:val="00905675"/>
    <w:rsid w:val="00905D5F"/>
    <w:rsid w:val="00906A31"/>
    <w:rsid w:val="00907517"/>
    <w:rsid w:val="00910418"/>
    <w:rsid w:val="00910711"/>
    <w:rsid w:val="009107D6"/>
    <w:rsid w:val="009114F2"/>
    <w:rsid w:val="00913403"/>
    <w:rsid w:val="00916955"/>
    <w:rsid w:val="009179DA"/>
    <w:rsid w:val="00920DAE"/>
    <w:rsid w:val="00922D9C"/>
    <w:rsid w:val="009243C1"/>
    <w:rsid w:val="00924418"/>
    <w:rsid w:val="00925C12"/>
    <w:rsid w:val="00930798"/>
    <w:rsid w:val="00930F99"/>
    <w:rsid w:val="00933395"/>
    <w:rsid w:val="00935BD8"/>
    <w:rsid w:val="009407D0"/>
    <w:rsid w:val="009450B3"/>
    <w:rsid w:val="00945B70"/>
    <w:rsid w:val="00946512"/>
    <w:rsid w:val="00947EAF"/>
    <w:rsid w:val="00951EEC"/>
    <w:rsid w:val="00952513"/>
    <w:rsid w:val="00953535"/>
    <w:rsid w:val="00954D8B"/>
    <w:rsid w:val="00957CAC"/>
    <w:rsid w:val="00957F70"/>
    <w:rsid w:val="009620BE"/>
    <w:rsid w:val="00964390"/>
    <w:rsid w:val="00965C02"/>
    <w:rsid w:val="00966B83"/>
    <w:rsid w:val="0097000D"/>
    <w:rsid w:val="0097003C"/>
    <w:rsid w:val="00974562"/>
    <w:rsid w:val="00974E3A"/>
    <w:rsid w:val="0097687A"/>
    <w:rsid w:val="00980667"/>
    <w:rsid w:val="00985303"/>
    <w:rsid w:val="00986B3B"/>
    <w:rsid w:val="00987BB9"/>
    <w:rsid w:val="00987FE0"/>
    <w:rsid w:val="00990FD3"/>
    <w:rsid w:val="00991C77"/>
    <w:rsid w:val="00993AB5"/>
    <w:rsid w:val="009940EB"/>
    <w:rsid w:val="0099504B"/>
    <w:rsid w:val="0099582C"/>
    <w:rsid w:val="009A091B"/>
    <w:rsid w:val="009A4E71"/>
    <w:rsid w:val="009A5AE4"/>
    <w:rsid w:val="009A77D9"/>
    <w:rsid w:val="009B06F2"/>
    <w:rsid w:val="009B1C88"/>
    <w:rsid w:val="009B42F5"/>
    <w:rsid w:val="009B59D5"/>
    <w:rsid w:val="009C14CE"/>
    <w:rsid w:val="009C1560"/>
    <w:rsid w:val="009C5846"/>
    <w:rsid w:val="009C6C2E"/>
    <w:rsid w:val="009D130B"/>
    <w:rsid w:val="009D1DFB"/>
    <w:rsid w:val="009D4B32"/>
    <w:rsid w:val="009D5916"/>
    <w:rsid w:val="009D741F"/>
    <w:rsid w:val="009E2034"/>
    <w:rsid w:val="009E21B9"/>
    <w:rsid w:val="009E4154"/>
    <w:rsid w:val="009E5F44"/>
    <w:rsid w:val="009E77E8"/>
    <w:rsid w:val="009F17CF"/>
    <w:rsid w:val="009F4EA5"/>
    <w:rsid w:val="009F6078"/>
    <w:rsid w:val="00A01343"/>
    <w:rsid w:val="00A01D6C"/>
    <w:rsid w:val="00A0299C"/>
    <w:rsid w:val="00A02B3F"/>
    <w:rsid w:val="00A03C51"/>
    <w:rsid w:val="00A07875"/>
    <w:rsid w:val="00A14DB3"/>
    <w:rsid w:val="00A17ABD"/>
    <w:rsid w:val="00A2214F"/>
    <w:rsid w:val="00A25230"/>
    <w:rsid w:val="00A25A0C"/>
    <w:rsid w:val="00A2747A"/>
    <w:rsid w:val="00A31854"/>
    <w:rsid w:val="00A33696"/>
    <w:rsid w:val="00A37075"/>
    <w:rsid w:val="00A40095"/>
    <w:rsid w:val="00A4022B"/>
    <w:rsid w:val="00A41222"/>
    <w:rsid w:val="00A4485A"/>
    <w:rsid w:val="00A469A6"/>
    <w:rsid w:val="00A523FB"/>
    <w:rsid w:val="00A53EE7"/>
    <w:rsid w:val="00A554C5"/>
    <w:rsid w:val="00A55A7F"/>
    <w:rsid w:val="00A572C9"/>
    <w:rsid w:val="00A60616"/>
    <w:rsid w:val="00A671F1"/>
    <w:rsid w:val="00A678CA"/>
    <w:rsid w:val="00A719D2"/>
    <w:rsid w:val="00A724F7"/>
    <w:rsid w:val="00A72571"/>
    <w:rsid w:val="00A72EE1"/>
    <w:rsid w:val="00A759A5"/>
    <w:rsid w:val="00A7652D"/>
    <w:rsid w:val="00A77B43"/>
    <w:rsid w:val="00A81BA3"/>
    <w:rsid w:val="00A82B04"/>
    <w:rsid w:val="00A83326"/>
    <w:rsid w:val="00A83B3A"/>
    <w:rsid w:val="00A84150"/>
    <w:rsid w:val="00A84D74"/>
    <w:rsid w:val="00A8504E"/>
    <w:rsid w:val="00A90620"/>
    <w:rsid w:val="00A94B41"/>
    <w:rsid w:val="00A951C6"/>
    <w:rsid w:val="00AA1AE5"/>
    <w:rsid w:val="00AA2DDF"/>
    <w:rsid w:val="00AA7185"/>
    <w:rsid w:val="00AB039F"/>
    <w:rsid w:val="00AB0B1C"/>
    <w:rsid w:val="00AB1038"/>
    <w:rsid w:val="00AB407C"/>
    <w:rsid w:val="00AB4CA0"/>
    <w:rsid w:val="00AB5163"/>
    <w:rsid w:val="00AB792F"/>
    <w:rsid w:val="00AC0FA6"/>
    <w:rsid w:val="00AC263C"/>
    <w:rsid w:val="00AC263E"/>
    <w:rsid w:val="00AC2AD7"/>
    <w:rsid w:val="00AD58BE"/>
    <w:rsid w:val="00AD671A"/>
    <w:rsid w:val="00AD6AC3"/>
    <w:rsid w:val="00AD766C"/>
    <w:rsid w:val="00AD7AB2"/>
    <w:rsid w:val="00AE2FD2"/>
    <w:rsid w:val="00AE3700"/>
    <w:rsid w:val="00AE38D3"/>
    <w:rsid w:val="00AE59C4"/>
    <w:rsid w:val="00AF150E"/>
    <w:rsid w:val="00AF2C21"/>
    <w:rsid w:val="00AF5E24"/>
    <w:rsid w:val="00AF6892"/>
    <w:rsid w:val="00B00173"/>
    <w:rsid w:val="00B0074C"/>
    <w:rsid w:val="00B05FFD"/>
    <w:rsid w:val="00B06D89"/>
    <w:rsid w:val="00B10148"/>
    <w:rsid w:val="00B171BC"/>
    <w:rsid w:val="00B20544"/>
    <w:rsid w:val="00B2287B"/>
    <w:rsid w:val="00B230AE"/>
    <w:rsid w:val="00B27374"/>
    <w:rsid w:val="00B314EF"/>
    <w:rsid w:val="00B3172C"/>
    <w:rsid w:val="00B35028"/>
    <w:rsid w:val="00B40D29"/>
    <w:rsid w:val="00B4107C"/>
    <w:rsid w:val="00B413CF"/>
    <w:rsid w:val="00B42558"/>
    <w:rsid w:val="00B4271C"/>
    <w:rsid w:val="00B42801"/>
    <w:rsid w:val="00B44937"/>
    <w:rsid w:val="00B4718A"/>
    <w:rsid w:val="00B479F7"/>
    <w:rsid w:val="00B50022"/>
    <w:rsid w:val="00B501E3"/>
    <w:rsid w:val="00B51CEC"/>
    <w:rsid w:val="00B52225"/>
    <w:rsid w:val="00B53DA0"/>
    <w:rsid w:val="00B5466C"/>
    <w:rsid w:val="00B56D8C"/>
    <w:rsid w:val="00B57FF5"/>
    <w:rsid w:val="00B702A2"/>
    <w:rsid w:val="00B70922"/>
    <w:rsid w:val="00B7717A"/>
    <w:rsid w:val="00B8340C"/>
    <w:rsid w:val="00B908B1"/>
    <w:rsid w:val="00B940C3"/>
    <w:rsid w:val="00B956CC"/>
    <w:rsid w:val="00B965B5"/>
    <w:rsid w:val="00BA1AE1"/>
    <w:rsid w:val="00BA3DB9"/>
    <w:rsid w:val="00BA5904"/>
    <w:rsid w:val="00BA6502"/>
    <w:rsid w:val="00BA6935"/>
    <w:rsid w:val="00BB1426"/>
    <w:rsid w:val="00BB1E0C"/>
    <w:rsid w:val="00BB7CFB"/>
    <w:rsid w:val="00BC128E"/>
    <w:rsid w:val="00BC1A27"/>
    <w:rsid w:val="00BC1CF7"/>
    <w:rsid w:val="00BC3C73"/>
    <w:rsid w:val="00BC3D5A"/>
    <w:rsid w:val="00BC47E1"/>
    <w:rsid w:val="00BC5B68"/>
    <w:rsid w:val="00BC653A"/>
    <w:rsid w:val="00BC6D47"/>
    <w:rsid w:val="00BD627D"/>
    <w:rsid w:val="00BD6817"/>
    <w:rsid w:val="00BE0B6C"/>
    <w:rsid w:val="00BE20E0"/>
    <w:rsid w:val="00BE2ADD"/>
    <w:rsid w:val="00BE4866"/>
    <w:rsid w:val="00BE7345"/>
    <w:rsid w:val="00BF24D1"/>
    <w:rsid w:val="00BF4CF1"/>
    <w:rsid w:val="00BF7816"/>
    <w:rsid w:val="00BF799F"/>
    <w:rsid w:val="00C01309"/>
    <w:rsid w:val="00C01EF8"/>
    <w:rsid w:val="00C03370"/>
    <w:rsid w:val="00C07A25"/>
    <w:rsid w:val="00C10D4F"/>
    <w:rsid w:val="00C16679"/>
    <w:rsid w:val="00C22997"/>
    <w:rsid w:val="00C24120"/>
    <w:rsid w:val="00C32147"/>
    <w:rsid w:val="00C3314E"/>
    <w:rsid w:val="00C36C99"/>
    <w:rsid w:val="00C40098"/>
    <w:rsid w:val="00C40818"/>
    <w:rsid w:val="00C41B1B"/>
    <w:rsid w:val="00C4268F"/>
    <w:rsid w:val="00C44CBF"/>
    <w:rsid w:val="00C464C7"/>
    <w:rsid w:val="00C46673"/>
    <w:rsid w:val="00C4726C"/>
    <w:rsid w:val="00C515DB"/>
    <w:rsid w:val="00C53AD6"/>
    <w:rsid w:val="00C54E86"/>
    <w:rsid w:val="00C575D1"/>
    <w:rsid w:val="00C62A1D"/>
    <w:rsid w:val="00C639D6"/>
    <w:rsid w:val="00C64E2D"/>
    <w:rsid w:val="00C73246"/>
    <w:rsid w:val="00C74293"/>
    <w:rsid w:val="00C74731"/>
    <w:rsid w:val="00C74B16"/>
    <w:rsid w:val="00C76D35"/>
    <w:rsid w:val="00C83F2A"/>
    <w:rsid w:val="00C8474C"/>
    <w:rsid w:val="00C86867"/>
    <w:rsid w:val="00C91950"/>
    <w:rsid w:val="00C95DBB"/>
    <w:rsid w:val="00CA30DD"/>
    <w:rsid w:val="00CA3406"/>
    <w:rsid w:val="00CA37DF"/>
    <w:rsid w:val="00CA4A8B"/>
    <w:rsid w:val="00CA7507"/>
    <w:rsid w:val="00CB05AD"/>
    <w:rsid w:val="00CB0FAE"/>
    <w:rsid w:val="00CB17E7"/>
    <w:rsid w:val="00CB2A0B"/>
    <w:rsid w:val="00CC2355"/>
    <w:rsid w:val="00CC3E17"/>
    <w:rsid w:val="00CC4EB8"/>
    <w:rsid w:val="00CC6C77"/>
    <w:rsid w:val="00CD2E6F"/>
    <w:rsid w:val="00CD3684"/>
    <w:rsid w:val="00CE0E84"/>
    <w:rsid w:val="00CE26D2"/>
    <w:rsid w:val="00CE2DF4"/>
    <w:rsid w:val="00CE3493"/>
    <w:rsid w:val="00CE7239"/>
    <w:rsid w:val="00CE7BFB"/>
    <w:rsid w:val="00CE7ED7"/>
    <w:rsid w:val="00CF2FC2"/>
    <w:rsid w:val="00CF74DE"/>
    <w:rsid w:val="00D01522"/>
    <w:rsid w:val="00D0219A"/>
    <w:rsid w:val="00D02732"/>
    <w:rsid w:val="00D0515F"/>
    <w:rsid w:val="00D07AEF"/>
    <w:rsid w:val="00D10E84"/>
    <w:rsid w:val="00D12622"/>
    <w:rsid w:val="00D13952"/>
    <w:rsid w:val="00D13DCD"/>
    <w:rsid w:val="00D1476A"/>
    <w:rsid w:val="00D1523C"/>
    <w:rsid w:val="00D179D6"/>
    <w:rsid w:val="00D200BF"/>
    <w:rsid w:val="00D27401"/>
    <w:rsid w:val="00D278BF"/>
    <w:rsid w:val="00D349CF"/>
    <w:rsid w:val="00D3575D"/>
    <w:rsid w:val="00D3628A"/>
    <w:rsid w:val="00D37153"/>
    <w:rsid w:val="00D422D0"/>
    <w:rsid w:val="00D43EF1"/>
    <w:rsid w:val="00D444B2"/>
    <w:rsid w:val="00D46342"/>
    <w:rsid w:val="00D47C5D"/>
    <w:rsid w:val="00D47C95"/>
    <w:rsid w:val="00D51639"/>
    <w:rsid w:val="00D52555"/>
    <w:rsid w:val="00D544DE"/>
    <w:rsid w:val="00D5649D"/>
    <w:rsid w:val="00D57E37"/>
    <w:rsid w:val="00D6170F"/>
    <w:rsid w:val="00D64148"/>
    <w:rsid w:val="00D64933"/>
    <w:rsid w:val="00D64AC1"/>
    <w:rsid w:val="00D70251"/>
    <w:rsid w:val="00D7063C"/>
    <w:rsid w:val="00D711B5"/>
    <w:rsid w:val="00D7696E"/>
    <w:rsid w:val="00D80B55"/>
    <w:rsid w:val="00D81C89"/>
    <w:rsid w:val="00D82819"/>
    <w:rsid w:val="00D82F1F"/>
    <w:rsid w:val="00D86262"/>
    <w:rsid w:val="00D8696A"/>
    <w:rsid w:val="00D86BEC"/>
    <w:rsid w:val="00D87E56"/>
    <w:rsid w:val="00D90524"/>
    <w:rsid w:val="00D93689"/>
    <w:rsid w:val="00D946E0"/>
    <w:rsid w:val="00D97920"/>
    <w:rsid w:val="00DA2B79"/>
    <w:rsid w:val="00DA3A42"/>
    <w:rsid w:val="00DB15B2"/>
    <w:rsid w:val="00DB4B69"/>
    <w:rsid w:val="00DB4BC4"/>
    <w:rsid w:val="00DB5F0F"/>
    <w:rsid w:val="00DB64B2"/>
    <w:rsid w:val="00DB668E"/>
    <w:rsid w:val="00DB7740"/>
    <w:rsid w:val="00DB7B41"/>
    <w:rsid w:val="00DC0686"/>
    <w:rsid w:val="00DC23E8"/>
    <w:rsid w:val="00DC2BA9"/>
    <w:rsid w:val="00DC3464"/>
    <w:rsid w:val="00DC3979"/>
    <w:rsid w:val="00DC5E11"/>
    <w:rsid w:val="00DC7DE4"/>
    <w:rsid w:val="00DD27E6"/>
    <w:rsid w:val="00DD3FD7"/>
    <w:rsid w:val="00DD711E"/>
    <w:rsid w:val="00DE00EE"/>
    <w:rsid w:val="00DE274A"/>
    <w:rsid w:val="00DE7268"/>
    <w:rsid w:val="00DE748E"/>
    <w:rsid w:val="00DF3DE8"/>
    <w:rsid w:val="00DF4E54"/>
    <w:rsid w:val="00E03E32"/>
    <w:rsid w:val="00E061E2"/>
    <w:rsid w:val="00E06568"/>
    <w:rsid w:val="00E070BE"/>
    <w:rsid w:val="00E075FA"/>
    <w:rsid w:val="00E0768F"/>
    <w:rsid w:val="00E1059F"/>
    <w:rsid w:val="00E105F4"/>
    <w:rsid w:val="00E10C22"/>
    <w:rsid w:val="00E115BB"/>
    <w:rsid w:val="00E12B7B"/>
    <w:rsid w:val="00E12C9F"/>
    <w:rsid w:val="00E139DB"/>
    <w:rsid w:val="00E15D83"/>
    <w:rsid w:val="00E1646D"/>
    <w:rsid w:val="00E256BB"/>
    <w:rsid w:val="00E30016"/>
    <w:rsid w:val="00E3018F"/>
    <w:rsid w:val="00E31713"/>
    <w:rsid w:val="00E32AF1"/>
    <w:rsid w:val="00E36FE1"/>
    <w:rsid w:val="00E37361"/>
    <w:rsid w:val="00E4214A"/>
    <w:rsid w:val="00E42301"/>
    <w:rsid w:val="00E43714"/>
    <w:rsid w:val="00E43B25"/>
    <w:rsid w:val="00E51ADF"/>
    <w:rsid w:val="00E55A7A"/>
    <w:rsid w:val="00E574C3"/>
    <w:rsid w:val="00E57A9F"/>
    <w:rsid w:val="00E60816"/>
    <w:rsid w:val="00E63178"/>
    <w:rsid w:val="00E641C8"/>
    <w:rsid w:val="00E65D87"/>
    <w:rsid w:val="00E66440"/>
    <w:rsid w:val="00E66E63"/>
    <w:rsid w:val="00E67F65"/>
    <w:rsid w:val="00E72114"/>
    <w:rsid w:val="00E73D44"/>
    <w:rsid w:val="00E77DE3"/>
    <w:rsid w:val="00E85164"/>
    <w:rsid w:val="00E85F74"/>
    <w:rsid w:val="00E86186"/>
    <w:rsid w:val="00E87E7D"/>
    <w:rsid w:val="00E91938"/>
    <w:rsid w:val="00E92113"/>
    <w:rsid w:val="00EA0675"/>
    <w:rsid w:val="00EA1C9F"/>
    <w:rsid w:val="00EB16E9"/>
    <w:rsid w:val="00EB3100"/>
    <w:rsid w:val="00EB3BA4"/>
    <w:rsid w:val="00EB4650"/>
    <w:rsid w:val="00EB66D1"/>
    <w:rsid w:val="00EC5732"/>
    <w:rsid w:val="00EC5B43"/>
    <w:rsid w:val="00EC5E86"/>
    <w:rsid w:val="00ED1ADD"/>
    <w:rsid w:val="00ED1B14"/>
    <w:rsid w:val="00ED4B6B"/>
    <w:rsid w:val="00ED4FAF"/>
    <w:rsid w:val="00EE05AC"/>
    <w:rsid w:val="00EE2467"/>
    <w:rsid w:val="00EE5E02"/>
    <w:rsid w:val="00EE6DDA"/>
    <w:rsid w:val="00EE7296"/>
    <w:rsid w:val="00EF3002"/>
    <w:rsid w:val="00EF6535"/>
    <w:rsid w:val="00EF7A61"/>
    <w:rsid w:val="00F00B43"/>
    <w:rsid w:val="00F01368"/>
    <w:rsid w:val="00F014B1"/>
    <w:rsid w:val="00F024AD"/>
    <w:rsid w:val="00F025DB"/>
    <w:rsid w:val="00F03250"/>
    <w:rsid w:val="00F04817"/>
    <w:rsid w:val="00F074F7"/>
    <w:rsid w:val="00F101E3"/>
    <w:rsid w:val="00F11C89"/>
    <w:rsid w:val="00F203AA"/>
    <w:rsid w:val="00F21E07"/>
    <w:rsid w:val="00F22322"/>
    <w:rsid w:val="00F23BC2"/>
    <w:rsid w:val="00F26A62"/>
    <w:rsid w:val="00F26E08"/>
    <w:rsid w:val="00F27B0A"/>
    <w:rsid w:val="00F27EAD"/>
    <w:rsid w:val="00F27EFF"/>
    <w:rsid w:val="00F30271"/>
    <w:rsid w:val="00F309DC"/>
    <w:rsid w:val="00F329E9"/>
    <w:rsid w:val="00F3408E"/>
    <w:rsid w:val="00F34FB9"/>
    <w:rsid w:val="00F42562"/>
    <w:rsid w:val="00F444C7"/>
    <w:rsid w:val="00F467F4"/>
    <w:rsid w:val="00F46D8A"/>
    <w:rsid w:val="00F53CCE"/>
    <w:rsid w:val="00F54B10"/>
    <w:rsid w:val="00F54CB4"/>
    <w:rsid w:val="00F5524D"/>
    <w:rsid w:val="00F56D96"/>
    <w:rsid w:val="00F642C5"/>
    <w:rsid w:val="00F65C04"/>
    <w:rsid w:val="00F670B9"/>
    <w:rsid w:val="00F70F3B"/>
    <w:rsid w:val="00F74457"/>
    <w:rsid w:val="00F74621"/>
    <w:rsid w:val="00F746EC"/>
    <w:rsid w:val="00F74D59"/>
    <w:rsid w:val="00F75E89"/>
    <w:rsid w:val="00F75F63"/>
    <w:rsid w:val="00F7674E"/>
    <w:rsid w:val="00F80EA9"/>
    <w:rsid w:val="00F82093"/>
    <w:rsid w:val="00F838E8"/>
    <w:rsid w:val="00F843CD"/>
    <w:rsid w:val="00F8581B"/>
    <w:rsid w:val="00F864D8"/>
    <w:rsid w:val="00F87204"/>
    <w:rsid w:val="00F909F4"/>
    <w:rsid w:val="00F91089"/>
    <w:rsid w:val="00F9361B"/>
    <w:rsid w:val="00F9399C"/>
    <w:rsid w:val="00F959CF"/>
    <w:rsid w:val="00F961C5"/>
    <w:rsid w:val="00F96976"/>
    <w:rsid w:val="00F96DFA"/>
    <w:rsid w:val="00FA17C2"/>
    <w:rsid w:val="00FA2175"/>
    <w:rsid w:val="00FA3540"/>
    <w:rsid w:val="00FA4AD1"/>
    <w:rsid w:val="00FA4E4B"/>
    <w:rsid w:val="00FA58DD"/>
    <w:rsid w:val="00FB22B4"/>
    <w:rsid w:val="00FB292E"/>
    <w:rsid w:val="00FB31CB"/>
    <w:rsid w:val="00FB3698"/>
    <w:rsid w:val="00FB78E7"/>
    <w:rsid w:val="00FC008C"/>
    <w:rsid w:val="00FC01C8"/>
    <w:rsid w:val="00FC1850"/>
    <w:rsid w:val="00FC2335"/>
    <w:rsid w:val="00FC2725"/>
    <w:rsid w:val="00FC7DC0"/>
    <w:rsid w:val="00FD2966"/>
    <w:rsid w:val="00FD3812"/>
    <w:rsid w:val="00FD5201"/>
    <w:rsid w:val="00FD581E"/>
    <w:rsid w:val="00FE0FA1"/>
    <w:rsid w:val="00FE3645"/>
    <w:rsid w:val="00FE4279"/>
    <w:rsid w:val="00FE6058"/>
    <w:rsid w:val="00FE696C"/>
    <w:rsid w:val="00FE6B50"/>
    <w:rsid w:val="00FF3874"/>
    <w:rsid w:val="00FF449A"/>
    <w:rsid w:val="00FF519D"/>
    <w:rsid w:val="00FF56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Tablaconcuadrcu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4E4C6A"/>
    <w:pPr>
      <w:tabs>
        <w:tab w:val="left" w:pos="567"/>
        <w:tab w:val="left" w:pos="851"/>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2E28B2"/>
    <w:pPr>
      <w:tabs>
        <w:tab w:val="left" w:pos="567"/>
        <w:tab w:val="right" w:leader="dot" w:pos="8828"/>
      </w:tabs>
      <w:spacing w:after="100" w:line="276" w:lineRule="auto"/>
      <w:ind w:left="567" w:hanging="425"/>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381175837">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601128">
      <w:bodyDiv w:val="1"/>
      <w:marLeft w:val="0"/>
      <w:marRight w:val="0"/>
      <w:marTop w:val="0"/>
      <w:marBottom w:val="0"/>
      <w:divBdr>
        <w:top w:val="none" w:sz="0" w:space="0" w:color="auto"/>
        <w:left w:val="none" w:sz="0" w:space="0" w:color="auto"/>
        <w:bottom w:val="none" w:sz="0" w:space="0" w:color="auto"/>
        <w:right w:val="none" w:sz="0" w:space="0" w:color="auto"/>
      </w:divBdr>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 w:id="191492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7CA25-2928-46D1-BB5F-80BC99CA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6884</Words>
  <Characters>37862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Saidy Espinosa Ramirez</dc:creator>
  <cp:keywords/>
  <dc:description/>
  <cp:lastModifiedBy>Saidy Espinosa</cp:lastModifiedBy>
  <cp:revision>19</cp:revision>
  <cp:lastPrinted>2020-10-23T15:43:00Z</cp:lastPrinted>
  <dcterms:created xsi:type="dcterms:W3CDTF">2020-10-22T16:13:00Z</dcterms:created>
  <dcterms:modified xsi:type="dcterms:W3CDTF">2020-10-27T15:30:00Z</dcterms:modified>
</cp:coreProperties>
</file>