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19096396" w:displacedByCustomXml="next"/>
    <w:bookmarkStart w:id="1" w:name="_Toc520277593"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505C26" w:rsidRDefault="0078651E" w:rsidP="00505C26">
          <w:pPr>
            <w:spacing w:line="276" w:lineRule="auto"/>
            <w:jc w:val="center"/>
            <w:rPr>
              <w:rFonts w:ascii="Arial" w:hAnsi="Arial" w:cs="Arial"/>
              <w:b/>
            </w:rPr>
          </w:pPr>
          <w:r w:rsidRPr="00505C26">
            <w:rPr>
              <w:rFonts w:ascii="Arial" w:hAnsi="Arial" w:cs="Arial"/>
              <w:lang w:val="es-ES"/>
            </w:rPr>
            <w:t xml:space="preserve">                                              </w:t>
          </w:r>
          <w:r w:rsidRPr="00505C26">
            <w:rPr>
              <w:rFonts w:ascii="Arial" w:hAnsi="Arial" w:cs="Arial"/>
              <w:b/>
            </w:rPr>
            <w:t>Í N   D   I   C   E                                              PÁGINA</w:t>
          </w:r>
        </w:p>
        <w:p w14:paraId="410E017D" w14:textId="77777777" w:rsidR="0078651E" w:rsidRPr="00505C26" w:rsidRDefault="0078651E" w:rsidP="00505C26">
          <w:pPr>
            <w:pStyle w:val="TtuloTDC"/>
            <w:spacing w:before="0" w:line="276" w:lineRule="auto"/>
            <w:jc w:val="both"/>
            <w:rPr>
              <w:rFonts w:ascii="Arial" w:hAnsi="Arial" w:cs="Arial"/>
              <w:sz w:val="24"/>
              <w:szCs w:val="24"/>
            </w:rPr>
          </w:pPr>
        </w:p>
        <w:p w14:paraId="515BF086" w14:textId="274E70EA" w:rsidR="0078651E" w:rsidRPr="00505C26" w:rsidRDefault="0078651E" w:rsidP="00505C26">
          <w:pPr>
            <w:pStyle w:val="TDC1"/>
            <w:rPr>
              <w:rStyle w:val="Hipervnculo"/>
              <w:rFonts w:cs="Arial"/>
              <w:noProof/>
            </w:rPr>
          </w:pPr>
          <w:r w:rsidRPr="00505C26">
            <w:rPr>
              <w:rFonts w:cs="Arial"/>
            </w:rPr>
            <w:fldChar w:fldCharType="begin"/>
          </w:r>
          <w:r w:rsidRPr="00505C26">
            <w:rPr>
              <w:rFonts w:cs="Arial"/>
            </w:rPr>
            <w:instrText xml:space="preserve"> TOC \o "1-3" \h \z \u </w:instrText>
          </w:r>
          <w:r w:rsidRPr="00505C26">
            <w:rPr>
              <w:rFonts w:cs="Arial"/>
            </w:rPr>
            <w:fldChar w:fldCharType="separate"/>
          </w:r>
          <w:hyperlink w:anchor="_Toc51083008" w:history="1">
            <w:r w:rsidRPr="00505C26">
              <w:rPr>
                <w:rStyle w:val="Hipervnculo"/>
                <w:rFonts w:cs="Arial"/>
                <w:noProof/>
              </w:rPr>
              <w:t>INTRODUCCIÓN</w:t>
            </w:r>
            <w:r w:rsidR="006D195C">
              <w:rPr>
                <w:rStyle w:val="Hipervnculo"/>
                <w:rFonts w:cs="Arial"/>
                <w:noProof/>
              </w:rPr>
              <w:t>………………………………………………………………………...</w:t>
            </w:r>
            <w:r w:rsidRPr="00505C26">
              <w:rPr>
                <w:rStyle w:val="Hipervnculo"/>
                <w:rFonts w:cs="Arial"/>
                <w:noProof/>
                <w:webHidden/>
              </w:rPr>
              <w:tab/>
            </w:r>
            <w:r w:rsidRPr="00505C26">
              <w:rPr>
                <w:rStyle w:val="Hipervnculo"/>
                <w:rFonts w:cs="Arial"/>
                <w:noProof/>
                <w:webHidden/>
              </w:rPr>
              <w:fldChar w:fldCharType="begin"/>
            </w:r>
            <w:r w:rsidRPr="00505C26">
              <w:rPr>
                <w:rStyle w:val="Hipervnculo"/>
                <w:rFonts w:cs="Arial"/>
                <w:noProof/>
                <w:webHidden/>
              </w:rPr>
              <w:instrText xml:space="preserve"> PAGEREF _Toc51083008 \h </w:instrText>
            </w:r>
            <w:r w:rsidRPr="00505C26">
              <w:rPr>
                <w:rStyle w:val="Hipervnculo"/>
                <w:rFonts w:cs="Arial"/>
                <w:noProof/>
                <w:webHidden/>
              </w:rPr>
            </w:r>
            <w:r w:rsidRPr="00505C26">
              <w:rPr>
                <w:rStyle w:val="Hipervnculo"/>
                <w:rFonts w:cs="Arial"/>
                <w:noProof/>
                <w:webHidden/>
              </w:rPr>
              <w:fldChar w:fldCharType="separate"/>
            </w:r>
            <w:r w:rsidR="00841925">
              <w:rPr>
                <w:rStyle w:val="Hipervnculo"/>
                <w:rFonts w:cs="Arial"/>
                <w:noProof/>
                <w:webHidden/>
              </w:rPr>
              <w:t>2</w:t>
            </w:r>
            <w:r w:rsidRPr="00505C26">
              <w:rPr>
                <w:rStyle w:val="Hipervnculo"/>
                <w:rFonts w:cs="Arial"/>
                <w:noProof/>
                <w:webHidden/>
              </w:rPr>
              <w:fldChar w:fldCharType="end"/>
            </w:r>
          </w:hyperlink>
        </w:p>
        <w:p w14:paraId="4F2735E5" w14:textId="20D7E565" w:rsidR="0078651E" w:rsidRPr="00505C26" w:rsidRDefault="00841925" w:rsidP="00505C26">
          <w:pPr>
            <w:pStyle w:val="TDC1"/>
            <w:rPr>
              <w:rStyle w:val="Hipervnculo"/>
              <w:rFonts w:cs="Arial"/>
              <w:noProof/>
            </w:rPr>
          </w:pPr>
          <w:hyperlink w:anchor="_Toc51083009" w:history="1">
            <w:r w:rsidR="0078651E" w:rsidRPr="00505C26">
              <w:rPr>
                <w:rStyle w:val="Hipervnculo"/>
                <w:rFonts w:cs="Arial"/>
                <w:noProof/>
              </w:rPr>
              <w:t>I.</w:t>
            </w:r>
            <w:r w:rsidR="0078651E" w:rsidRPr="00505C26">
              <w:rPr>
                <w:rStyle w:val="Hipervnculo"/>
                <w:rFonts w:cs="Arial"/>
                <w:noProof/>
              </w:rPr>
              <w:tab/>
              <w:t>ANTECEDENTES DE LA ENTIDAD FISCALIZADA</w:t>
            </w:r>
            <w:r w:rsidR="006D195C">
              <w:rPr>
                <w:rStyle w:val="Hipervnculo"/>
                <w:rFonts w:cs="Arial"/>
                <w:noProof/>
              </w:rPr>
              <w:t>…………………………..</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_Toc51083009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4</w:t>
            </w:r>
            <w:r w:rsidR="0078651E" w:rsidRPr="00505C26">
              <w:rPr>
                <w:rStyle w:val="Hipervnculo"/>
                <w:rFonts w:cs="Arial"/>
                <w:noProof/>
                <w:webHidden/>
              </w:rPr>
              <w:fldChar w:fldCharType="end"/>
            </w:r>
          </w:hyperlink>
        </w:p>
        <w:p w14:paraId="2E4B7DA4" w14:textId="451D3714" w:rsidR="0078651E" w:rsidRPr="00505C26" w:rsidRDefault="00841925" w:rsidP="00505C26">
          <w:pPr>
            <w:pStyle w:val="TDC1"/>
            <w:rPr>
              <w:rStyle w:val="Hipervnculo"/>
              <w:rFonts w:cs="Arial"/>
              <w:noProof/>
            </w:rPr>
          </w:pPr>
          <w:hyperlink w:anchor="_Toc51083010" w:history="1">
            <w:r w:rsidR="0078651E" w:rsidRPr="00505C26">
              <w:rPr>
                <w:rStyle w:val="Hipervnculo"/>
                <w:rFonts w:cs="Arial"/>
                <w:noProof/>
              </w:rPr>
              <w:t>II.</w:t>
            </w:r>
            <w:r w:rsidR="0078651E" w:rsidRPr="00505C26">
              <w:rPr>
                <w:rStyle w:val="Hipervnculo"/>
                <w:rFonts w:cs="Arial"/>
                <w:noProof/>
              </w:rPr>
              <w:tab/>
              <w:t>ASPECTOS GENERALES DE AUDITORÍA</w:t>
            </w:r>
            <w:r w:rsidR="006D195C">
              <w:rPr>
                <w:rStyle w:val="Hipervnculo"/>
                <w:rFonts w:cs="Arial"/>
                <w:noProof/>
              </w:rPr>
              <w:t>…………………………………….</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_Toc51083010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6</w:t>
            </w:r>
            <w:r w:rsidR="0078651E" w:rsidRPr="00505C26">
              <w:rPr>
                <w:rStyle w:val="Hipervnculo"/>
                <w:rFonts w:cs="Arial"/>
                <w:noProof/>
                <w:webHidden/>
              </w:rPr>
              <w:fldChar w:fldCharType="end"/>
            </w:r>
          </w:hyperlink>
        </w:p>
        <w:p w14:paraId="211FC230" w14:textId="0D509437" w:rsidR="0078651E" w:rsidRPr="00505C26" w:rsidRDefault="00841925" w:rsidP="00505C26">
          <w:pPr>
            <w:pStyle w:val="TDC2"/>
            <w:tabs>
              <w:tab w:val="clear" w:pos="567"/>
              <w:tab w:val="left" w:pos="709"/>
            </w:tabs>
            <w:ind w:left="851" w:hanging="284"/>
            <w:rPr>
              <w:rStyle w:val="Hipervnculo"/>
              <w:rFonts w:cs="Arial"/>
              <w:noProof/>
            </w:rPr>
          </w:pPr>
          <w:hyperlink w:anchor="_Toc51083011" w:history="1">
            <w:r w:rsidR="0078651E" w:rsidRPr="00505C26">
              <w:rPr>
                <w:rStyle w:val="Hipervnculo"/>
                <w:rFonts w:cs="Arial"/>
                <w:noProof/>
              </w:rPr>
              <w:t>A.</w:t>
            </w:r>
            <w:r w:rsidR="0078651E" w:rsidRPr="00505C26">
              <w:rPr>
                <w:rStyle w:val="Hipervnculo"/>
                <w:rFonts w:cs="Arial"/>
                <w:noProof/>
              </w:rPr>
              <w:tab/>
              <w:t>Título de la Auditoría</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_Toc51083011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6</w:t>
            </w:r>
            <w:r w:rsidR="0078651E" w:rsidRPr="00505C26">
              <w:rPr>
                <w:rStyle w:val="Hipervnculo"/>
                <w:rFonts w:cs="Arial"/>
                <w:noProof/>
                <w:webHidden/>
              </w:rPr>
              <w:fldChar w:fldCharType="end"/>
            </w:r>
          </w:hyperlink>
        </w:p>
        <w:p w14:paraId="5A697B76" w14:textId="3E95DD66" w:rsidR="0078651E" w:rsidRPr="00505C26" w:rsidRDefault="00841925" w:rsidP="00505C26">
          <w:pPr>
            <w:pStyle w:val="TDC2"/>
            <w:tabs>
              <w:tab w:val="clear" w:pos="567"/>
              <w:tab w:val="left" w:pos="709"/>
            </w:tabs>
            <w:ind w:left="851" w:hanging="284"/>
            <w:rPr>
              <w:rStyle w:val="Hipervnculo"/>
              <w:rFonts w:cs="Arial"/>
              <w:noProof/>
            </w:rPr>
          </w:pPr>
          <w:hyperlink w:anchor="_Toc51083012" w:history="1">
            <w:r w:rsidR="0078651E" w:rsidRPr="00505C26">
              <w:rPr>
                <w:rStyle w:val="Hipervnculo"/>
                <w:rFonts w:cs="Arial"/>
                <w:noProof/>
              </w:rPr>
              <w:t>B.</w:t>
            </w:r>
            <w:r w:rsidR="0078651E" w:rsidRPr="00505C26">
              <w:rPr>
                <w:rStyle w:val="Hipervnculo"/>
                <w:rFonts w:cs="Arial"/>
                <w:noProof/>
              </w:rPr>
              <w:tab/>
              <w:t>Objetivo</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_Toc51083012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6</w:t>
            </w:r>
            <w:r w:rsidR="0078651E" w:rsidRPr="00505C26">
              <w:rPr>
                <w:rStyle w:val="Hipervnculo"/>
                <w:rFonts w:cs="Arial"/>
                <w:noProof/>
                <w:webHidden/>
              </w:rPr>
              <w:fldChar w:fldCharType="end"/>
            </w:r>
          </w:hyperlink>
        </w:p>
        <w:p w14:paraId="1BB23769" w14:textId="3BB82ACC" w:rsidR="0078651E" w:rsidRPr="00505C26" w:rsidRDefault="00841925" w:rsidP="00505C26">
          <w:pPr>
            <w:pStyle w:val="TDC2"/>
            <w:tabs>
              <w:tab w:val="clear" w:pos="567"/>
              <w:tab w:val="left" w:pos="709"/>
            </w:tabs>
            <w:ind w:left="851" w:hanging="284"/>
            <w:rPr>
              <w:rStyle w:val="Hipervnculo"/>
              <w:rFonts w:cs="Arial"/>
              <w:noProof/>
            </w:rPr>
          </w:pPr>
          <w:hyperlink w:anchor="_Toc51083013" w:history="1">
            <w:r w:rsidR="0078651E" w:rsidRPr="00505C26">
              <w:rPr>
                <w:rStyle w:val="Hipervnculo"/>
                <w:rFonts w:cs="Arial"/>
                <w:noProof/>
              </w:rPr>
              <w:t>C.</w:t>
            </w:r>
            <w:r w:rsidR="0078651E" w:rsidRPr="00505C26">
              <w:rPr>
                <w:rStyle w:val="Hipervnculo"/>
                <w:rFonts w:cs="Arial"/>
                <w:noProof/>
              </w:rPr>
              <w:tab/>
              <w:t>Alcance</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_Toc51083013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7</w:t>
            </w:r>
            <w:r w:rsidR="0078651E" w:rsidRPr="00505C26">
              <w:rPr>
                <w:rStyle w:val="Hipervnculo"/>
                <w:rFonts w:cs="Arial"/>
                <w:noProof/>
                <w:webHidden/>
              </w:rPr>
              <w:fldChar w:fldCharType="end"/>
            </w:r>
          </w:hyperlink>
        </w:p>
        <w:p w14:paraId="1F046CF2" w14:textId="5782613F" w:rsidR="0078651E" w:rsidRPr="00505C26" w:rsidRDefault="00841925" w:rsidP="00505C26">
          <w:pPr>
            <w:pStyle w:val="TDC2"/>
            <w:tabs>
              <w:tab w:val="clear" w:pos="567"/>
              <w:tab w:val="left" w:pos="709"/>
            </w:tabs>
            <w:ind w:left="851" w:hanging="284"/>
            <w:rPr>
              <w:rStyle w:val="Hipervnculo"/>
              <w:rFonts w:cs="Arial"/>
              <w:noProof/>
            </w:rPr>
          </w:pPr>
          <w:hyperlink w:anchor="_Toc51083014" w:history="1">
            <w:r w:rsidR="0078651E" w:rsidRPr="00505C26">
              <w:rPr>
                <w:rStyle w:val="Hipervnculo"/>
                <w:rFonts w:cs="Arial"/>
                <w:noProof/>
              </w:rPr>
              <w:t>D.</w:t>
            </w:r>
            <w:r w:rsidR="0078651E" w:rsidRPr="00505C26">
              <w:rPr>
                <w:rStyle w:val="Hipervnculo"/>
                <w:rFonts w:cs="Arial"/>
                <w:noProof/>
              </w:rPr>
              <w:tab/>
              <w:t>Criterios de Selección</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_Toc51083014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7</w:t>
            </w:r>
            <w:r w:rsidR="0078651E" w:rsidRPr="00505C26">
              <w:rPr>
                <w:rStyle w:val="Hipervnculo"/>
                <w:rFonts w:cs="Arial"/>
                <w:noProof/>
                <w:webHidden/>
              </w:rPr>
              <w:fldChar w:fldCharType="end"/>
            </w:r>
          </w:hyperlink>
        </w:p>
        <w:p w14:paraId="07D4436E" w14:textId="09DD92C5" w:rsidR="0078651E" w:rsidRPr="00505C26" w:rsidRDefault="00841925" w:rsidP="00505C26">
          <w:pPr>
            <w:pStyle w:val="TDC2"/>
            <w:tabs>
              <w:tab w:val="clear" w:pos="567"/>
              <w:tab w:val="left" w:pos="709"/>
            </w:tabs>
            <w:ind w:left="851" w:hanging="284"/>
            <w:rPr>
              <w:rStyle w:val="Hipervnculo"/>
              <w:rFonts w:cs="Arial"/>
              <w:noProof/>
            </w:rPr>
          </w:pPr>
          <w:hyperlink w:anchor="_Toc51083015" w:history="1">
            <w:r w:rsidR="0078651E" w:rsidRPr="00505C26">
              <w:rPr>
                <w:rStyle w:val="Hipervnculo"/>
                <w:rFonts w:cs="Arial"/>
                <w:noProof/>
              </w:rPr>
              <w:t>E.</w:t>
            </w:r>
            <w:r w:rsidR="0078651E" w:rsidRPr="00505C26">
              <w:rPr>
                <w:rStyle w:val="Hipervnculo"/>
                <w:rFonts w:cs="Arial"/>
                <w:noProof/>
              </w:rPr>
              <w:tab/>
              <w:t>Áreas Revisadas</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_Toc51083015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8</w:t>
            </w:r>
            <w:r w:rsidR="0078651E" w:rsidRPr="00505C26">
              <w:rPr>
                <w:rStyle w:val="Hipervnculo"/>
                <w:rFonts w:cs="Arial"/>
                <w:noProof/>
                <w:webHidden/>
              </w:rPr>
              <w:fldChar w:fldCharType="end"/>
            </w:r>
          </w:hyperlink>
        </w:p>
        <w:p w14:paraId="752B7952" w14:textId="3FB750AF" w:rsidR="0078651E" w:rsidRPr="00505C26" w:rsidRDefault="00841925" w:rsidP="00505C26">
          <w:pPr>
            <w:pStyle w:val="TDC2"/>
            <w:tabs>
              <w:tab w:val="clear" w:pos="567"/>
              <w:tab w:val="left" w:pos="709"/>
            </w:tabs>
            <w:ind w:left="851" w:hanging="284"/>
            <w:rPr>
              <w:rStyle w:val="Hipervnculo"/>
              <w:rFonts w:cs="Arial"/>
              <w:noProof/>
            </w:rPr>
          </w:pPr>
          <w:hyperlink w:anchor="_Toc51083016" w:history="1">
            <w:r w:rsidR="0078651E" w:rsidRPr="00505C26">
              <w:rPr>
                <w:rStyle w:val="Hipervnculo"/>
                <w:rFonts w:cs="Arial"/>
                <w:noProof/>
              </w:rPr>
              <w:t>F.</w:t>
            </w:r>
            <w:r w:rsidR="0078651E" w:rsidRPr="00505C26">
              <w:rPr>
                <w:rStyle w:val="Hipervnculo"/>
                <w:rFonts w:cs="Arial"/>
                <w:noProof/>
              </w:rPr>
              <w:tab/>
              <w:t>Procedimientos de Auditoría Aplicados</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_Toc51083016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8</w:t>
            </w:r>
            <w:r w:rsidR="0078651E" w:rsidRPr="00505C26">
              <w:rPr>
                <w:rStyle w:val="Hipervnculo"/>
                <w:rFonts w:cs="Arial"/>
                <w:noProof/>
                <w:webHidden/>
              </w:rPr>
              <w:fldChar w:fldCharType="end"/>
            </w:r>
          </w:hyperlink>
        </w:p>
        <w:p w14:paraId="1FDA3EFE" w14:textId="397E860D" w:rsidR="0078651E" w:rsidRPr="00505C26" w:rsidRDefault="00841925" w:rsidP="00505C26">
          <w:pPr>
            <w:pStyle w:val="TDC2"/>
            <w:tabs>
              <w:tab w:val="clear" w:pos="567"/>
              <w:tab w:val="left" w:pos="709"/>
            </w:tabs>
            <w:ind w:left="851" w:hanging="284"/>
            <w:rPr>
              <w:rStyle w:val="Hipervnculo"/>
              <w:rFonts w:cs="Arial"/>
              <w:noProof/>
            </w:rPr>
          </w:pPr>
          <w:hyperlink w:anchor="_Toc51083017" w:history="1">
            <w:r w:rsidR="0078651E" w:rsidRPr="00505C26">
              <w:rPr>
                <w:rStyle w:val="Hipervnculo"/>
                <w:rFonts w:cs="Arial"/>
                <w:noProof/>
              </w:rPr>
              <w:t>G.</w:t>
            </w:r>
            <w:r w:rsidR="0078651E" w:rsidRPr="00505C26">
              <w:rPr>
                <w:rStyle w:val="Hipervnculo"/>
                <w:rFonts w:cs="Arial"/>
                <w:noProof/>
              </w:rPr>
              <w:tab/>
              <w:t xml:space="preserve">Servidores Públicos </w:t>
            </w:r>
            <w:r w:rsidR="00915A75" w:rsidRPr="00915A75">
              <w:rPr>
                <w:rStyle w:val="Hipervnculo"/>
                <w:rFonts w:cs="Arial"/>
                <w:noProof/>
              </w:rPr>
              <w:t>que intervinieron en la Auditoría</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_Toc51083017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9</w:t>
            </w:r>
            <w:r w:rsidR="0078651E" w:rsidRPr="00505C26">
              <w:rPr>
                <w:rStyle w:val="Hipervnculo"/>
                <w:rFonts w:cs="Arial"/>
                <w:noProof/>
                <w:webHidden/>
              </w:rPr>
              <w:fldChar w:fldCharType="end"/>
            </w:r>
          </w:hyperlink>
        </w:p>
        <w:p w14:paraId="12AF6806" w14:textId="377FCE9D" w:rsidR="0078651E" w:rsidRPr="00505C26" w:rsidRDefault="00841925" w:rsidP="00505C26">
          <w:pPr>
            <w:pStyle w:val="TDC1"/>
            <w:rPr>
              <w:rStyle w:val="Hipervnculo"/>
              <w:rFonts w:cs="Arial"/>
              <w:noProof/>
            </w:rPr>
          </w:pPr>
          <w:hyperlink w:anchor="_Toc51083018" w:history="1">
            <w:r w:rsidR="0078651E" w:rsidRPr="00505C26">
              <w:rPr>
                <w:rStyle w:val="Hipervnculo"/>
                <w:rFonts w:cs="Arial"/>
                <w:noProof/>
              </w:rPr>
              <w:t>III.</w:t>
            </w:r>
            <w:r w:rsidR="0078651E" w:rsidRPr="00505C26">
              <w:rPr>
                <w:rStyle w:val="Hipervnculo"/>
                <w:rFonts w:cs="Arial"/>
                <w:noProof/>
              </w:rPr>
              <w:tab/>
              <w:t>RESULTADOS</w:t>
            </w:r>
            <w:r w:rsidR="006D195C">
              <w:rPr>
                <w:rStyle w:val="Hipervnculo"/>
                <w:rFonts w:cs="Arial"/>
                <w:noProof/>
              </w:rPr>
              <w:t>………………………………………………………………………</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_Toc51083018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9</w:t>
            </w:r>
            <w:r w:rsidR="0078651E" w:rsidRPr="00505C26">
              <w:rPr>
                <w:rStyle w:val="Hipervnculo"/>
                <w:rFonts w:cs="Arial"/>
                <w:noProof/>
                <w:webHidden/>
              </w:rPr>
              <w:fldChar w:fldCharType="end"/>
            </w:r>
          </w:hyperlink>
        </w:p>
        <w:p w14:paraId="6E36682C" w14:textId="5D27AF0C" w:rsidR="0078651E" w:rsidRPr="00505C26" w:rsidRDefault="00841925" w:rsidP="00505C26">
          <w:pPr>
            <w:pStyle w:val="TDC2"/>
            <w:tabs>
              <w:tab w:val="clear" w:pos="567"/>
              <w:tab w:val="left" w:pos="851"/>
            </w:tabs>
            <w:ind w:left="851" w:hanging="284"/>
            <w:rPr>
              <w:rStyle w:val="Hipervnculo"/>
              <w:rFonts w:cs="Arial"/>
              <w:noProof/>
            </w:rPr>
          </w:pPr>
          <w:hyperlink w:anchor="_Toc51083019" w:history="1">
            <w:r w:rsidR="0078651E" w:rsidRPr="00505C26">
              <w:rPr>
                <w:rStyle w:val="Hipervnculo"/>
                <w:rFonts w:cs="Arial"/>
                <w:noProof/>
              </w:rPr>
              <w:t>A.</w:t>
            </w:r>
            <w:r w:rsidR="0078651E" w:rsidRPr="00505C26">
              <w:rPr>
                <w:rStyle w:val="Hipervnculo"/>
                <w:rFonts w:cs="Arial"/>
                <w:noProof/>
              </w:rPr>
              <w:tab/>
              <w:t>Resumen general de observaciones y acciones emitidas en materia de desempeño.</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_Toc51083019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9</w:t>
            </w:r>
            <w:r w:rsidR="0078651E" w:rsidRPr="00505C26">
              <w:rPr>
                <w:rStyle w:val="Hipervnculo"/>
                <w:rFonts w:cs="Arial"/>
                <w:noProof/>
                <w:webHidden/>
              </w:rPr>
              <w:fldChar w:fldCharType="end"/>
            </w:r>
          </w:hyperlink>
        </w:p>
        <w:p w14:paraId="38475074" w14:textId="3FF0E755" w:rsidR="0078651E" w:rsidRPr="00505C26" w:rsidRDefault="00841925" w:rsidP="00505C26">
          <w:pPr>
            <w:pStyle w:val="TDC2"/>
            <w:tabs>
              <w:tab w:val="clear" w:pos="567"/>
              <w:tab w:val="left" w:pos="851"/>
            </w:tabs>
            <w:ind w:left="851" w:hanging="284"/>
            <w:rPr>
              <w:rStyle w:val="Hipervnculo"/>
              <w:rFonts w:cs="Arial"/>
              <w:noProof/>
            </w:rPr>
          </w:pPr>
          <w:hyperlink w:anchor="_Toc51083020" w:history="1">
            <w:r w:rsidR="0078651E" w:rsidRPr="00505C26">
              <w:rPr>
                <w:rStyle w:val="Hipervnculo"/>
                <w:rFonts w:cs="Arial"/>
                <w:noProof/>
              </w:rPr>
              <w:t>B.</w:t>
            </w:r>
            <w:r w:rsidR="0078651E" w:rsidRPr="00505C26">
              <w:rPr>
                <w:rStyle w:val="Hipervnculo"/>
                <w:rFonts w:cs="Arial"/>
                <w:noProof/>
              </w:rPr>
              <w:tab/>
              <w:t>Detalle de Resultados</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_Toc51083020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10</w:t>
            </w:r>
            <w:r w:rsidR="0078651E" w:rsidRPr="00505C26">
              <w:rPr>
                <w:rStyle w:val="Hipervnculo"/>
                <w:rFonts w:cs="Arial"/>
                <w:noProof/>
                <w:webHidden/>
              </w:rPr>
              <w:fldChar w:fldCharType="end"/>
            </w:r>
          </w:hyperlink>
        </w:p>
        <w:p w14:paraId="22E63E58" w14:textId="052C8555" w:rsidR="0078651E" w:rsidRPr="00505C26" w:rsidRDefault="00841925" w:rsidP="00505C26">
          <w:pPr>
            <w:pStyle w:val="TDC2"/>
            <w:rPr>
              <w:rStyle w:val="Hipervnculo"/>
              <w:rFonts w:cs="Arial"/>
              <w:noProof/>
            </w:rPr>
          </w:pPr>
          <w:hyperlink w:anchor="_Toc51083027" w:history="1">
            <w:r w:rsidR="0078651E" w:rsidRPr="00505C26">
              <w:rPr>
                <w:rStyle w:val="Hipervnculo"/>
                <w:rFonts w:cs="Arial"/>
                <w:noProof/>
              </w:rPr>
              <w:t>IV.</w:t>
            </w:r>
            <w:r w:rsidR="0078651E" w:rsidRPr="00505C26">
              <w:rPr>
                <w:rStyle w:val="Hipervnculo"/>
                <w:rFonts w:cs="Arial"/>
                <w:noProof/>
              </w:rPr>
              <w:tab/>
              <w:t>COMENTARIOS DE LA ENTIDAD FISCALIZADA</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_Toc51083027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22</w:t>
            </w:r>
            <w:r w:rsidR="0078651E" w:rsidRPr="00505C26">
              <w:rPr>
                <w:rStyle w:val="Hipervnculo"/>
                <w:rFonts w:cs="Arial"/>
                <w:noProof/>
                <w:webHidden/>
              </w:rPr>
              <w:fldChar w:fldCharType="end"/>
            </w:r>
          </w:hyperlink>
        </w:p>
        <w:p w14:paraId="75F28564" w14:textId="5969D230" w:rsidR="0078651E" w:rsidRPr="00505C26" w:rsidRDefault="00841925" w:rsidP="00505C26">
          <w:pPr>
            <w:pStyle w:val="TDC2"/>
            <w:rPr>
              <w:rStyle w:val="Hipervnculo"/>
              <w:rFonts w:cs="Arial"/>
              <w:noProof/>
            </w:rPr>
          </w:pPr>
          <w:hyperlink w:anchor="_Toc51083028" w:history="1">
            <w:r w:rsidR="0078651E" w:rsidRPr="00505C26">
              <w:rPr>
                <w:rStyle w:val="Hipervnculo"/>
                <w:rFonts w:cs="Arial"/>
                <w:noProof/>
              </w:rPr>
              <w:t>V.</w:t>
            </w:r>
            <w:r w:rsidR="0078651E" w:rsidRPr="00505C26">
              <w:rPr>
                <w:rStyle w:val="Hipervnculo"/>
                <w:rFonts w:cs="Arial"/>
                <w:noProof/>
              </w:rPr>
              <w:tab/>
              <w:t>TABLA DE JUSTIFICACIONES Y ACLARACIONES DE LOS RESULTADOS</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_Toc51083028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23</w:t>
            </w:r>
            <w:r w:rsidR="0078651E" w:rsidRPr="00505C26">
              <w:rPr>
                <w:rStyle w:val="Hipervnculo"/>
                <w:rFonts w:cs="Arial"/>
                <w:noProof/>
                <w:webHidden/>
              </w:rPr>
              <w:fldChar w:fldCharType="end"/>
            </w:r>
          </w:hyperlink>
        </w:p>
        <w:p w14:paraId="73F43BD8" w14:textId="51CA84F6" w:rsidR="0078651E" w:rsidRPr="00505C26" w:rsidRDefault="00841925" w:rsidP="00505C26">
          <w:pPr>
            <w:pStyle w:val="TDC2"/>
            <w:rPr>
              <w:rFonts w:eastAsiaTheme="minorEastAsia" w:cs="Arial"/>
              <w:noProof/>
              <w:lang w:eastAsia="es-MX"/>
            </w:rPr>
          </w:pPr>
          <w:hyperlink w:anchor="_Toc51083029" w:history="1">
            <w:r w:rsidR="0078651E" w:rsidRPr="00505C26">
              <w:rPr>
                <w:rStyle w:val="Hipervnculo"/>
                <w:rFonts w:cs="Arial"/>
                <w:noProof/>
              </w:rPr>
              <w:t>VI.</w:t>
            </w:r>
            <w:r w:rsidR="0078651E" w:rsidRPr="00505C26">
              <w:rPr>
                <w:rStyle w:val="Hipervnculo"/>
                <w:rFonts w:cs="Arial"/>
                <w:noProof/>
              </w:rPr>
              <w:tab/>
              <w:t>DICTAMEN</w:t>
            </w:r>
            <w:r w:rsidR="0078651E" w:rsidRPr="00505C26">
              <w:rPr>
                <w:rStyle w:val="Hipervnculo"/>
                <w:rFonts w:cs="Arial"/>
                <w:noProof/>
                <w:webHidden/>
              </w:rPr>
              <w:tab/>
            </w:r>
            <w:r w:rsidR="0078651E" w:rsidRPr="00505C26">
              <w:rPr>
                <w:rStyle w:val="Hipervnculo"/>
                <w:rFonts w:cs="Arial"/>
                <w:noProof/>
                <w:webHidden/>
              </w:rPr>
              <w:fldChar w:fldCharType="begin"/>
            </w:r>
            <w:r w:rsidR="0078651E" w:rsidRPr="00505C26">
              <w:rPr>
                <w:rStyle w:val="Hipervnculo"/>
                <w:rFonts w:cs="Arial"/>
                <w:noProof/>
                <w:webHidden/>
              </w:rPr>
              <w:instrText xml:space="preserve"> PAGEREF _Toc51083029 \h </w:instrText>
            </w:r>
            <w:r w:rsidR="0078651E" w:rsidRPr="00505C26">
              <w:rPr>
                <w:rStyle w:val="Hipervnculo"/>
                <w:rFonts w:cs="Arial"/>
                <w:noProof/>
                <w:webHidden/>
              </w:rPr>
            </w:r>
            <w:r w:rsidR="0078651E" w:rsidRPr="00505C26">
              <w:rPr>
                <w:rStyle w:val="Hipervnculo"/>
                <w:rFonts w:cs="Arial"/>
                <w:noProof/>
                <w:webHidden/>
              </w:rPr>
              <w:fldChar w:fldCharType="separate"/>
            </w:r>
            <w:r>
              <w:rPr>
                <w:rStyle w:val="Hipervnculo"/>
                <w:rFonts w:cs="Arial"/>
                <w:noProof/>
                <w:webHidden/>
              </w:rPr>
              <w:t>23</w:t>
            </w:r>
            <w:r w:rsidR="0078651E" w:rsidRPr="00505C26">
              <w:rPr>
                <w:rStyle w:val="Hipervnculo"/>
                <w:rFonts w:cs="Arial"/>
                <w:noProof/>
                <w:webHidden/>
              </w:rPr>
              <w:fldChar w:fldCharType="end"/>
            </w:r>
          </w:hyperlink>
        </w:p>
        <w:p w14:paraId="7BA8CAAC" w14:textId="746B25DB" w:rsidR="0078651E" w:rsidRPr="00505C26" w:rsidRDefault="0078651E" w:rsidP="00505C26">
          <w:pPr>
            <w:spacing w:line="276" w:lineRule="auto"/>
            <w:jc w:val="both"/>
            <w:rPr>
              <w:rFonts w:ascii="Arial" w:hAnsi="Arial" w:cs="Arial"/>
              <w:b/>
              <w:bCs/>
              <w:lang w:val="es-ES"/>
            </w:rPr>
          </w:pPr>
          <w:r w:rsidRPr="00505C26">
            <w:rPr>
              <w:rFonts w:ascii="Arial" w:hAnsi="Arial" w:cs="Arial"/>
              <w:b/>
              <w:bCs/>
              <w:lang w:val="es-ES"/>
            </w:rPr>
            <w:fldChar w:fldCharType="end"/>
          </w:r>
        </w:p>
      </w:sdtContent>
    </w:sdt>
    <w:p w14:paraId="7F5DC65E" w14:textId="77777777" w:rsidR="0078651E" w:rsidRPr="00505C26" w:rsidRDefault="0078651E" w:rsidP="00505C26">
      <w:pPr>
        <w:spacing w:line="276" w:lineRule="auto"/>
        <w:rPr>
          <w:rFonts w:ascii="Arial" w:hAnsi="Arial" w:cs="Arial"/>
        </w:rPr>
      </w:pPr>
    </w:p>
    <w:p w14:paraId="41EB9F4F" w14:textId="483EFFA2" w:rsidR="002E28B2" w:rsidRPr="00505C26" w:rsidRDefault="002E28B2" w:rsidP="00505C26">
      <w:pPr>
        <w:spacing w:line="276" w:lineRule="auto"/>
        <w:rPr>
          <w:rFonts w:ascii="Arial" w:hAnsi="Arial" w:cs="Arial"/>
        </w:rPr>
      </w:pPr>
    </w:p>
    <w:p w14:paraId="33E1C9D6" w14:textId="3D7D0149" w:rsidR="002E28B2" w:rsidRPr="00505C26" w:rsidRDefault="002E28B2" w:rsidP="00505C26">
      <w:pPr>
        <w:spacing w:line="276" w:lineRule="auto"/>
        <w:rPr>
          <w:rFonts w:ascii="Arial" w:hAnsi="Arial" w:cs="Arial"/>
        </w:rPr>
      </w:pPr>
    </w:p>
    <w:p w14:paraId="7FA71AEB" w14:textId="1382986F" w:rsidR="002E28B2" w:rsidRPr="00505C26" w:rsidRDefault="002E28B2" w:rsidP="00505C26">
      <w:pPr>
        <w:spacing w:line="276" w:lineRule="auto"/>
        <w:rPr>
          <w:rFonts w:ascii="Arial" w:hAnsi="Arial" w:cs="Arial"/>
        </w:rPr>
      </w:pPr>
    </w:p>
    <w:p w14:paraId="141EA7BA" w14:textId="2030558F" w:rsidR="0078651E" w:rsidRPr="00505C26" w:rsidRDefault="0078651E" w:rsidP="00505C26">
      <w:pPr>
        <w:spacing w:line="276" w:lineRule="auto"/>
        <w:rPr>
          <w:rFonts w:ascii="Arial" w:hAnsi="Arial" w:cs="Arial"/>
        </w:rPr>
      </w:pPr>
    </w:p>
    <w:p w14:paraId="794F233E" w14:textId="5F7F68AC" w:rsidR="0078651E" w:rsidRPr="00505C26" w:rsidRDefault="0078651E" w:rsidP="00505C26">
      <w:pPr>
        <w:spacing w:line="276" w:lineRule="auto"/>
        <w:rPr>
          <w:rFonts w:ascii="Arial" w:hAnsi="Arial" w:cs="Arial"/>
        </w:rPr>
      </w:pPr>
    </w:p>
    <w:p w14:paraId="35DF8A0B" w14:textId="77777777" w:rsidR="0078651E" w:rsidRPr="00505C26" w:rsidRDefault="0078651E" w:rsidP="00505C26">
      <w:pPr>
        <w:spacing w:line="276" w:lineRule="auto"/>
        <w:rPr>
          <w:rFonts w:ascii="Arial" w:hAnsi="Arial" w:cs="Arial"/>
        </w:rPr>
      </w:pPr>
    </w:p>
    <w:p w14:paraId="47304BEC" w14:textId="77777777" w:rsidR="0078651E" w:rsidRPr="00505C26" w:rsidRDefault="0078651E" w:rsidP="00505C26">
      <w:pPr>
        <w:spacing w:line="276" w:lineRule="auto"/>
        <w:rPr>
          <w:rFonts w:ascii="Arial" w:hAnsi="Arial" w:cs="Arial"/>
        </w:rPr>
      </w:pPr>
    </w:p>
    <w:p w14:paraId="58C61C45" w14:textId="77777777" w:rsidR="00354B93" w:rsidRPr="00505C26" w:rsidRDefault="00354B93" w:rsidP="00505C26">
      <w:pPr>
        <w:pStyle w:val="Ttulo1"/>
        <w:spacing w:line="276" w:lineRule="auto"/>
        <w:rPr>
          <w:rFonts w:cs="Arial"/>
          <w:szCs w:val="24"/>
        </w:rPr>
      </w:pPr>
      <w:bookmarkStart w:id="2" w:name="_Toc522715964"/>
      <w:bookmarkStart w:id="3" w:name="_Toc51083008"/>
      <w:r w:rsidRPr="00505C26">
        <w:rPr>
          <w:rFonts w:cs="Arial"/>
          <w:szCs w:val="24"/>
        </w:rPr>
        <w:t>INTRODUCCIÓN</w:t>
      </w:r>
      <w:bookmarkEnd w:id="2"/>
      <w:bookmarkEnd w:id="3"/>
      <w:bookmarkEnd w:id="1"/>
      <w:bookmarkEnd w:id="0"/>
    </w:p>
    <w:p w14:paraId="43377136" w14:textId="77777777" w:rsidR="00354B93" w:rsidRPr="00505C26" w:rsidRDefault="00354B93" w:rsidP="00505C26">
      <w:pPr>
        <w:spacing w:line="276" w:lineRule="auto"/>
        <w:jc w:val="both"/>
        <w:rPr>
          <w:rFonts w:ascii="Arial" w:hAnsi="Arial" w:cs="Arial"/>
          <w:b/>
          <w:bCs/>
        </w:rPr>
      </w:pPr>
    </w:p>
    <w:p w14:paraId="04300126" w14:textId="5780A1E8" w:rsidR="00576F0D" w:rsidRPr="00505C26" w:rsidRDefault="00576F0D" w:rsidP="00505C26">
      <w:pPr>
        <w:spacing w:line="276" w:lineRule="auto"/>
        <w:jc w:val="both"/>
        <w:rPr>
          <w:rFonts w:ascii="Arial" w:hAnsi="Arial" w:cs="Arial"/>
        </w:rPr>
      </w:pPr>
      <w:r w:rsidRPr="00505C26">
        <w:rPr>
          <w:rFonts w:ascii="Arial" w:hAnsi="Arial" w:cs="Arial"/>
          <w:bCs/>
        </w:rPr>
        <w:t xml:space="preserve">Por disposición contenida en los artículos 75 fracción XXIX </w:t>
      </w:r>
      <w:r w:rsidRPr="00505C26">
        <w:rPr>
          <w:rFonts w:ascii="Arial" w:hAnsi="Arial" w:cs="Arial"/>
        </w:rPr>
        <w:t xml:space="preserve">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 las representan de presentar </w:t>
      </w:r>
      <w:r w:rsidR="00A54EF3" w:rsidRPr="00505C26">
        <w:rPr>
          <w:rFonts w:ascii="Arial" w:hAnsi="Arial" w:cs="Arial"/>
        </w:rPr>
        <w:t>su</w:t>
      </w:r>
      <w:r w:rsidRPr="00505C26">
        <w:rPr>
          <w:rFonts w:ascii="Arial" w:hAnsi="Arial" w:cs="Arial"/>
        </w:rPr>
        <w:t xml:space="preserve"> Cuenta Pública para efectos de que sea revisada y fiscalizada.</w:t>
      </w:r>
    </w:p>
    <w:p w14:paraId="40A8D05E" w14:textId="77777777" w:rsidR="00576F0D" w:rsidRPr="00505C26" w:rsidRDefault="00576F0D" w:rsidP="00505C26">
      <w:pPr>
        <w:spacing w:line="276" w:lineRule="auto"/>
        <w:jc w:val="both"/>
        <w:rPr>
          <w:rFonts w:ascii="Arial" w:hAnsi="Arial" w:cs="Arial"/>
          <w:bCs/>
        </w:rPr>
      </w:pPr>
    </w:p>
    <w:p w14:paraId="274E7D84" w14:textId="77777777" w:rsidR="00576F0D" w:rsidRPr="00505C26" w:rsidRDefault="00576F0D" w:rsidP="00505C26">
      <w:pPr>
        <w:spacing w:line="276" w:lineRule="auto"/>
        <w:jc w:val="both"/>
        <w:rPr>
          <w:rFonts w:ascii="Arial" w:hAnsi="Arial" w:cs="Arial"/>
          <w:bCs/>
        </w:rPr>
      </w:pPr>
      <w:r w:rsidRPr="00505C26">
        <w:rPr>
          <w:rFonts w:ascii="Arial" w:hAnsi="Arial" w:cs="Arial"/>
          <w:bCs/>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estatales.</w:t>
      </w:r>
    </w:p>
    <w:p w14:paraId="1C2C7D1B" w14:textId="77777777" w:rsidR="00354B93" w:rsidRPr="00505C26" w:rsidRDefault="00354B93" w:rsidP="00505C26">
      <w:pPr>
        <w:spacing w:line="276" w:lineRule="auto"/>
        <w:jc w:val="both"/>
        <w:rPr>
          <w:rFonts w:ascii="Arial" w:hAnsi="Arial" w:cs="Arial"/>
          <w:bCs/>
        </w:rPr>
      </w:pPr>
    </w:p>
    <w:p w14:paraId="71C82B6E" w14:textId="3C5F5050" w:rsidR="00882AB0" w:rsidRPr="00505C26" w:rsidRDefault="00882AB0" w:rsidP="00505C26">
      <w:pPr>
        <w:spacing w:line="276" w:lineRule="auto"/>
        <w:jc w:val="both"/>
        <w:rPr>
          <w:rFonts w:ascii="Arial" w:hAnsi="Arial" w:cs="Arial"/>
          <w:bCs/>
        </w:rPr>
      </w:pPr>
      <w:r w:rsidRPr="00505C26">
        <w:rPr>
          <w:rFonts w:ascii="Arial" w:hAnsi="Arial" w:cs="Arial"/>
          <w:bCs/>
        </w:rPr>
        <w:t>La formulación, revisión y apr</w:t>
      </w:r>
      <w:r w:rsidR="00FF268F" w:rsidRPr="00505C26">
        <w:rPr>
          <w:rFonts w:ascii="Arial" w:hAnsi="Arial" w:cs="Arial"/>
          <w:bCs/>
        </w:rPr>
        <w:t xml:space="preserve">obación de la Cuenta Pública del </w:t>
      </w:r>
      <w:r w:rsidR="00FF268F" w:rsidRPr="00505C26">
        <w:rPr>
          <w:rFonts w:ascii="Arial" w:hAnsi="Arial" w:cs="Arial"/>
          <w:b/>
          <w:bCs/>
        </w:rPr>
        <w:t>Tribunal de Justicia Administrativa del Estado de Quintana Roo</w:t>
      </w:r>
      <w:r w:rsidR="00080654" w:rsidRPr="00505C26">
        <w:rPr>
          <w:rFonts w:ascii="Arial" w:hAnsi="Arial" w:cs="Arial"/>
        </w:rPr>
        <w:t>,</w:t>
      </w:r>
      <w:r w:rsidR="00FF268F" w:rsidRPr="00505C26">
        <w:rPr>
          <w:rFonts w:ascii="Arial" w:hAnsi="Arial" w:cs="Arial"/>
          <w:b/>
          <w:bCs/>
        </w:rPr>
        <w:t xml:space="preserve"> </w:t>
      </w:r>
      <w:r w:rsidR="00E255C6" w:rsidRPr="00505C26">
        <w:rPr>
          <w:rFonts w:ascii="Arial" w:hAnsi="Arial" w:cs="Arial"/>
          <w:bCs/>
        </w:rPr>
        <w:t>contiene</w:t>
      </w:r>
      <w:r w:rsidRPr="00505C26">
        <w:rPr>
          <w:rFonts w:ascii="Arial" w:hAnsi="Arial" w:cs="Arial"/>
          <w:bCs/>
        </w:rPr>
        <w:t xml:space="preserve"> la realización de actividades </w:t>
      </w:r>
      <w:r w:rsidR="00E255C6" w:rsidRPr="00505C26">
        <w:rPr>
          <w:rFonts w:ascii="Arial" w:hAnsi="Arial" w:cs="Arial"/>
          <w:bCs/>
        </w:rPr>
        <w:t xml:space="preserve">en las que participa la Legislatura del Estado </w:t>
      </w:r>
      <w:r w:rsidRPr="00505C26">
        <w:rPr>
          <w:rFonts w:ascii="Arial" w:hAnsi="Arial" w:cs="Arial"/>
          <w:bCs/>
        </w:rPr>
        <w:t>que comprenden las siguientes acciones:</w:t>
      </w:r>
    </w:p>
    <w:p w14:paraId="273704C3" w14:textId="77777777" w:rsidR="00882AB0" w:rsidRPr="00505C26" w:rsidRDefault="00882AB0" w:rsidP="00505C26">
      <w:pPr>
        <w:spacing w:line="276" w:lineRule="auto"/>
        <w:jc w:val="both"/>
        <w:rPr>
          <w:rFonts w:ascii="Arial" w:hAnsi="Arial" w:cs="Arial"/>
          <w:bCs/>
        </w:rPr>
      </w:pPr>
    </w:p>
    <w:p w14:paraId="04BE729A" w14:textId="18BBDCAA" w:rsidR="00882AB0" w:rsidRPr="00505C26" w:rsidRDefault="00882AB0" w:rsidP="00505C26">
      <w:pPr>
        <w:spacing w:line="276" w:lineRule="auto"/>
        <w:jc w:val="both"/>
        <w:rPr>
          <w:rFonts w:ascii="Arial" w:hAnsi="Arial" w:cs="Arial"/>
          <w:bCs/>
        </w:rPr>
      </w:pPr>
      <w:r w:rsidRPr="00505C26">
        <w:rPr>
          <w:rFonts w:ascii="Arial" w:hAnsi="Arial" w:cs="Arial"/>
          <w:b/>
          <w:bCs/>
        </w:rPr>
        <w:t>A.- El Proceso Administrativo;</w:t>
      </w:r>
      <w:r w:rsidRPr="00505C26">
        <w:rPr>
          <w:rFonts w:ascii="Arial" w:hAnsi="Arial" w:cs="Arial"/>
          <w:bCs/>
        </w:rPr>
        <w:t xml:space="preserve"> que es desarrollado fundamentalmente</w:t>
      </w:r>
      <w:r w:rsidR="00E255C6" w:rsidRPr="00505C26">
        <w:rPr>
          <w:rFonts w:ascii="Arial" w:hAnsi="Arial" w:cs="Arial"/>
          <w:bCs/>
        </w:rPr>
        <w:t xml:space="preserve"> por</w:t>
      </w:r>
      <w:r w:rsidR="00FF268F" w:rsidRPr="00505C26">
        <w:rPr>
          <w:rFonts w:ascii="Arial" w:hAnsi="Arial" w:cs="Arial"/>
          <w:bCs/>
        </w:rPr>
        <w:t xml:space="preserve"> </w:t>
      </w:r>
      <w:r w:rsidR="00FF268F" w:rsidRPr="00505C26">
        <w:rPr>
          <w:rFonts w:ascii="Arial" w:hAnsi="Arial" w:cs="Arial"/>
        </w:rPr>
        <w:t>el</w:t>
      </w:r>
      <w:r w:rsidR="00FF268F" w:rsidRPr="00505C26">
        <w:rPr>
          <w:rFonts w:ascii="Arial" w:hAnsi="Arial" w:cs="Arial"/>
          <w:b/>
          <w:bCs/>
        </w:rPr>
        <w:t xml:space="preserve"> Tribunal de Justicia Administrativa del Estado de Quintana Roo</w:t>
      </w:r>
      <w:r w:rsidR="00F74A3F" w:rsidRPr="00505C26">
        <w:rPr>
          <w:rFonts w:ascii="Arial" w:hAnsi="Arial" w:cs="Arial"/>
          <w:bCs/>
        </w:rPr>
        <w:t>,</w:t>
      </w:r>
      <w:r w:rsidRPr="00505C26">
        <w:rPr>
          <w:rFonts w:ascii="Arial" w:hAnsi="Arial" w:cs="Arial"/>
          <w:bCs/>
        </w:rPr>
        <w:t xml:space="preserve"> </w:t>
      </w:r>
      <w:r w:rsidR="00ED1ADD" w:rsidRPr="00505C26">
        <w:rPr>
          <w:rFonts w:ascii="Arial" w:hAnsi="Arial" w:cs="Arial"/>
          <w:bCs/>
        </w:rPr>
        <w:t>en la integración de la Cuenta Pública, la cual incluye los resultados de las labores administrativas realizadas en el ejercicio fiscal 201</w:t>
      </w:r>
      <w:r w:rsidR="001025E3" w:rsidRPr="00505C26">
        <w:rPr>
          <w:rFonts w:ascii="Arial" w:hAnsi="Arial" w:cs="Arial"/>
          <w:bCs/>
        </w:rPr>
        <w:t>9</w:t>
      </w:r>
      <w:r w:rsidR="00ED1ADD" w:rsidRPr="00505C26">
        <w:rPr>
          <w:rFonts w:ascii="Arial" w:hAnsi="Arial" w:cs="Arial"/>
          <w:bCs/>
        </w:rPr>
        <w:t xml:space="preserve">, así como las principales políticas financieras, económicas y sociales que influyeron en el resultado de los objetivos contenidos en los programas estatales, conforme a los indicadores </w:t>
      </w:r>
      <w:r w:rsidR="00ED1ADD" w:rsidRPr="00505C26">
        <w:rPr>
          <w:rFonts w:ascii="Arial" w:hAnsi="Arial" w:cs="Arial"/>
          <w:bCs/>
        </w:rPr>
        <w:lastRenderedPageBreak/>
        <w:t xml:space="preserve">establecidos en el Presupuesto de Egresos, tomando en cuenta el Plan Estatal de Desarrollo, el programa sectorial, </w:t>
      </w:r>
      <w:r w:rsidR="001025E3" w:rsidRPr="00505C26">
        <w:rPr>
          <w:rFonts w:ascii="Arial" w:hAnsi="Arial" w:cs="Arial"/>
          <w:bCs/>
        </w:rPr>
        <w:t xml:space="preserve">institucional, </w:t>
      </w:r>
      <w:r w:rsidR="00ED1ADD" w:rsidRPr="00505C26">
        <w:rPr>
          <w:rFonts w:ascii="Arial" w:hAnsi="Arial" w:cs="Arial"/>
          <w:bCs/>
        </w:rPr>
        <w:t>regional, anuales y d</w:t>
      </w:r>
      <w:r w:rsidR="0073289B" w:rsidRPr="00505C26">
        <w:rPr>
          <w:rFonts w:ascii="Arial" w:hAnsi="Arial" w:cs="Arial"/>
          <w:bCs/>
        </w:rPr>
        <w:t xml:space="preserve">emás programas aplicados </w:t>
      </w:r>
      <w:r w:rsidR="00BF543C" w:rsidRPr="00505C26">
        <w:rPr>
          <w:rFonts w:ascii="Arial" w:hAnsi="Arial" w:cs="Arial"/>
          <w:bCs/>
        </w:rPr>
        <w:t>por el ente</w:t>
      </w:r>
      <w:r w:rsidR="00ED1ADD" w:rsidRPr="00505C26">
        <w:rPr>
          <w:rFonts w:ascii="Arial" w:hAnsi="Arial" w:cs="Arial"/>
          <w:bCs/>
        </w:rPr>
        <w:t>.</w:t>
      </w:r>
    </w:p>
    <w:p w14:paraId="193F358B" w14:textId="77777777" w:rsidR="00C62A1D" w:rsidRPr="00505C26" w:rsidRDefault="00C62A1D" w:rsidP="00505C26">
      <w:pPr>
        <w:spacing w:line="276" w:lineRule="auto"/>
        <w:jc w:val="both"/>
        <w:rPr>
          <w:rFonts w:ascii="Arial" w:hAnsi="Arial" w:cs="Arial"/>
          <w:bCs/>
        </w:rPr>
      </w:pPr>
    </w:p>
    <w:p w14:paraId="28F5E6CC" w14:textId="05344518" w:rsidR="00C62A1D" w:rsidRPr="00505C26" w:rsidRDefault="00C62A1D" w:rsidP="00505C26">
      <w:pPr>
        <w:spacing w:line="276" w:lineRule="auto"/>
        <w:jc w:val="both"/>
        <w:rPr>
          <w:rFonts w:ascii="Arial" w:hAnsi="Arial" w:cs="Arial"/>
          <w:bCs/>
        </w:rPr>
      </w:pPr>
      <w:r w:rsidRPr="00505C26">
        <w:rPr>
          <w:rFonts w:ascii="Arial" w:hAnsi="Arial" w:cs="Arial"/>
          <w:b/>
          <w:bCs/>
        </w:rPr>
        <w:t>B.- El Proceso de Vigilancia;</w:t>
      </w:r>
      <w:r w:rsidRPr="00505C26">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w:t>
      </w:r>
      <w:r w:rsidR="00F74A3F" w:rsidRPr="00505C26">
        <w:rPr>
          <w:rFonts w:ascii="Arial" w:hAnsi="Arial" w:cs="Arial"/>
          <w:bCs/>
        </w:rPr>
        <w:t xml:space="preserve">ad financiera-administrativa del </w:t>
      </w:r>
      <w:r w:rsidR="00F74A3F" w:rsidRPr="00505C26">
        <w:rPr>
          <w:rFonts w:ascii="Arial" w:hAnsi="Arial" w:cs="Arial"/>
          <w:b/>
          <w:bCs/>
        </w:rPr>
        <w:t>Tribunal de Justicia Administrativa del Estado de Quintana Roo</w:t>
      </w:r>
      <w:r w:rsidR="0008132E" w:rsidRPr="00505C26">
        <w:rPr>
          <w:rFonts w:ascii="Arial" w:hAnsi="Arial" w:cs="Arial"/>
          <w:b/>
          <w:bCs/>
        </w:rPr>
        <w:t>.</w:t>
      </w:r>
    </w:p>
    <w:p w14:paraId="7CA3D6A7" w14:textId="77777777" w:rsidR="00882AB0" w:rsidRPr="00505C26" w:rsidRDefault="00882AB0" w:rsidP="00505C26">
      <w:pPr>
        <w:spacing w:line="276" w:lineRule="auto"/>
        <w:jc w:val="both"/>
        <w:rPr>
          <w:rFonts w:ascii="Arial" w:hAnsi="Arial" w:cs="Arial"/>
          <w:bCs/>
        </w:rPr>
      </w:pPr>
    </w:p>
    <w:p w14:paraId="226F3625" w14:textId="3F7F27EB" w:rsidR="00D270B9" w:rsidRPr="00505C26" w:rsidRDefault="00BF543C" w:rsidP="00505C26">
      <w:pPr>
        <w:spacing w:line="276" w:lineRule="auto"/>
        <w:jc w:val="both"/>
        <w:rPr>
          <w:rFonts w:ascii="Arial" w:hAnsi="Arial" w:cs="Arial"/>
          <w:bCs/>
        </w:rPr>
      </w:pPr>
      <w:r w:rsidRPr="00505C26">
        <w:rPr>
          <w:rFonts w:ascii="Arial" w:hAnsi="Arial" w:cs="Arial"/>
          <w:bCs/>
        </w:rPr>
        <w:t xml:space="preserve">En la Cuenta Pública del H. Poder Ejecutivo del Gobierno del Estado Libre y Soberano de Quintana Roo, correspondiente al ejercicio fiscal 2019, se encuentra reflejado el ejercicio del gasto público de los órganos autónomos dentro de los cuales se encuentra el </w:t>
      </w:r>
      <w:r w:rsidRPr="00505C26">
        <w:rPr>
          <w:rFonts w:ascii="Arial" w:hAnsi="Arial" w:cs="Arial"/>
          <w:b/>
          <w:bCs/>
        </w:rPr>
        <w:t xml:space="preserve">Tribunal de Justicia Administrativa, </w:t>
      </w:r>
      <w:r w:rsidRPr="00505C26">
        <w:rPr>
          <w:rFonts w:ascii="Arial" w:hAnsi="Arial" w:cs="Arial"/>
          <w:bCs/>
        </w:rPr>
        <w:t>registrando la aplicación del recurso estatal.</w:t>
      </w:r>
    </w:p>
    <w:p w14:paraId="24030450" w14:textId="77777777" w:rsidR="00BF543C" w:rsidRPr="00505C26" w:rsidRDefault="00BF543C" w:rsidP="00505C26">
      <w:pPr>
        <w:spacing w:line="276" w:lineRule="auto"/>
        <w:jc w:val="both"/>
        <w:rPr>
          <w:rFonts w:ascii="Arial" w:hAnsi="Arial" w:cs="Arial"/>
          <w:bCs/>
        </w:rPr>
      </w:pPr>
    </w:p>
    <w:p w14:paraId="368B45B7" w14:textId="77777777" w:rsidR="00354B93" w:rsidRPr="00505C26" w:rsidRDefault="0090523C" w:rsidP="00505C26">
      <w:pPr>
        <w:spacing w:line="276" w:lineRule="auto"/>
        <w:jc w:val="both"/>
        <w:rPr>
          <w:rFonts w:ascii="Arial" w:hAnsi="Arial" w:cs="Arial"/>
          <w:bCs/>
        </w:rPr>
      </w:pPr>
      <w:r w:rsidRPr="00505C26">
        <w:rPr>
          <w:rFonts w:ascii="Arial" w:hAnsi="Arial" w:cs="Arial"/>
          <w:bCs/>
        </w:rPr>
        <w:t>El C. Auditor Superior del Estado de Quintana Roo, de conformidad con lo d</w:t>
      </w:r>
      <w:r w:rsidR="003420BF" w:rsidRPr="00505C26">
        <w:rPr>
          <w:rFonts w:ascii="Arial" w:hAnsi="Arial" w:cs="Arial"/>
          <w:bCs/>
        </w:rPr>
        <w:t>ispuesto en los artículos 8, 19 fracción I y 86</w:t>
      </w:r>
      <w:r w:rsidRPr="00505C26">
        <w:rPr>
          <w:rFonts w:ascii="Arial" w:hAnsi="Arial" w:cs="Arial"/>
          <w:bCs/>
        </w:rPr>
        <w:t xml:space="preserve"> fracción IV, de la Ley de Fiscalización y Rendición de Cuentas del Estado de Quintana Roo, aprobó en fecha </w:t>
      </w:r>
      <w:r w:rsidR="000C4DE9" w:rsidRPr="00505C26">
        <w:rPr>
          <w:rFonts w:ascii="Arial" w:hAnsi="Arial" w:cs="Arial"/>
          <w:bCs/>
        </w:rPr>
        <w:t>14</w:t>
      </w:r>
      <w:r w:rsidR="0018265B" w:rsidRPr="00505C26">
        <w:rPr>
          <w:rFonts w:ascii="Arial" w:hAnsi="Arial" w:cs="Arial"/>
          <w:bCs/>
        </w:rPr>
        <w:t xml:space="preserve"> de </w:t>
      </w:r>
      <w:r w:rsidR="000C4DE9" w:rsidRPr="00505C26">
        <w:rPr>
          <w:rFonts w:ascii="Arial" w:hAnsi="Arial" w:cs="Arial"/>
          <w:bCs/>
        </w:rPr>
        <w:t>febrero</w:t>
      </w:r>
      <w:r w:rsidR="0018265B" w:rsidRPr="00505C26">
        <w:rPr>
          <w:rFonts w:ascii="Arial" w:hAnsi="Arial" w:cs="Arial"/>
          <w:bCs/>
        </w:rPr>
        <w:t xml:space="preserve"> </w:t>
      </w:r>
      <w:r w:rsidR="000C4DE9" w:rsidRPr="00505C26">
        <w:rPr>
          <w:rFonts w:ascii="Arial" w:hAnsi="Arial" w:cs="Arial"/>
          <w:bCs/>
        </w:rPr>
        <w:t>de 2020</w:t>
      </w:r>
      <w:r w:rsidR="006F37BC" w:rsidRPr="00505C26">
        <w:rPr>
          <w:rFonts w:ascii="Arial" w:hAnsi="Arial" w:cs="Arial"/>
          <w:bCs/>
        </w:rPr>
        <w:t xml:space="preserve"> </w:t>
      </w:r>
      <w:r w:rsidRPr="00505C26">
        <w:rPr>
          <w:rFonts w:ascii="Arial" w:hAnsi="Arial" w:cs="Arial"/>
          <w:bCs/>
        </w:rPr>
        <w:t>mediante acuerdo administrativo, el Programa Anual de Auditorías, Visitas e Inspecciones (PAA</w:t>
      </w:r>
      <w:r w:rsidR="00693B21" w:rsidRPr="00505C26">
        <w:rPr>
          <w:rFonts w:ascii="Arial" w:hAnsi="Arial" w:cs="Arial"/>
          <w:bCs/>
        </w:rPr>
        <w:t>VI), correspondiente al año 2020</w:t>
      </w:r>
      <w:r w:rsidRPr="00505C26">
        <w:rPr>
          <w:rFonts w:ascii="Arial" w:hAnsi="Arial" w:cs="Arial"/>
          <w:bCs/>
        </w:rPr>
        <w:t xml:space="preserve">, </w:t>
      </w:r>
      <w:r w:rsidR="00A33696" w:rsidRPr="00505C26">
        <w:rPr>
          <w:rFonts w:ascii="Arial" w:hAnsi="Arial" w:cs="Arial"/>
          <w:bCs/>
        </w:rPr>
        <w:t>y que contempla la fiscalización a las Cuentas Pú</w:t>
      </w:r>
      <w:r w:rsidR="00693B21" w:rsidRPr="00505C26">
        <w:rPr>
          <w:rFonts w:ascii="Arial" w:hAnsi="Arial" w:cs="Arial"/>
          <w:bCs/>
        </w:rPr>
        <w:t>blicas del ejercicio fiscal 2019</w:t>
      </w:r>
      <w:r w:rsidR="00A33696" w:rsidRPr="00505C26">
        <w:rPr>
          <w:rFonts w:ascii="Arial" w:hAnsi="Arial" w:cs="Arial"/>
          <w:bCs/>
        </w:rPr>
        <w:t>, el cual fue expedido y publicado en el portal web de la Auditoría Superior del Estado de Quintana Roo.</w:t>
      </w:r>
    </w:p>
    <w:p w14:paraId="17FE4E2E" w14:textId="77777777" w:rsidR="00A33696" w:rsidRPr="00505C26" w:rsidRDefault="00A33696" w:rsidP="00505C26">
      <w:pPr>
        <w:spacing w:line="276" w:lineRule="auto"/>
        <w:jc w:val="both"/>
        <w:rPr>
          <w:rFonts w:ascii="Arial" w:hAnsi="Arial" w:cs="Arial"/>
        </w:rPr>
      </w:pPr>
    </w:p>
    <w:p w14:paraId="120A063E" w14:textId="745CA879" w:rsidR="0090523C" w:rsidRPr="00505C26" w:rsidRDefault="007F3D53" w:rsidP="00505C26">
      <w:pPr>
        <w:spacing w:line="276" w:lineRule="auto"/>
        <w:jc w:val="both"/>
        <w:rPr>
          <w:rFonts w:ascii="Arial" w:hAnsi="Arial" w:cs="Arial"/>
        </w:rPr>
      </w:pPr>
      <w:bookmarkStart w:id="4" w:name="_Toc519096397"/>
      <w:bookmarkStart w:id="5" w:name="_Toc520277594"/>
      <w:r w:rsidRPr="00505C26">
        <w:rPr>
          <w:rFonts w:ascii="Arial" w:hAnsi="Arial" w:cs="Arial"/>
        </w:rPr>
        <w:t xml:space="preserve">Por lo anterior y en cumplimiento a los artículos 2, 3, 4, 5, </w:t>
      </w:r>
      <w:r w:rsidR="003420BF" w:rsidRPr="00505C26">
        <w:rPr>
          <w:rFonts w:ascii="Arial" w:hAnsi="Arial" w:cs="Arial"/>
        </w:rPr>
        <w:t>6</w:t>
      </w:r>
      <w:r w:rsidR="00FF519D" w:rsidRPr="00505C26">
        <w:rPr>
          <w:rFonts w:ascii="Arial" w:hAnsi="Arial" w:cs="Arial"/>
        </w:rPr>
        <w:t xml:space="preserve"> fracciones I,</w:t>
      </w:r>
      <w:r w:rsidRPr="00505C26">
        <w:rPr>
          <w:rFonts w:ascii="Arial" w:hAnsi="Arial" w:cs="Arial"/>
        </w:rPr>
        <w:t xml:space="preserve"> II</w:t>
      </w:r>
      <w:r w:rsidR="00FF519D" w:rsidRPr="00505C26">
        <w:rPr>
          <w:rFonts w:ascii="Arial" w:hAnsi="Arial" w:cs="Arial"/>
        </w:rPr>
        <w:t xml:space="preserve"> y XX</w:t>
      </w:r>
      <w:r w:rsidRPr="00505C26">
        <w:rPr>
          <w:rFonts w:ascii="Arial" w:hAnsi="Arial" w:cs="Arial"/>
        </w:rPr>
        <w:t xml:space="preserve">, 16, </w:t>
      </w:r>
      <w:r w:rsidR="00FF519D" w:rsidRPr="00505C26">
        <w:rPr>
          <w:rFonts w:ascii="Arial" w:hAnsi="Arial" w:cs="Arial"/>
        </w:rPr>
        <w:t xml:space="preserve">17, </w:t>
      </w:r>
      <w:r w:rsidR="003420BF" w:rsidRPr="00505C26">
        <w:rPr>
          <w:rFonts w:ascii="Arial" w:hAnsi="Arial" w:cs="Arial"/>
        </w:rPr>
        <w:t>19</w:t>
      </w:r>
      <w:r w:rsidRPr="00505C26">
        <w:rPr>
          <w:rFonts w:ascii="Arial" w:hAnsi="Arial" w:cs="Arial"/>
        </w:rPr>
        <w:t xml:space="preserve"> fracciones </w:t>
      </w:r>
      <w:r w:rsidR="00263D33" w:rsidRPr="00505C26">
        <w:rPr>
          <w:rFonts w:ascii="Arial" w:hAnsi="Arial" w:cs="Arial"/>
        </w:rPr>
        <w:t>I, V, XII, XV, XXVI y</w:t>
      </w:r>
      <w:r w:rsidRPr="00505C26">
        <w:rPr>
          <w:rFonts w:ascii="Arial" w:hAnsi="Arial" w:cs="Arial"/>
        </w:rPr>
        <w:t xml:space="preserve"> XXVIII, 22</w:t>
      </w:r>
      <w:r w:rsidR="00FF519D" w:rsidRPr="00505C26">
        <w:rPr>
          <w:rFonts w:ascii="Arial" w:hAnsi="Arial" w:cs="Arial"/>
        </w:rPr>
        <w:t xml:space="preserve"> en su último párrafo</w:t>
      </w:r>
      <w:r w:rsidRPr="00505C26">
        <w:rPr>
          <w:rFonts w:ascii="Arial" w:hAnsi="Arial" w:cs="Arial"/>
        </w:rPr>
        <w:t xml:space="preserve">, </w:t>
      </w:r>
      <w:r w:rsidR="00FF519D" w:rsidRPr="00505C26">
        <w:rPr>
          <w:rFonts w:ascii="Arial" w:hAnsi="Arial" w:cs="Arial"/>
        </w:rPr>
        <w:t>38, 41</w:t>
      </w:r>
      <w:r w:rsidRPr="00505C26">
        <w:rPr>
          <w:rFonts w:ascii="Arial" w:hAnsi="Arial" w:cs="Arial"/>
        </w:rPr>
        <w:t xml:space="preserve">, </w:t>
      </w:r>
      <w:r w:rsidR="00FF519D" w:rsidRPr="00505C26">
        <w:rPr>
          <w:rFonts w:ascii="Arial" w:hAnsi="Arial" w:cs="Arial"/>
        </w:rPr>
        <w:t xml:space="preserve">42 y </w:t>
      </w:r>
      <w:r w:rsidRPr="00505C26">
        <w:rPr>
          <w:rFonts w:ascii="Arial" w:hAnsi="Arial" w:cs="Arial"/>
        </w:rPr>
        <w:t>86 fracciones I</w:t>
      </w:r>
      <w:r w:rsidR="00263D33" w:rsidRPr="00505C26">
        <w:rPr>
          <w:rFonts w:ascii="Arial" w:hAnsi="Arial" w:cs="Arial"/>
        </w:rPr>
        <w:t>,</w:t>
      </w:r>
      <w:r w:rsidR="00FF519D" w:rsidRPr="00505C26">
        <w:rPr>
          <w:rFonts w:ascii="Arial" w:hAnsi="Arial" w:cs="Arial"/>
        </w:rPr>
        <w:t xml:space="preserve"> XVII,</w:t>
      </w:r>
      <w:r w:rsidR="00263D33" w:rsidRPr="00505C26">
        <w:rPr>
          <w:rFonts w:ascii="Arial" w:hAnsi="Arial" w:cs="Arial"/>
        </w:rPr>
        <w:t xml:space="preserve"> XXII</w:t>
      </w:r>
      <w:r w:rsidRPr="00505C26">
        <w:rPr>
          <w:rFonts w:ascii="Arial" w:hAnsi="Arial" w:cs="Arial"/>
        </w:rPr>
        <w:t xml:space="preserve"> y XXXVI</w:t>
      </w:r>
      <w:r w:rsidR="00FF519D" w:rsidRPr="00505C26">
        <w:rPr>
          <w:rFonts w:ascii="Arial" w:hAnsi="Arial" w:cs="Arial"/>
        </w:rPr>
        <w:t xml:space="preserve"> </w:t>
      </w:r>
      <w:r w:rsidRPr="00505C26">
        <w:rPr>
          <w:rFonts w:ascii="Arial" w:hAnsi="Arial" w:cs="Arial"/>
        </w:rPr>
        <w:t xml:space="preserve">de la Ley de Fiscalización y Rendición de Cuentas del Estado de Quintana Roo, se tiene a bien presentar </w:t>
      </w:r>
      <w:r w:rsidR="009E77E8" w:rsidRPr="00505C26">
        <w:rPr>
          <w:rFonts w:ascii="Arial" w:hAnsi="Arial" w:cs="Arial"/>
        </w:rPr>
        <w:t>el Informe Individual de Auditoría</w:t>
      </w:r>
      <w:r w:rsidR="000C4DE9" w:rsidRPr="00505C26">
        <w:rPr>
          <w:rFonts w:ascii="Arial" w:hAnsi="Arial" w:cs="Arial"/>
        </w:rPr>
        <w:t xml:space="preserve"> obtenido</w:t>
      </w:r>
      <w:r w:rsidRPr="00505C26">
        <w:rPr>
          <w:rFonts w:ascii="Arial" w:hAnsi="Arial" w:cs="Arial"/>
        </w:rPr>
        <w:t xml:space="preserve"> con relación a la </w:t>
      </w:r>
      <w:r w:rsidR="000C4DE9" w:rsidRPr="00505C26">
        <w:rPr>
          <w:rFonts w:ascii="Arial" w:hAnsi="Arial" w:cs="Arial"/>
        </w:rPr>
        <w:t>auditoría</w:t>
      </w:r>
      <w:r w:rsidRPr="00505C26">
        <w:rPr>
          <w:rFonts w:ascii="Arial" w:hAnsi="Arial" w:cs="Arial"/>
        </w:rPr>
        <w:t xml:space="preserve"> de desempeño de la Cuenta Pública de</w:t>
      </w:r>
      <w:r w:rsidR="00F74A3F" w:rsidRPr="00505C26">
        <w:rPr>
          <w:rFonts w:ascii="Arial" w:hAnsi="Arial" w:cs="Arial"/>
          <w:bCs/>
        </w:rPr>
        <w:t>l</w:t>
      </w:r>
      <w:r w:rsidR="00F74A3F" w:rsidRPr="00505C26">
        <w:rPr>
          <w:rFonts w:ascii="Arial" w:hAnsi="Arial" w:cs="Arial"/>
          <w:b/>
          <w:bCs/>
        </w:rPr>
        <w:t xml:space="preserve"> Tribunal de Justicia Administrativa del Estado de Quintana Roo</w:t>
      </w:r>
      <w:r w:rsidRPr="00505C26">
        <w:rPr>
          <w:rFonts w:ascii="Arial" w:hAnsi="Arial" w:cs="Arial"/>
        </w:rPr>
        <w:t>, correspo</w:t>
      </w:r>
      <w:r w:rsidR="000C4DE9" w:rsidRPr="00505C26">
        <w:rPr>
          <w:rFonts w:ascii="Arial" w:hAnsi="Arial" w:cs="Arial"/>
        </w:rPr>
        <w:t>ndiente al ejercicio fiscal 2019</w:t>
      </w:r>
      <w:r w:rsidRPr="00505C26">
        <w:rPr>
          <w:rFonts w:ascii="Arial" w:hAnsi="Arial" w:cs="Arial"/>
        </w:rPr>
        <w:t>.</w:t>
      </w:r>
    </w:p>
    <w:p w14:paraId="259E2F99" w14:textId="6CDFC207" w:rsidR="00354B93" w:rsidRPr="00505C26" w:rsidRDefault="00354B93" w:rsidP="00505C26">
      <w:pPr>
        <w:pStyle w:val="Ttulo1"/>
        <w:numPr>
          <w:ilvl w:val="0"/>
          <w:numId w:val="9"/>
        </w:numPr>
        <w:spacing w:line="276" w:lineRule="auto"/>
        <w:ind w:left="426" w:hanging="142"/>
        <w:rPr>
          <w:rFonts w:cs="Arial"/>
          <w:szCs w:val="24"/>
        </w:rPr>
      </w:pPr>
      <w:bookmarkStart w:id="6" w:name="_Toc522715965"/>
      <w:bookmarkStart w:id="7" w:name="_Toc51083009"/>
      <w:r w:rsidRPr="00505C26">
        <w:rPr>
          <w:rFonts w:cs="Arial"/>
          <w:szCs w:val="24"/>
        </w:rPr>
        <w:lastRenderedPageBreak/>
        <w:t>ANTECEDENTES DE LA ENTIDAD FISCALIZADA</w:t>
      </w:r>
      <w:bookmarkEnd w:id="4"/>
      <w:bookmarkEnd w:id="5"/>
      <w:bookmarkEnd w:id="6"/>
      <w:bookmarkEnd w:id="7"/>
    </w:p>
    <w:p w14:paraId="4094C777" w14:textId="77777777" w:rsidR="00354B93" w:rsidRPr="00505C26" w:rsidRDefault="00354B93" w:rsidP="00505C26">
      <w:pPr>
        <w:pStyle w:val="Ttulo2"/>
        <w:spacing w:line="276" w:lineRule="auto"/>
        <w:jc w:val="both"/>
        <w:rPr>
          <w:rFonts w:cs="Arial"/>
          <w:bCs/>
          <w:szCs w:val="24"/>
        </w:rPr>
      </w:pPr>
    </w:p>
    <w:p w14:paraId="26B4F3A1" w14:textId="5384A159" w:rsidR="007F3D53" w:rsidRPr="00505C26" w:rsidRDefault="007F3D53" w:rsidP="00505C26">
      <w:pPr>
        <w:spacing w:line="276" w:lineRule="auto"/>
        <w:jc w:val="both"/>
        <w:rPr>
          <w:rFonts w:ascii="Arial" w:hAnsi="Arial" w:cs="Arial"/>
          <w:b/>
        </w:rPr>
      </w:pPr>
      <w:bookmarkStart w:id="8" w:name="_Toc519096398"/>
      <w:bookmarkStart w:id="9" w:name="_Toc520277595"/>
      <w:r w:rsidRPr="00505C26">
        <w:rPr>
          <w:rFonts w:ascii="Arial" w:hAnsi="Arial" w:cs="Arial"/>
          <w:b/>
        </w:rPr>
        <w:t>DE SU CREACIÓN</w:t>
      </w:r>
    </w:p>
    <w:p w14:paraId="222EAF32" w14:textId="77777777" w:rsidR="00F74A3F" w:rsidRPr="00505C26" w:rsidRDefault="00F74A3F" w:rsidP="00505C26">
      <w:pPr>
        <w:spacing w:line="276" w:lineRule="auto"/>
        <w:jc w:val="both"/>
        <w:rPr>
          <w:rFonts w:ascii="Arial" w:hAnsi="Arial" w:cs="Arial"/>
          <w:b/>
        </w:rPr>
      </w:pPr>
    </w:p>
    <w:p w14:paraId="0511616C" w14:textId="77777777" w:rsidR="00F74A3F" w:rsidRPr="00505C26" w:rsidRDefault="00F74A3F" w:rsidP="00505C26">
      <w:pPr>
        <w:spacing w:line="276" w:lineRule="auto"/>
        <w:jc w:val="both"/>
        <w:rPr>
          <w:rFonts w:ascii="Arial" w:hAnsi="Arial" w:cs="Arial"/>
        </w:rPr>
      </w:pPr>
      <w:r w:rsidRPr="00505C26">
        <w:rPr>
          <w:rFonts w:ascii="Arial" w:hAnsi="Arial" w:cs="Arial"/>
        </w:rPr>
        <w:t xml:space="preserve">El </w:t>
      </w:r>
      <w:r w:rsidRPr="00505C26">
        <w:rPr>
          <w:rFonts w:ascii="Arial" w:hAnsi="Arial" w:cs="Arial"/>
          <w:b/>
        </w:rPr>
        <w:t>Tribunal de Justicia Administrativa del Estado de Quintana Roo</w:t>
      </w:r>
      <w:r w:rsidRPr="00505C26">
        <w:rPr>
          <w:rFonts w:ascii="Arial" w:hAnsi="Arial" w:cs="Arial"/>
        </w:rPr>
        <w:t xml:space="preserve">, se crea mediante reforma constitucional del artículo 110 de la Constitución Política del Estado Libre y Soberano de Quintana Roo del 3 de julio de 2017. Es un órgano público, autónomo, con personalidad jurídica y patrimonio propio, con plena autonomía técnica, de gestión, independencia funcional y financiera, capacidad para decidir sobre el ejercicio de su presupuesto y determinar su organización interna. </w:t>
      </w:r>
    </w:p>
    <w:p w14:paraId="06D31586" w14:textId="77777777" w:rsidR="00F74A3F" w:rsidRPr="00505C26" w:rsidRDefault="00F74A3F" w:rsidP="00505C26">
      <w:pPr>
        <w:spacing w:line="276" w:lineRule="auto"/>
        <w:jc w:val="both"/>
        <w:rPr>
          <w:rFonts w:ascii="Arial" w:hAnsi="Arial" w:cs="Arial"/>
        </w:rPr>
      </w:pPr>
    </w:p>
    <w:p w14:paraId="6AED6C60" w14:textId="77777777" w:rsidR="00F74A3F" w:rsidRPr="00505C26" w:rsidRDefault="00F74A3F" w:rsidP="00505C26">
      <w:pPr>
        <w:spacing w:line="276" w:lineRule="auto"/>
        <w:jc w:val="both"/>
        <w:rPr>
          <w:rFonts w:ascii="Arial" w:hAnsi="Arial" w:cs="Arial"/>
        </w:rPr>
      </w:pPr>
      <w:r w:rsidRPr="00505C26">
        <w:rPr>
          <w:rFonts w:ascii="Arial" w:hAnsi="Arial" w:cs="Arial"/>
        </w:rPr>
        <w:t>El Tribunal de Justicia Administrativa del Estado de Quintana Roo, se erige por Decreto número 141 del Congreso del Estado de Quintana Roo, publicado en el Periódico Oficial del Estado el 27 de diciembre del año 2017, el cual entró en vigor el 2 de enero de 2018, en el que se expidió el Código de Justicia Administrativa del Estado de Quintana Roo que abrogó la Ley Orgánica del Tribunal de Justicia Administrativa del Estado de Quintana Roo.</w:t>
      </w:r>
    </w:p>
    <w:p w14:paraId="06F32156" w14:textId="20E23232" w:rsidR="007F3D53" w:rsidRDefault="007F3D53" w:rsidP="00505C26">
      <w:pPr>
        <w:spacing w:line="276" w:lineRule="auto"/>
        <w:jc w:val="both"/>
        <w:rPr>
          <w:rFonts w:ascii="Arial" w:hAnsi="Arial" w:cs="Arial"/>
          <w:b/>
        </w:rPr>
      </w:pPr>
    </w:p>
    <w:p w14:paraId="67E80721" w14:textId="77777777" w:rsidR="007F3D53" w:rsidRPr="00505C26" w:rsidRDefault="007F3D53" w:rsidP="00505C26">
      <w:pPr>
        <w:spacing w:line="276" w:lineRule="auto"/>
        <w:jc w:val="both"/>
        <w:rPr>
          <w:rFonts w:ascii="Arial" w:hAnsi="Arial" w:cs="Arial"/>
          <w:b/>
        </w:rPr>
      </w:pPr>
      <w:r w:rsidRPr="00BD773D">
        <w:rPr>
          <w:rFonts w:ascii="Arial" w:hAnsi="Arial" w:cs="Arial"/>
          <w:b/>
        </w:rPr>
        <w:t>DE SUS FUNCIONES</w:t>
      </w:r>
    </w:p>
    <w:p w14:paraId="4B666E94" w14:textId="7D4D8838" w:rsidR="00E03E32" w:rsidRPr="00505C26" w:rsidRDefault="00E03E32" w:rsidP="00505C26">
      <w:pPr>
        <w:spacing w:line="276" w:lineRule="auto"/>
        <w:jc w:val="both"/>
        <w:rPr>
          <w:rFonts w:ascii="Arial" w:hAnsi="Arial" w:cs="Arial"/>
        </w:rPr>
      </w:pPr>
    </w:p>
    <w:p w14:paraId="2C8CD857" w14:textId="457709C7" w:rsidR="00F74A3F" w:rsidRPr="00505C26" w:rsidRDefault="00F74A3F" w:rsidP="00505C26">
      <w:pPr>
        <w:pStyle w:val="Default"/>
        <w:spacing w:line="276" w:lineRule="auto"/>
        <w:jc w:val="both"/>
      </w:pPr>
      <w:r w:rsidRPr="00505C26">
        <w:t>Conforme al artículo 187, el Tribunal de Justicia Administrativa del Estado de Quintana Roo es competente para dirimir las controversias que se susciten entre administración pública estatal y municipal, y los particulares; por lo que conocerá de los juicios que se promuevan en contra de los actos administrativos, resoluciones definitivas y procedimientos, le corresponde entre otros, el despacho de los siguientes asuntos:</w:t>
      </w:r>
    </w:p>
    <w:p w14:paraId="02BEF329" w14:textId="77777777" w:rsidR="00BF543C" w:rsidRPr="00505C26" w:rsidRDefault="00BF543C" w:rsidP="00505C26">
      <w:pPr>
        <w:pStyle w:val="Default"/>
        <w:spacing w:line="276" w:lineRule="auto"/>
        <w:jc w:val="both"/>
      </w:pPr>
    </w:p>
    <w:p w14:paraId="32543F0C" w14:textId="77777777" w:rsidR="00F74A3F" w:rsidRPr="00505C26"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decretos y acuerdos de carácter general, diversos a los reglamentos, cuando sean auto aplicativos o cuando el interesado los controvierta con motivo de su primer acto de aplicación;</w:t>
      </w:r>
    </w:p>
    <w:p w14:paraId="65038719" w14:textId="71B5C13E"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Las que se dicten, ordenen, ejecuten o traten de ejecutar, en agravio de personas físicas o morales;</w:t>
      </w:r>
    </w:p>
    <w:p w14:paraId="5362BED2" w14:textId="3563F3DB"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lastRenderedPageBreak/>
        <w:t>De la Administración Pública Paraestatal del Estado o los Municipios, cuando actúen con el carácter de autoridades;</w:t>
      </w:r>
    </w:p>
    <w:p w14:paraId="0E3F57FB" w14:textId="2BB5F1C5"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Por falta de contestación de las mismas autoridades, dentro de un término de treinta días naturales, a las promociones presentadas ante ellas por los particulares, a menos que las leyes y reglamentos fijen otros plazos o la naturaleza del asunto lo requiera;</w:t>
      </w:r>
    </w:p>
    <w:p w14:paraId="2F1EFBEC" w14:textId="1B819F24"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En las que se determine la existencia de una obligación fiscal en cantidad líquida o se den las bases para su liquidación;</w:t>
      </w:r>
    </w:p>
    <w:p w14:paraId="52B34800" w14:textId="79699B4A"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que nieguen la devolución de un ingreso indebidamente percibido o cuya devolución proceda de conformidad con las disposiciones fiscales del Estado y de los Municipios;</w:t>
      </w:r>
    </w:p>
    <w:p w14:paraId="42DE1BD7" w14:textId="333F0690"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que impongan multas por infracción a las normas administrativas estatales y municipales;</w:t>
      </w:r>
    </w:p>
    <w:p w14:paraId="5DDED9E6" w14:textId="649F82C2"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que causen un agravio en materia fiscal distinto al que se refieren las fracciones anteriores;</w:t>
      </w:r>
    </w:p>
    <w:p w14:paraId="495A41BE" w14:textId="7436DA47" w:rsidR="00F74A3F"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que se originen por fallos en licitaciones públicas y la interpretación y cumplimiento de contratos públicos, de obra pública, adquisiciones, arrendamientos y servicios celebrados por las dependencias y entidades paraestatales de la Administración Pública del Estado, así como las homologas en la administración pública municipal;</w:t>
      </w:r>
    </w:p>
    <w:p w14:paraId="2698F329" w14:textId="77777777" w:rsidR="00F74A3F" w:rsidRPr="00505C26" w:rsidRDefault="00F74A3F" w:rsidP="00CD2843">
      <w:pPr>
        <w:pStyle w:val="Prrafodelista"/>
        <w:numPr>
          <w:ilvl w:val="0"/>
          <w:numId w:val="13"/>
        </w:numPr>
        <w:spacing w:line="276" w:lineRule="auto"/>
        <w:ind w:left="709" w:hanging="283"/>
        <w:jc w:val="both"/>
        <w:rPr>
          <w:rFonts w:ascii="Arial" w:hAnsi="Arial" w:cs="Arial"/>
        </w:rPr>
      </w:pPr>
      <w:r w:rsidRPr="00505C26">
        <w:rPr>
          <w:rFonts w:ascii="Arial" w:hAnsi="Arial" w:cs="Arial"/>
        </w:rPr>
        <w:t>Los que requieran el pago de garantías a favor del Estado o los Municipios, así como de sus organismos descentralizados y las empresas de participación del Estado;</w:t>
      </w:r>
    </w:p>
    <w:p w14:paraId="59672A01" w14:textId="77777777" w:rsidR="00CA39CB" w:rsidRPr="00505C26" w:rsidRDefault="00CA39CB" w:rsidP="00505C26">
      <w:pPr>
        <w:spacing w:line="276" w:lineRule="auto"/>
        <w:jc w:val="both"/>
        <w:rPr>
          <w:rFonts w:ascii="Arial" w:hAnsi="Arial" w:cs="Arial"/>
        </w:rPr>
      </w:pPr>
    </w:p>
    <w:p w14:paraId="21214387" w14:textId="4B3F9CA0" w:rsidR="00F74A3F" w:rsidRPr="00505C26" w:rsidRDefault="007F3D53" w:rsidP="00505C26">
      <w:pPr>
        <w:spacing w:line="276" w:lineRule="auto"/>
        <w:jc w:val="both"/>
        <w:rPr>
          <w:rFonts w:ascii="Arial" w:hAnsi="Arial" w:cs="Arial"/>
          <w:b/>
        </w:rPr>
      </w:pPr>
      <w:r w:rsidRPr="00505C26">
        <w:rPr>
          <w:rFonts w:ascii="Arial" w:hAnsi="Arial" w:cs="Arial"/>
          <w:b/>
        </w:rPr>
        <w:t>DE SU INTEGRACIÓN</w:t>
      </w:r>
      <w:r w:rsidR="00F74A3F" w:rsidRPr="00505C26">
        <w:rPr>
          <w:rFonts w:ascii="Arial" w:hAnsi="Arial" w:cs="Arial"/>
          <w:b/>
        </w:rPr>
        <w:t>:</w:t>
      </w:r>
    </w:p>
    <w:p w14:paraId="62688B6D" w14:textId="77777777" w:rsidR="00644D50" w:rsidRPr="00505C26" w:rsidRDefault="00644D50" w:rsidP="00505C26">
      <w:pPr>
        <w:spacing w:line="276" w:lineRule="auto"/>
        <w:jc w:val="both"/>
        <w:rPr>
          <w:rFonts w:ascii="Arial" w:hAnsi="Arial" w:cs="Arial"/>
          <w:b/>
        </w:rPr>
      </w:pPr>
    </w:p>
    <w:p w14:paraId="09FCAEE9" w14:textId="07E61787" w:rsidR="00F74A3F" w:rsidRPr="00505C26" w:rsidRDefault="00F74A3F" w:rsidP="00505C26">
      <w:pPr>
        <w:spacing w:line="276" w:lineRule="auto"/>
        <w:jc w:val="both"/>
        <w:rPr>
          <w:rFonts w:ascii="Arial" w:hAnsi="Arial" w:cs="Arial"/>
          <w:b/>
        </w:rPr>
      </w:pPr>
      <w:r w:rsidRPr="00505C26">
        <w:rPr>
          <w:rFonts w:ascii="Arial" w:hAnsi="Arial" w:cs="Arial"/>
        </w:rPr>
        <w:t xml:space="preserve">Para el despacho, estudio y planeación de los asuntos que correspondan, el </w:t>
      </w:r>
      <w:r w:rsidRPr="00505C26">
        <w:rPr>
          <w:rFonts w:ascii="Arial" w:hAnsi="Arial" w:cs="Arial"/>
          <w:b/>
          <w:bCs/>
        </w:rPr>
        <w:t>Tribunal de Justicia Administrativa del Estado de Quintana Roo</w:t>
      </w:r>
      <w:r w:rsidRPr="00505C26">
        <w:rPr>
          <w:rFonts w:ascii="Arial" w:hAnsi="Arial" w:cs="Arial"/>
        </w:rPr>
        <w:t xml:space="preserve">, se auxilia de las siguientes unidades administrativas:  </w:t>
      </w:r>
    </w:p>
    <w:p w14:paraId="52B8F1C9" w14:textId="25DE430A" w:rsidR="00F74A3F" w:rsidRPr="00505C26" w:rsidRDefault="00F74A3F" w:rsidP="00505C26">
      <w:pPr>
        <w:spacing w:line="276" w:lineRule="auto"/>
        <w:jc w:val="both"/>
        <w:rPr>
          <w:rFonts w:ascii="Arial" w:hAnsi="Arial" w:cs="Arial"/>
        </w:rPr>
      </w:pPr>
    </w:p>
    <w:p w14:paraId="1C2083EA" w14:textId="77777777" w:rsidR="00F74A3F" w:rsidRPr="00505C26" w:rsidRDefault="00F74A3F" w:rsidP="00505C26">
      <w:pPr>
        <w:pStyle w:val="Prrafodelista"/>
        <w:numPr>
          <w:ilvl w:val="0"/>
          <w:numId w:val="14"/>
        </w:numPr>
        <w:autoSpaceDE w:val="0"/>
        <w:autoSpaceDN w:val="0"/>
        <w:adjustRightInd w:val="0"/>
        <w:spacing w:line="276" w:lineRule="auto"/>
        <w:ind w:left="731" w:hanging="142"/>
        <w:jc w:val="both"/>
        <w:rPr>
          <w:rFonts w:ascii="Arial" w:hAnsi="Arial" w:cs="Arial"/>
        </w:rPr>
      </w:pPr>
      <w:r w:rsidRPr="00505C26">
        <w:rPr>
          <w:rFonts w:ascii="Arial" w:hAnsi="Arial" w:cs="Arial"/>
        </w:rPr>
        <w:t>Magistrados;</w:t>
      </w:r>
    </w:p>
    <w:p w14:paraId="26715DF5" w14:textId="77777777" w:rsidR="00F74A3F" w:rsidRPr="00505C26" w:rsidRDefault="00F74A3F" w:rsidP="00505C26">
      <w:pPr>
        <w:pStyle w:val="Prrafodelista"/>
        <w:numPr>
          <w:ilvl w:val="0"/>
          <w:numId w:val="14"/>
        </w:numPr>
        <w:autoSpaceDE w:val="0"/>
        <w:autoSpaceDN w:val="0"/>
        <w:adjustRightInd w:val="0"/>
        <w:spacing w:line="276" w:lineRule="auto"/>
        <w:ind w:left="731" w:hanging="142"/>
        <w:jc w:val="both"/>
        <w:rPr>
          <w:rFonts w:ascii="Arial" w:hAnsi="Arial" w:cs="Arial"/>
        </w:rPr>
      </w:pPr>
      <w:r w:rsidRPr="00505C26">
        <w:rPr>
          <w:rFonts w:ascii="Arial" w:hAnsi="Arial" w:cs="Arial"/>
        </w:rPr>
        <w:t>Secretario General de Acuerdos;</w:t>
      </w:r>
    </w:p>
    <w:p w14:paraId="662E5173" w14:textId="77777777" w:rsidR="00F74A3F" w:rsidRPr="00505C26" w:rsidRDefault="00F74A3F" w:rsidP="00505C26">
      <w:pPr>
        <w:pStyle w:val="Prrafodelista"/>
        <w:numPr>
          <w:ilvl w:val="0"/>
          <w:numId w:val="15"/>
        </w:numPr>
        <w:autoSpaceDE w:val="0"/>
        <w:autoSpaceDN w:val="0"/>
        <w:adjustRightInd w:val="0"/>
        <w:spacing w:line="276" w:lineRule="auto"/>
        <w:ind w:left="1014" w:hanging="283"/>
        <w:jc w:val="both"/>
        <w:rPr>
          <w:rFonts w:ascii="Arial" w:hAnsi="Arial" w:cs="Arial"/>
        </w:rPr>
      </w:pPr>
      <w:r w:rsidRPr="00505C26">
        <w:rPr>
          <w:rFonts w:ascii="Arial" w:hAnsi="Arial" w:cs="Arial"/>
        </w:rPr>
        <w:t>Actuarios;</w:t>
      </w:r>
    </w:p>
    <w:p w14:paraId="19F793A1" w14:textId="77777777" w:rsidR="00F74A3F" w:rsidRPr="00505C26" w:rsidRDefault="00F74A3F" w:rsidP="00505C26">
      <w:pPr>
        <w:pStyle w:val="Prrafodelista"/>
        <w:numPr>
          <w:ilvl w:val="0"/>
          <w:numId w:val="15"/>
        </w:numPr>
        <w:autoSpaceDE w:val="0"/>
        <w:autoSpaceDN w:val="0"/>
        <w:adjustRightInd w:val="0"/>
        <w:spacing w:line="276" w:lineRule="auto"/>
        <w:ind w:left="1014" w:hanging="283"/>
        <w:jc w:val="both"/>
        <w:rPr>
          <w:rFonts w:ascii="Arial" w:hAnsi="Arial" w:cs="Arial"/>
        </w:rPr>
      </w:pPr>
      <w:r w:rsidRPr="00505C26">
        <w:rPr>
          <w:rFonts w:ascii="Arial" w:hAnsi="Arial" w:cs="Arial"/>
        </w:rPr>
        <w:lastRenderedPageBreak/>
        <w:t>Titular de la Oficialía de Partes;</w:t>
      </w:r>
    </w:p>
    <w:p w14:paraId="49E73BB7" w14:textId="77777777" w:rsidR="00F74A3F" w:rsidRPr="00505C26" w:rsidRDefault="00F74A3F" w:rsidP="00505C26">
      <w:pPr>
        <w:pStyle w:val="Prrafodelista"/>
        <w:numPr>
          <w:ilvl w:val="0"/>
          <w:numId w:val="15"/>
        </w:numPr>
        <w:autoSpaceDE w:val="0"/>
        <w:autoSpaceDN w:val="0"/>
        <w:adjustRightInd w:val="0"/>
        <w:spacing w:line="276" w:lineRule="auto"/>
        <w:ind w:left="1014" w:hanging="283"/>
        <w:jc w:val="both"/>
        <w:rPr>
          <w:rFonts w:ascii="Arial" w:hAnsi="Arial" w:cs="Arial"/>
        </w:rPr>
      </w:pPr>
      <w:r w:rsidRPr="00505C26">
        <w:rPr>
          <w:rFonts w:ascii="Arial" w:hAnsi="Arial" w:cs="Arial"/>
        </w:rPr>
        <w:t>Titulares de los Departamentos de jurisprudencia y sistematización de tesis, jurídico y de archivo judicial;</w:t>
      </w:r>
    </w:p>
    <w:p w14:paraId="46EAA61C"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Secretarios de Sala;</w:t>
      </w:r>
    </w:p>
    <w:p w14:paraId="32F356B7"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 la Dirección de Administración;</w:t>
      </w:r>
    </w:p>
    <w:p w14:paraId="3C527C74"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 la Unidad de Tecnologías de la Información y Comunicación;</w:t>
      </w:r>
    </w:p>
    <w:p w14:paraId="437D3D0A"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 la Unidad de Capacitación y Profesionalización;</w:t>
      </w:r>
    </w:p>
    <w:p w14:paraId="369B8CBD"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 la Unidad de Transparencia;</w:t>
      </w:r>
    </w:p>
    <w:p w14:paraId="0872FBEA"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 la Unidad de Asistencia Jurídica, y</w:t>
      </w:r>
    </w:p>
    <w:p w14:paraId="3E36FDE6" w14:textId="77777777" w:rsidR="00F74A3F" w:rsidRPr="00505C26" w:rsidRDefault="00F74A3F" w:rsidP="00505C26">
      <w:pPr>
        <w:pStyle w:val="Prrafodelista"/>
        <w:numPr>
          <w:ilvl w:val="0"/>
          <w:numId w:val="16"/>
        </w:numPr>
        <w:autoSpaceDE w:val="0"/>
        <w:autoSpaceDN w:val="0"/>
        <w:adjustRightInd w:val="0"/>
        <w:spacing w:line="276" w:lineRule="auto"/>
        <w:ind w:left="731" w:hanging="142"/>
        <w:jc w:val="both"/>
        <w:rPr>
          <w:rFonts w:ascii="Arial" w:hAnsi="Arial" w:cs="Arial"/>
        </w:rPr>
      </w:pPr>
      <w:r w:rsidRPr="00505C26">
        <w:rPr>
          <w:rFonts w:ascii="Arial" w:hAnsi="Arial" w:cs="Arial"/>
        </w:rPr>
        <w:t>Titular del Órgano Interno de Control.</w:t>
      </w:r>
    </w:p>
    <w:p w14:paraId="42903C8D" w14:textId="5AEF73F3" w:rsidR="00505C26" w:rsidRDefault="00505C26" w:rsidP="00505C26">
      <w:pPr>
        <w:spacing w:line="276" w:lineRule="auto"/>
        <w:jc w:val="both"/>
        <w:rPr>
          <w:rFonts w:ascii="Arial" w:hAnsi="Arial" w:cs="Arial"/>
          <w:b/>
        </w:rPr>
      </w:pPr>
    </w:p>
    <w:p w14:paraId="2F401FA6" w14:textId="77777777" w:rsidR="00C83A17" w:rsidRPr="00505C26" w:rsidRDefault="00C83A17" w:rsidP="00505C26">
      <w:pPr>
        <w:spacing w:line="276" w:lineRule="auto"/>
        <w:jc w:val="both"/>
        <w:rPr>
          <w:rFonts w:ascii="Arial" w:hAnsi="Arial" w:cs="Arial"/>
          <w:b/>
        </w:rPr>
      </w:pPr>
    </w:p>
    <w:p w14:paraId="68789872" w14:textId="246B7B94" w:rsidR="00354B93" w:rsidRPr="00505C26" w:rsidRDefault="000435DA" w:rsidP="00505C26">
      <w:pPr>
        <w:pStyle w:val="Ttulo1"/>
        <w:numPr>
          <w:ilvl w:val="0"/>
          <w:numId w:val="9"/>
        </w:numPr>
        <w:spacing w:line="276" w:lineRule="auto"/>
        <w:ind w:left="426" w:hanging="142"/>
        <w:rPr>
          <w:rFonts w:cs="Arial"/>
          <w:szCs w:val="24"/>
        </w:rPr>
      </w:pPr>
      <w:bookmarkStart w:id="10" w:name="_Toc51083010"/>
      <w:bookmarkEnd w:id="8"/>
      <w:bookmarkEnd w:id="9"/>
      <w:r w:rsidRPr="00505C26">
        <w:rPr>
          <w:rFonts w:cs="Arial"/>
          <w:szCs w:val="24"/>
        </w:rPr>
        <w:t>ASPECTOS GENERALES DE AUDITORÍA</w:t>
      </w:r>
      <w:bookmarkEnd w:id="10"/>
    </w:p>
    <w:p w14:paraId="757D2AFF" w14:textId="6881BA7C" w:rsidR="00EE05AC" w:rsidRDefault="00EE05AC" w:rsidP="00505C26">
      <w:pPr>
        <w:spacing w:line="276" w:lineRule="auto"/>
        <w:rPr>
          <w:rFonts w:ascii="Arial" w:hAnsi="Arial" w:cs="Arial"/>
        </w:rPr>
      </w:pPr>
    </w:p>
    <w:p w14:paraId="5DE773D1" w14:textId="43488B0F" w:rsidR="00EE05AC" w:rsidRPr="00505C26" w:rsidRDefault="00EE05AC" w:rsidP="00505C26">
      <w:pPr>
        <w:pStyle w:val="Prrafodelista"/>
        <w:numPr>
          <w:ilvl w:val="0"/>
          <w:numId w:val="1"/>
        </w:numPr>
        <w:spacing w:line="276" w:lineRule="auto"/>
        <w:ind w:left="851" w:hanging="425"/>
        <w:outlineLvl w:val="1"/>
        <w:rPr>
          <w:rFonts w:ascii="Arial" w:hAnsi="Arial" w:cs="Arial"/>
          <w:b/>
        </w:rPr>
      </w:pPr>
      <w:bookmarkStart w:id="11" w:name="_Toc51083011"/>
      <w:r w:rsidRPr="00505C26">
        <w:rPr>
          <w:rFonts w:ascii="Arial" w:hAnsi="Arial" w:cs="Arial"/>
          <w:b/>
        </w:rPr>
        <w:t xml:space="preserve">Título de la </w:t>
      </w:r>
      <w:r w:rsidR="00CA3406" w:rsidRPr="00505C26">
        <w:rPr>
          <w:rFonts w:ascii="Arial" w:hAnsi="Arial" w:cs="Arial"/>
          <w:b/>
        </w:rPr>
        <w:t>Auditoría</w:t>
      </w:r>
      <w:bookmarkEnd w:id="11"/>
    </w:p>
    <w:p w14:paraId="13530A72" w14:textId="77777777" w:rsidR="008E31BA" w:rsidRPr="00505C26" w:rsidRDefault="008E31BA" w:rsidP="00505C26">
      <w:pPr>
        <w:spacing w:line="276" w:lineRule="auto"/>
        <w:jc w:val="both"/>
        <w:rPr>
          <w:rFonts w:ascii="Arial" w:hAnsi="Arial" w:cs="Arial"/>
          <w:bCs/>
        </w:rPr>
      </w:pPr>
    </w:p>
    <w:p w14:paraId="73C47201" w14:textId="4FF86670" w:rsidR="00EE05AC" w:rsidRPr="00505C26" w:rsidRDefault="00EE05AC" w:rsidP="00505C26">
      <w:pPr>
        <w:spacing w:line="276" w:lineRule="auto"/>
        <w:jc w:val="both"/>
        <w:rPr>
          <w:rFonts w:ascii="Arial" w:hAnsi="Arial" w:cs="Arial"/>
        </w:rPr>
      </w:pPr>
      <w:r w:rsidRPr="00505C26">
        <w:rPr>
          <w:rFonts w:ascii="Arial" w:hAnsi="Arial" w:cs="Arial"/>
        </w:rPr>
        <w:t>La auditoría que se reali</w:t>
      </w:r>
      <w:r w:rsidR="00F74A3F" w:rsidRPr="00505C26">
        <w:rPr>
          <w:rFonts w:ascii="Arial" w:hAnsi="Arial" w:cs="Arial"/>
        </w:rPr>
        <w:t xml:space="preserve">zó en materia de desempeño al </w:t>
      </w:r>
      <w:r w:rsidR="00F74A3F" w:rsidRPr="00505C26">
        <w:rPr>
          <w:rFonts w:ascii="Arial" w:hAnsi="Arial" w:cs="Arial"/>
          <w:b/>
          <w:bCs/>
        </w:rPr>
        <w:t>Tribunal de Justicia Administrativa del Estado de Quintana Roo</w:t>
      </w:r>
      <w:r w:rsidR="00F74A3F" w:rsidRPr="00505C26">
        <w:rPr>
          <w:rFonts w:ascii="Arial" w:hAnsi="Arial" w:cs="Arial"/>
        </w:rPr>
        <w:t xml:space="preserve">, </w:t>
      </w:r>
      <w:r w:rsidRPr="00505C26">
        <w:rPr>
          <w:rFonts w:ascii="Arial" w:hAnsi="Arial" w:cs="Arial"/>
        </w:rPr>
        <w:t>de manera especial y enunciativa mas no limitativa, fue la siguiente:</w:t>
      </w:r>
    </w:p>
    <w:p w14:paraId="52569237" w14:textId="77777777" w:rsidR="00EE05AC" w:rsidRPr="00505C26" w:rsidRDefault="00EE05AC" w:rsidP="00505C26">
      <w:pPr>
        <w:spacing w:line="276" w:lineRule="auto"/>
        <w:rPr>
          <w:rFonts w:ascii="Arial" w:hAnsi="Arial" w:cs="Arial"/>
        </w:rPr>
      </w:pPr>
    </w:p>
    <w:p w14:paraId="0FC61531" w14:textId="6B61A272" w:rsidR="00D6170F" w:rsidRPr="00505C26" w:rsidRDefault="00F74A3F" w:rsidP="00505C26">
      <w:pPr>
        <w:spacing w:line="276" w:lineRule="auto"/>
        <w:jc w:val="both"/>
        <w:rPr>
          <w:rFonts w:ascii="Arial" w:hAnsi="Arial" w:cs="Arial"/>
          <w:b/>
        </w:rPr>
      </w:pPr>
      <w:r w:rsidRPr="00505C26">
        <w:rPr>
          <w:rFonts w:ascii="Arial" w:hAnsi="Arial" w:cs="Arial"/>
          <w:b/>
        </w:rPr>
        <w:t>19-AEMD-C-GOB-068-142 “Auditoría de Desempeño a los Programas Presupuestarios, Análisis de Matriz de Indicadores para Resultados y revisión del Cumplimiento de los Objetivos, Metas e Indicadores”</w:t>
      </w:r>
    </w:p>
    <w:p w14:paraId="3D27A4C9" w14:textId="595A2206" w:rsidR="00D6170F" w:rsidRDefault="00D6170F" w:rsidP="00505C26">
      <w:pPr>
        <w:spacing w:line="276" w:lineRule="auto"/>
        <w:rPr>
          <w:rFonts w:ascii="Arial" w:hAnsi="Arial" w:cs="Arial"/>
        </w:rPr>
      </w:pPr>
    </w:p>
    <w:p w14:paraId="34E97E66" w14:textId="77777777" w:rsidR="008E31BA" w:rsidRPr="00505C26" w:rsidRDefault="00EE05AC" w:rsidP="00505C26">
      <w:pPr>
        <w:pStyle w:val="Prrafodelista"/>
        <w:numPr>
          <w:ilvl w:val="0"/>
          <w:numId w:val="1"/>
        </w:numPr>
        <w:spacing w:line="276" w:lineRule="auto"/>
        <w:ind w:left="851" w:hanging="425"/>
        <w:outlineLvl w:val="1"/>
        <w:rPr>
          <w:rFonts w:ascii="Arial" w:hAnsi="Arial" w:cs="Arial"/>
          <w:b/>
        </w:rPr>
      </w:pPr>
      <w:bookmarkStart w:id="12" w:name="_Toc522715967"/>
      <w:bookmarkStart w:id="13" w:name="_Toc51083012"/>
      <w:r w:rsidRPr="00505C26">
        <w:rPr>
          <w:rFonts w:ascii="Arial" w:hAnsi="Arial" w:cs="Arial"/>
          <w:b/>
        </w:rPr>
        <w:t>Objetivo</w:t>
      </w:r>
      <w:bookmarkEnd w:id="12"/>
      <w:bookmarkEnd w:id="13"/>
    </w:p>
    <w:p w14:paraId="7CA2DE8D" w14:textId="77777777" w:rsidR="000B1CFA" w:rsidRPr="00505C26" w:rsidRDefault="000B1CFA" w:rsidP="00505C26">
      <w:pPr>
        <w:spacing w:line="276" w:lineRule="auto"/>
        <w:jc w:val="both"/>
        <w:rPr>
          <w:rFonts w:ascii="Arial" w:hAnsi="Arial" w:cs="Arial"/>
        </w:rPr>
      </w:pPr>
    </w:p>
    <w:p w14:paraId="16A89BA3" w14:textId="77777777" w:rsidR="00AD6F89" w:rsidRPr="00505C26" w:rsidRDefault="00AD6F89" w:rsidP="00505C26">
      <w:pPr>
        <w:spacing w:line="276" w:lineRule="auto"/>
        <w:jc w:val="both"/>
        <w:rPr>
          <w:rFonts w:ascii="Arial" w:hAnsi="Arial" w:cs="Arial"/>
        </w:rPr>
      </w:pPr>
      <w:r w:rsidRPr="00505C26">
        <w:rPr>
          <w:rFonts w:ascii="Arial" w:hAnsi="Arial" w:cs="Arial"/>
        </w:rPr>
        <w:t xml:space="preserve">Fiscalizar que las Matrices de Indicadores para Resultados implementadas por el </w:t>
      </w:r>
      <w:r w:rsidRPr="00505C26">
        <w:rPr>
          <w:rFonts w:ascii="Arial" w:hAnsi="Arial" w:cs="Arial"/>
          <w:b/>
          <w:bCs/>
        </w:rPr>
        <w:t>Tribunal de Justicia Administrativa del Estado de Quintana Roo</w:t>
      </w:r>
      <w:r w:rsidRPr="00505C26">
        <w:rPr>
          <w:rFonts w:ascii="Arial" w:hAnsi="Arial" w:cs="Arial"/>
        </w:rPr>
        <w:t>, contribuyan al cumplimiento de los objetivos, metas e indicadores establecidos en sus Programas Presupuestarios, de acuerdo con la Metodología del Marco Lógico y normativa aplicable.</w:t>
      </w:r>
    </w:p>
    <w:p w14:paraId="56C2212A" w14:textId="5C97E3EF" w:rsidR="00E1059F" w:rsidRDefault="00E1059F" w:rsidP="00505C26">
      <w:pPr>
        <w:spacing w:line="276" w:lineRule="auto"/>
        <w:jc w:val="both"/>
        <w:rPr>
          <w:rFonts w:ascii="Arial" w:hAnsi="Arial" w:cs="Arial"/>
          <w:b/>
        </w:rPr>
      </w:pPr>
    </w:p>
    <w:p w14:paraId="4A102A81" w14:textId="77777777" w:rsidR="00C83A17" w:rsidRDefault="00C83A17" w:rsidP="00505C26">
      <w:pPr>
        <w:spacing w:line="276" w:lineRule="auto"/>
        <w:jc w:val="both"/>
        <w:rPr>
          <w:rFonts w:ascii="Arial" w:hAnsi="Arial" w:cs="Arial"/>
          <w:b/>
        </w:rPr>
      </w:pPr>
    </w:p>
    <w:p w14:paraId="707F25B1" w14:textId="55493018" w:rsidR="001631A0" w:rsidRPr="00505C26" w:rsidRDefault="00CA3406" w:rsidP="00505C26">
      <w:pPr>
        <w:pStyle w:val="Prrafodelista"/>
        <w:numPr>
          <w:ilvl w:val="0"/>
          <w:numId w:val="1"/>
        </w:numPr>
        <w:spacing w:line="276" w:lineRule="auto"/>
        <w:ind w:left="851" w:hanging="284"/>
        <w:outlineLvl w:val="1"/>
        <w:rPr>
          <w:rFonts w:ascii="Arial" w:hAnsi="Arial" w:cs="Arial"/>
          <w:b/>
        </w:rPr>
      </w:pPr>
      <w:bookmarkStart w:id="14" w:name="_Toc522715968"/>
      <w:r w:rsidRPr="00505C26">
        <w:rPr>
          <w:rFonts w:ascii="Arial" w:hAnsi="Arial" w:cs="Arial"/>
          <w:b/>
        </w:rPr>
        <w:lastRenderedPageBreak/>
        <w:t xml:space="preserve"> </w:t>
      </w:r>
      <w:bookmarkStart w:id="15" w:name="_Toc51083013"/>
      <w:r w:rsidR="00EE05AC" w:rsidRPr="00505C26">
        <w:rPr>
          <w:rFonts w:ascii="Arial" w:hAnsi="Arial" w:cs="Arial"/>
          <w:b/>
        </w:rPr>
        <w:t>Alcance</w:t>
      </w:r>
      <w:bookmarkEnd w:id="14"/>
      <w:bookmarkEnd w:id="15"/>
    </w:p>
    <w:p w14:paraId="58D5E48C" w14:textId="77777777" w:rsidR="001631A0" w:rsidRPr="00505C26" w:rsidRDefault="001631A0" w:rsidP="00505C26">
      <w:pPr>
        <w:pStyle w:val="Prrafodelista"/>
        <w:spacing w:line="276" w:lineRule="auto"/>
        <w:jc w:val="both"/>
        <w:rPr>
          <w:rFonts w:ascii="Arial" w:hAnsi="Arial" w:cs="Arial"/>
          <w:b/>
        </w:rPr>
      </w:pPr>
    </w:p>
    <w:p w14:paraId="35F44F6C" w14:textId="013791DE" w:rsidR="009B015F" w:rsidRPr="00505C26" w:rsidRDefault="004956AC" w:rsidP="00505C26">
      <w:pPr>
        <w:spacing w:line="276" w:lineRule="auto"/>
        <w:jc w:val="both"/>
        <w:rPr>
          <w:rFonts w:ascii="Arial" w:hAnsi="Arial" w:cs="Arial"/>
        </w:rPr>
      </w:pPr>
      <w:r w:rsidRPr="004956AC">
        <w:rPr>
          <w:rFonts w:ascii="Arial" w:hAnsi="Arial" w:cs="Arial"/>
        </w:rPr>
        <w:t xml:space="preserve">La auditoría se basó en el estudio general de las acciones emprendidas por el </w:t>
      </w:r>
      <w:r w:rsidR="00AD6F89" w:rsidRPr="00505C26">
        <w:rPr>
          <w:rFonts w:ascii="Arial" w:hAnsi="Arial" w:cs="Arial"/>
          <w:b/>
          <w:bCs/>
        </w:rPr>
        <w:t>Tribunal de Justicia Administrativa del Estado de Quintana Roo</w:t>
      </w:r>
      <w:r w:rsidR="00D66C10" w:rsidRPr="00505C26">
        <w:rPr>
          <w:rFonts w:ascii="Arial" w:hAnsi="Arial" w:cs="Arial"/>
          <w:b/>
          <w:bCs/>
        </w:rPr>
        <w:t xml:space="preserve">, </w:t>
      </w:r>
      <w:r w:rsidR="00BC1488" w:rsidRPr="00BC1488">
        <w:rPr>
          <w:rFonts w:ascii="Arial" w:hAnsi="Arial" w:cs="Arial"/>
        </w:rPr>
        <w:t>y la evaluación de los resultados obtenidos durante el ejercicio fiscal 2019, comprendiendo el análisis de la normativa aplicable, las Matrices de Indicadores para Resultados y el cumplimiento de objetivos y metas de los programas presupuestarios con base a indicadores.</w:t>
      </w:r>
    </w:p>
    <w:p w14:paraId="20ADA268" w14:textId="06E35A3A" w:rsidR="004E46AF" w:rsidRPr="00505C26" w:rsidRDefault="004E46AF" w:rsidP="00505C26">
      <w:pPr>
        <w:spacing w:line="276" w:lineRule="auto"/>
        <w:jc w:val="both"/>
        <w:rPr>
          <w:rFonts w:ascii="Arial" w:hAnsi="Arial" w:cs="Arial"/>
        </w:rPr>
      </w:pPr>
    </w:p>
    <w:p w14:paraId="7FDC0E0F" w14:textId="46280301" w:rsidR="00263DB3" w:rsidRPr="00505C26" w:rsidRDefault="00263DB3" w:rsidP="00505C26">
      <w:pPr>
        <w:spacing w:line="276" w:lineRule="auto"/>
        <w:jc w:val="both"/>
        <w:rPr>
          <w:rFonts w:ascii="Arial" w:hAnsi="Arial" w:cs="Arial"/>
        </w:rPr>
      </w:pPr>
      <w:r w:rsidRPr="00505C26">
        <w:rPr>
          <w:rFonts w:ascii="Arial" w:hAnsi="Arial" w:cs="Arial"/>
        </w:rPr>
        <w:t>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w:t>
      </w:r>
      <w:r w:rsidR="009B015F" w:rsidRPr="00505C26">
        <w:rPr>
          <w:rFonts w:ascii="Arial" w:hAnsi="Arial" w:cs="Arial"/>
        </w:rPr>
        <w:t>uditoría Superior del Estado de Quintana Roo,</w:t>
      </w:r>
      <w:r w:rsidRPr="00505C26">
        <w:rPr>
          <w:rFonts w:ascii="Arial" w:hAnsi="Arial" w:cs="Arial"/>
        </w:rPr>
        <w:t xml:space="preserve"> la Norma Profesional de Auditoría del Sistema Nacional de Fiscalización No.300 Principios Fundamentales de la Auditoría de Desempeño, así como lo relativo a los procesos y procedimientos de Auditoría en Materia de Desempeño </w:t>
      </w:r>
      <w:r w:rsidRPr="00505C26">
        <w:rPr>
          <w:rFonts w:ascii="Arial" w:hAnsi="Arial" w:cs="Arial"/>
          <w:lang w:val="es-ES"/>
        </w:rPr>
        <w:t>del Sistema de Gestión de Calidad de la Auditoría Superior del Estado de Quintana Roo</w:t>
      </w:r>
      <w:r w:rsidRPr="00505C26">
        <w:rPr>
          <w:rFonts w:ascii="Arial" w:hAnsi="Arial" w:cs="Arial"/>
        </w:rPr>
        <w:t>, para asegurar el logro del objetivo y el alcance establecido. Los datos proporcionados por</w:t>
      </w:r>
      <w:r w:rsidR="00AD6F89" w:rsidRPr="00505C26">
        <w:rPr>
          <w:rFonts w:ascii="Arial" w:hAnsi="Arial" w:cs="Arial"/>
        </w:rPr>
        <w:t xml:space="preserve"> el </w:t>
      </w:r>
      <w:r w:rsidR="00AD6F89" w:rsidRPr="00505C26">
        <w:rPr>
          <w:rFonts w:ascii="Arial" w:hAnsi="Arial" w:cs="Arial"/>
          <w:b/>
          <w:bCs/>
        </w:rPr>
        <w:t>Tribunal de Justicia Administrativa del Estado de Quintana Roo</w:t>
      </w:r>
      <w:r w:rsidR="00F3408E" w:rsidRPr="00505C26">
        <w:rPr>
          <w:rFonts w:ascii="Arial" w:hAnsi="Arial" w:cs="Arial"/>
          <w:b/>
        </w:rPr>
        <w:t xml:space="preserve">, </w:t>
      </w:r>
      <w:r w:rsidRPr="00505C26">
        <w:rPr>
          <w:rFonts w:ascii="Arial" w:hAnsi="Arial" w:cs="Arial"/>
        </w:rPr>
        <w:t xml:space="preserve">fueron en lo general, suficientes, de calidad, confiables y consistentes para aplicar los procedimientos establecidos y para sustentar los hallazgos y la opinión de la Auditoría Superior del Estado sobre </w:t>
      </w:r>
      <w:r w:rsidR="00BC1488">
        <w:rPr>
          <w:rFonts w:ascii="Arial" w:hAnsi="Arial" w:cs="Arial"/>
        </w:rPr>
        <w:t xml:space="preserve">la normativa del ente, </w:t>
      </w:r>
      <w:r w:rsidR="00BC1488">
        <w:rPr>
          <w:rFonts w:ascii="Arial" w:hAnsi="Arial"/>
        </w:rPr>
        <w:t xml:space="preserve">los </w:t>
      </w:r>
      <w:r w:rsidR="00BC1488" w:rsidRPr="00F3408E">
        <w:rPr>
          <w:rFonts w:ascii="Arial" w:hAnsi="Arial"/>
        </w:rPr>
        <w:t xml:space="preserve">Programas Presupuestarios, análisis de Matriz de Indicadores </w:t>
      </w:r>
      <w:r w:rsidR="00B2634A">
        <w:rPr>
          <w:rFonts w:ascii="Arial" w:hAnsi="Arial"/>
        </w:rPr>
        <w:t>para</w:t>
      </w:r>
      <w:r w:rsidR="00BC1488" w:rsidRPr="00F3408E">
        <w:rPr>
          <w:rFonts w:ascii="Arial" w:hAnsi="Arial"/>
        </w:rPr>
        <w:t xml:space="preserve"> Resultados y revisión del cumplimiento de los objetivos, metas e indicadores</w:t>
      </w:r>
      <w:r w:rsidR="00BC1488">
        <w:rPr>
          <w:rFonts w:ascii="Arial" w:hAnsi="Arial"/>
        </w:rPr>
        <w:t>.</w:t>
      </w:r>
    </w:p>
    <w:p w14:paraId="7CC8E280" w14:textId="3343B2DD" w:rsidR="00505C26" w:rsidRDefault="00505C26" w:rsidP="00505C26">
      <w:pPr>
        <w:spacing w:line="276" w:lineRule="auto"/>
        <w:jc w:val="both"/>
        <w:rPr>
          <w:rFonts w:ascii="Arial" w:hAnsi="Arial" w:cs="Arial"/>
        </w:rPr>
      </w:pPr>
    </w:p>
    <w:p w14:paraId="0120A2A8" w14:textId="77777777" w:rsidR="00EE05AC" w:rsidRPr="00505C26" w:rsidRDefault="00EE05AC" w:rsidP="00505C26">
      <w:pPr>
        <w:pStyle w:val="Prrafodelista"/>
        <w:numPr>
          <w:ilvl w:val="0"/>
          <w:numId w:val="1"/>
        </w:numPr>
        <w:spacing w:line="276" w:lineRule="auto"/>
        <w:ind w:left="851"/>
        <w:jc w:val="both"/>
        <w:outlineLvl w:val="1"/>
        <w:rPr>
          <w:rFonts w:ascii="Arial" w:hAnsi="Arial" w:cs="Arial"/>
          <w:b/>
        </w:rPr>
      </w:pPr>
      <w:bookmarkStart w:id="16" w:name="_Toc51083014"/>
      <w:r w:rsidRPr="00505C26">
        <w:rPr>
          <w:rFonts w:ascii="Arial" w:hAnsi="Arial" w:cs="Arial"/>
          <w:b/>
        </w:rPr>
        <w:t>Criterios de Selección</w:t>
      </w:r>
      <w:bookmarkEnd w:id="16"/>
      <w:r w:rsidRPr="00505C26">
        <w:rPr>
          <w:rFonts w:ascii="Arial" w:hAnsi="Arial" w:cs="Arial"/>
          <w:b/>
        </w:rPr>
        <w:t xml:space="preserve"> </w:t>
      </w:r>
    </w:p>
    <w:p w14:paraId="5C0CC49F" w14:textId="77777777" w:rsidR="00EE05AC" w:rsidRPr="00505C26" w:rsidRDefault="00EE05AC" w:rsidP="00505C26">
      <w:pPr>
        <w:spacing w:line="276" w:lineRule="auto"/>
        <w:jc w:val="both"/>
        <w:rPr>
          <w:rFonts w:ascii="Arial" w:hAnsi="Arial" w:cs="Arial"/>
          <w:b/>
        </w:rPr>
      </w:pPr>
    </w:p>
    <w:p w14:paraId="70DFED70" w14:textId="0E1BECFB" w:rsidR="00EE05AC" w:rsidRDefault="00EE05AC" w:rsidP="00505C26">
      <w:pPr>
        <w:spacing w:line="276" w:lineRule="auto"/>
        <w:jc w:val="both"/>
        <w:rPr>
          <w:rFonts w:ascii="Arial" w:hAnsi="Arial" w:cs="Arial"/>
          <w:lang w:val="es-ES"/>
        </w:rPr>
      </w:pPr>
      <w:r w:rsidRPr="00505C26">
        <w:rPr>
          <w:rFonts w:ascii="Arial" w:hAnsi="Arial" w:cs="Arial"/>
          <w:lang w:val="es-ES"/>
        </w:rPr>
        <w:t>Esta auditoría se seleccionó con base en los criterios cuantitativos y cualitativos establecidos en la Normativa Institucional de la Auditoría Superior del Estado de Quintana Roo para la integración del Programa Anual de Auditorías, Visitas e Inspecc</w:t>
      </w:r>
      <w:r w:rsidR="00F3408E" w:rsidRPr="00505C26">
        <w:rPr>
          <w:rFonts w:ascii="Arial" w:hAnsi="Arial" w:cs="Arial"/>
          <w:lang w:val="es-ES"/>
        </w:rPr>
        <w:t>iones correspondiente al año 2020</w:t>
      </w:r>
      <w:r w:rsidRPr="00505C26">
        <w:rPr>
          <w:rFonts w:ascii="Arial" w:hAnsi="Arial" w:cs="Arial"/>
          <w:lang w:val="es-ES"/>
        </w:rPr>
        <w:t>, que comprende la Fiscalización Superior de la Cuenta Pública del 201</w:t>
      </w:r>
      <w:r w:rsidR="00F3408E" w:rsidRPr="00505C26">
        <w:rPr>
          <w:rFonts w:ascii="Arial" w:hAnsi="Arial" w:cs="Arial"/>
          <w:lang w:val="es-ES"/>
        </w:rPr>
        <w:t>9</w:t>
      </w:r>
      <w:r w:rsidRPr="00505C26">
        <w:rPr>
          <w:rFonts w:ascii="Arial" w:hAnsi="Arial" w:cs="Arial"/>
          <w:lang w:val="es-ES"/>
        </w:rPr>
        <w:t>, considerando la importancia, pertinencia y factibilidad de su realización.</w:t>
      </w:r>
    </w:p>
    <w:p w14:paraId="296B4AD7" w14:textId="77777777" w:rsidR="00C83A17" w:rsidRPr="00505C26" w:rsidRDefault="00C83A17" w:rsidP="00505C26">
      <w:pPr>
        <w:spacing w:line="276" w:lineRule="auto"/>
        <w:jc w:val="both"/>
        <w:rPr>
          <w:rFonts w:ascii="Arial" w:hAnsi="Arial" w:cs="Arial"/>
          <w:lang w:val="es-ES"/>
        </w:rPr>
      </w:pPr>
    </w:p>
    <w:p w14:paraId="4947B8A4" w14:textId="77777777" w:rsidR="00EE05AC" w:rsidRPr="00505C26" w:rsidRDefault="00EE05AC" w:rsidP="00505C26">
      <w:pPr>
        <w:pStyle w:val="Prrafodelista"/>
        <w:numPr>
          <w:ilvl w:val="0"/>
          <w:numId w:val="1"/>
        </w:numPr>
        <w:spacing w:line="276" w:lineRule="auto"/>
        <w:ind w:left="851"/>
        <w:jc w:val="both"/>
        <w:outlineLvl w:val="1"/>
        <w:rPr>
          <w:rFonts w:ascii="Arial" w:hAnsi="Arial" w:cs="Arial"/>
          <w:b/>
        </w:rPr>
      </w:pPr>
      <w:bookmarkStart w:id="17" w:name="_Toc51083015"/>
      <w:r w:rsidRPr="00505C26">
        <w:rPr>
          <w:rFonts w:ascii="Arial" w:hAnsi="Arial" w:cs="Arial"/>
          <w:b/>
        </w:rPr>
        <w:t>Áreas Revisadas</w:t>
      </w:r>
      <w:bookmarkEnd w:id="17"/>
      <w:r w:rsidRPr="00505C26">
        <w:rPr>
          <w:rFonts w:ascii="Arial" w:hAnsi="Arial" w:cs="Arial"/>
          <w:b/>
        </w:rPr>
        <w:t xml:space="preserve"> </w:t>
      </w:r>
    </w:p>
    <w:p w14:paraId="5F833B73" w14:textId="77777777" w:rsidR="00EE05AC" w:rsidRPr="00505C26" w:rsidRDefault="00EE05AC" w:rsidP="00505C26">
      <w:pPr>
        <w:spacing w:line="276" w:lineRule="auto"/>
        <w:jc w:val="both"/>
        <w:rPr>
          <w:rFonts w:ascii="Arial" w:hAnsi="Arial" w:cs="Arial"/>
        </w:rPr>
      </w:pPr>
    </w:p>
    <w:p w14:paraId="488C9CBE" w14:textId="76CD060B" w:rsidR="00F025DB" w:rsidRPr="00505C26" w:rsidRDefault="00EE05AC" w:rsidP="00505C26">
      <w:pPr>
        <w:spacing w:line="276" w:lineRule="auto"/>
        <w:jc w:val="both"/>
        <w:rPr>
          <w:rFonts w:ascii="Arial" w:hAnsi="Arial" w:cs="Arial"/>
          <w:b/>
        </w:rPr>
      </w:pPr>
      <w:r w:rsidRPr="00505C26">
        <w:rPr>
          <w:rFonts w:ascii="Arial" w:hAnsi="Arial" w:cs="Arial"/>
          <w:lang w:val="es-ES"/>
        </w:rPr>
        <w:t>Se revis</w:t>
      </w:r>
      <w:r w:rsidR="007713A3" w:rsidRPr="00505C26">
        <w:rPr>
          <w:rFonts w:ascii="Arial" w:hAnsi="Arial" w:cs="Arial"/>
          <w:lang w:val="es-ES"/>
        </w:rPr>
        <w:t xml:space="preserve">aron las </w:t>
      </w:r>
      <w:r w:rsidR="00F025DB" w:rsidRPr="00505C26">
        <w:rPr>
          <w:rFonts w:ascii="Arial" w:hAnsi="Arial" w:cs="Arial"/>
          <w:lang w:val="es-ES"/>
        </w:rPr>
        <w:t>área</w:t>
      </w:r>
      <w:r w:rsidR="007713A3" w:rsidRPr="00505C26">
        <w:rPr>
          <w:rFonts w:ascii="Arial" w:hAnsi="Arial" w:cs="Arial"/>
          <w:lang w:val="es-ES"/>
        </w:rPr>
        <w:t>s</w:t>
      </w:r>
      <w:r w:rsidR="009B6B33" w:rsidRPr="00505C26">
        <w:rPr>
          <w:rFonts w:ascii="Arial" w:hAnsi="Arial" w:cs="Arial"/>
          <w:lang w:val="es-ES"/>
        </w:rPr>
        <w:t xml:space="preserve"> del Órgano Interno de Control y la Dirección de Investigación y Normatividad del </w:t>
      </w:r>
      <w:r w:rsidR="009B6B33" w:rsidRPr="00505C26">
        <w:rPr>
          <w:rFonts w:ascii="Arial" w:hAnsi="Arial" w:cs="Arial"/>
          <w:b/>
          <w:lang w:val="es-ES"/>
        </w:rPr>
        <w:t>Tribunal de Justicia Administrativa del Estado de Quintana Roo.</w:t>
      </w:r>
      <w:r w:rsidR="009B6B33" w:rsidRPr="00505C26">
        <w:rPr>
          <w:rFonts w:ascii="Arial" w:hAnsi="Arial" w:cs="Arial"/>
          <w:lang w:val="es-ES"/>
        </w:rPr>
        <w:t xml:space="preserve"> </w:t>
      </w:r>
    </w:p>
    <w:p w14:paraId="5B12228A" w14:textId="0513181F" w:rsidR="00CA39CB" w:rsidRDefault="00CA39CB" w:rsidP="00505C26">
      <w:pPr>
        <w:spacing w:line="276" w:lineRule="auto"/>
        <w:jc w:val="both"/>
        <w:rPr>
          <w:rFonts w:ascii="Arial" w:hAnsi="Arial" w:cs="Arial"/>
          <w:b/>
        </w:rPr>
      </w:pPr>
    </w:p>
    <w:p w14:paraId="489100A1" w14:textId="77777777" w:rsidR="00C83A17" w:rsidRPr="00505C26" w:rsidRDefault="00C83A17" w:rsidP="00505C26">
      <w:pPr>
        <w:spacing w:line="276" w:lineRule="auto"/>
        <w:jc w:val="both"/>
        <w:rPr>
          <w:rFonts w:ascii="Arial" w:hAnsi="Arial" w:cs="Arial"/>
          <w:b/>
        </w:rPr>
      </w:pPr>
    </w:p>
    <w:p w14:paraId="64BE23FA" w14:textId="77777777" w:rsidR="00F025DB" w:rsidRPr="00505C26" w:rsidRDefault="00F025DB" w:rsidP="00505C26">
      <w:pPr>
        <w:pStyle w:val="Prrafodelista"/>
        <w:numPr>
          <w:ilvl w:val="0"/>
          <w:numId w:val="1"/>
        </w:numPr>
        <w:spacing w:line="276" w:lineRule="auto"/>
        <w:ind w:left="851"/>
        <w:jc w:val="both"/>
        <w:outlineLvl w:val="1"/>
        <w:rPr>
          <w:rFonts w:ascii="Arial" w:hAnsi="Arial" w:cs="Arial"/>
          <w:b/>
        </w:rPr>
      </w:pPr>
      <w:bookmarkStart w:id="18" w:name="_Toc535405160"/>
      <w:bookmarkStart w:id="19" w:name="_Toc51083016"/>
      <w:r w:rsidRPr="00505C26">
        <w:rPr>
          <w:rFonts w:ascii="Arial" w:hAnsi="Arial" w:cs="Arial"/>
          <w:b/>
        </w:rPr>
        <w:t>Procedimientos de Auditoría Aplicados</w:t>
      </w:r>
      <w:bookmarkEnd w:id="18"/>
      <w:bookmarkEnd w:id="19"/>
    </w:p>
    <w:p w14:paraId="6D770A81" w14:textId="77777777" w:rsidR="00F025DB" w:rsidRPr="00505C26" w:rsidRDefault="00F025DB" w:rsidP="00505C26">
      <w:pPr>
        <w:spacing w:line="276" w:lineRule="auto"/>
        <w:jc w:val="both"/>
        <w:rPr>
          <w:rFonts w:ascii="Arial" w:hAnsi="Arial" w:cs="Arial"/>
          <w:bCs/>
        </w:rPr>
      </w:pPr>
    </w:p>
    <w:p w14:paraId="0ADAEB28" w14:textId="6F33C60A" w:rsidR="006531A5" w:rsidRDefault="006531A5" w:rsidP="00505C26">
      <w:pPr>
        <w:pStyle w:val="Prrafodelista"/>
        <w:numPr>
          <w:ilvl w:val="0"/>
          <w:numId w:val="7"/>
        </w:numPr>
        <w:spacing w:line="276" w:lineRule="auto"/>
        <w:ind w:left="284" w:hanging="142"/>
        <w:jc w:val="both"/>
        <w:rPr>
          <w:rFonts w:ascii="Arial" w:hAnsi="Arial" w:cs="Arial"/>
          <w:b/>
        </w:rPr>
      </w:pPr>
      <w:r w:rsidRPr="00505C26">
        <w:rPr>
          <w:rFonts w:ascii="Arial" w:hAnsi="Arial" w:cs="Arial"/>
          <w:b/>
        </w:rPr>
        <w:t>Control Interno/ Ambiente De Control</w:t>
      </w:r>
    </w:p>
    <w:p w14:paraId="3041684B" w14:textId="77777777" w:rsidR="00CA39CB" w:rsidRPr="00505C26" w:rsidRDefault="00CA39CB" w:rsidP="00CA39CB">
      <w:pPr>
        <w:pStyle w:val="Prrafodelista"/>
        <w:spacing w:line="276" w:lineRule="auto"/>
        <w:ind w:left="284"/>
        <w:jc w:val="both"/>
        <w:rPr>
          <w:rFonts w:ascii="Arial" w:hAnsi="Arial" w:cs="Arial"/>
          <w:b/>
        </w:rPr>
      </w:pPr>
    </w:p>
    <w:p w14:paraId="0B7C0D6A" w14:textId="3097CBC0" w:rsidR="00FD2966" w:rsidRPr="00505C26" w:rsidRDefault="00FD2966" w:rsidP="00BC1488">
      <w:pPr>
        <w:pStyle w:val="Prrafodelista"/>
        <w:numPr>
          <w:ilvl w:val="0"/>
          <w:numId w:val="8"/>
        </w:numPr>
        <w:spacing w:line="276" w:lineRule="auto"/>
        <w:ind w:left="851" w:hanging="284"/>
        <w:jc w:val="both"/>
        <w:rPr>
          <w:rFonts w:ascii="Arial" w:hAnsi="Arial" w:cs="Arial"/>
          <w:b/>
        </w:rPr>
      </w:pPr>
      <w:r w:rsidRPr="00505C26">
        <w:rPr>
          <w:rFonts w:ascii="Arial" w:hAnsi="Arial" w:cs="Arial"/>
        </w:rPr>
        <w:t>Verificar que el marco normativo y Jurídico que regula la actuación del Tribunal de Justicia Administrativa, se encuentre vigente, actualizado y homologado entre sí. Así como constatar que cuente con la normativa del enfoque de Presupuesto basado en Resultados, y Metodología del Marco Lógico.</w:t>
      </w:r>
    </w:p>
    <w:p w14:paraId="311B519B" w14:textId="77777777" w:rsidR="00FD2966" w:rsidRPr="00505C26" w:rsidRDefault="00FD2966" w:rsidP="00BC1488">
      <w:pPr>
        <w:pStyle w:val="Prrafodelista"/>
        <w:spacing w:line="276" w:lineRule="auto"/>
        <w:ind w:left="851" w:hanging="284"/>
        <w:jc w:val="both"/>
        <w:rPr>
          <w:rFonts w:ascii="Arial" w:hAnsi="Arial" w:cs="Arial"/>
          <w:b/>
        </w:rPr>
      </w:pPr>
    </w:p>
    <w:p w14:paraId="5D27693D" w14:textId="370C1909" w:rsidR="009D1DFB" w:rsidRDefault="009D1DFB" w:rsidP="00505C26">
      <w:pPr>
        <w:pStyle w:val="Prrafodelista"/>
        <w:numPr>
          <w:ilvl w:val="0"/>
          <w:numId w:val="7"/>
        </w:numPr>
        <w:spacing w:line="276" w:lineRule="auto"/>
        <w:ind w:left="284" w:hanging="142"/>
        <w:jc w:val="both"/>
        <w:rPr>
          <w:rFonts w:ascii="Arial" w:hAnsi="Arial" w:cs="Arial"/>
          <w:b/>
        </w:rPr>
      </w:pPr>
      <w:r w:rsidRPr="00505C26">
        <w:rPr>
          <w:rFonts w:ascii="Arial" w:hAnsi="Arial" w:cs="Arial"/>
          <w:b/>
        </w:rPr>
        <w:t>Matriz de Indicadores para Resultados (MIR)</w:t>
      </w:r>
    </w:p>
    <w:p w14:paraId="66292E8E" w14:textId="77777777" w:rsidR="00CA39CB" w:rsidRPr="00505C26" w:rsidRDefault="00CA39CB" w:rsidP="00CA39CB">
      <w:pPr>
        <w:pStyle w:val="Prrafodelista"/>
        <w:spacing w:line="276" w:lineRule="auto"/>
        <w:ind w:left="284"/>
        <w:jc w:val="both"/>
        <w:rPr>
          <w:rFonts w:ascii="Arial" w:hAnsi="Arial" w:cs="Arial"/>
          <w:b/>
        </w:rPr>
      </w:pPr>
    </w:p>
    <w:p w14:paraId="44CCC377" w14:textId="33EA0B9B" w:rsidR="009B015F" w:rsidRPr="00505C26" w:rsidRDefault="009B015F" w:rsidP="00505C26">
      <w:pPr>
        <w:pStyle w:val="Prrafodelista"/>
        <w:numPr>
          <w:ilvl w:val="0"/>
          <w:numId w:val="8"/>
        </w:numPr>
        <w:spacing w:line="276" w:lineRule="auto"/>
        <w:ind w:left="851" w:hanging="284"/>
        <w:jc w:val="both"/>
        <w:rPr>
          <w:rFonts w:ascii="Arial" w:hAnsi="Arial" w:cs="Arial"/>
          <w:b/>
        </w:rPr>
      </w:pPr>
      <w:r w:rsidRPr="00505C26">
        <w:rPr>
          <w:rFonts w:ascii="Arial" w:hAnsi="Arial" w:cs="Arial"/>
        </w:rPr>
        <w:t>Comprobar que el presupuesto por programa presupuestario se ajustó a los montos aprobados y que las modificaciones presupuestales tuvieron sustento financiero.</w:t>
      </w:r>
    </w:p>
    <w:p w14:paraId="34CBFC98" w14:textId="77777777" w:rsidR="009B015F" w:rsidRPr="00505C26" w:rsidRDefault="009B015F" w:rsidP="00505C26">
      <w:pPr>
        <w:pStyle w:val="Prrafodelista"/>
        <w:spacing w:line="276" w:lineRule="auto"/>
        <w:ind w:left="851"/>
        <w:jc w:val="both"/>
        <w:rPr>
          <w:rFonts w:ascii="Arial" w:hAnsi="Arial" w:cs="Arial"/>
          <w:b/>
        </w:rPr>
      </w:pPr>
    </w:p>
    <w:p w14:paraId="3A608E60" w14:textId="79D458B1" w:rsidR="009B015F" w:rsidRPr="00505C26" w:rsidRDefault="009B015F" w:rsidP="00505C26">
      <w:pPr>
        <w:pStyle w:val="Prrafodelista"/>
        <w:numPr>
          <w:ilvl w:val="1"/>
          <w:numId w:val="7"/>
        </w:numPr>
        <w:spacing w:line="276" w:lineRule="auto"/>
        <w:ind w:left="851" w:hanging="567"/>
        <w:jc w:val="both"/>
        <w:rPr>
          <w:rFonts w:ascii="Arial" w:hAnsi="Arial" w:cs="Arial"/>
          <w:b/>
        </w:rPr>
      </w:pPr>
      <w:r w:rsidRPr="00505C26">
        <w:rPr>
          <w:rFonts w:ascii="Arial" w:hAnsi="Arial" w:cs="Arial"/>
        </w:rPr>
        <w:t>Verificar que la Matriz de Indicadores para Resultados</w:t>
      </w:r>
      <w:r w:rsidRPr="00505C26">
        <w:rPr>
          <w:rFonts w:ascii="Arial" w:hAnsi="Arial" w:cs="Arial"/>
          <w:lang w:val="es-ES_tradnl"/>
        </w:rPr>
        <w:t xml:space="preserve"> de </w:t>
      </w:r>
      <w:r w:rsidRPr="00505C26">
        <w:rPr>
          <w:rFonts w:ascii="Arial" w:hAnsi="Arial" w:cs="Arial"/>
        </w:rPr>
        <w:t xml:space="preserve">los Programas Presupuestarios del </w:t>
      </w:r>
      <w:r w:rsidRPr="00505C26">
        <w:rPr>
          <w:rFonts w:ascii="Arial" w:hAnsi="Arial" w:cs="Arial"/>
          <w:b/>
        </w:rPr>
        <w:t>Tribunal de Justicia Administrativa del Estado de Quintana Roo</w:t>
      </w:r>
      <w:r w:rsidRPr="00505C26">
        <w:rPr>
          <w:rFonts w:ascii="Arial" w:hAnsi="Arial" w:cs="Arial"/>
        </w:rPr>
        <w:t xml:space="preserve"> presenten </w:t>
      </w:r>
      <w:r w:rsidRPr="00505C26">
        <w:rPr>
          <w:rFonts w:ascii="Arial" w:hAnsi="Arial" w:cs="Arial"/>
          <w:lang w:val="es-ES_tradnl"/>
        </w:rPr>
        <w:t xml:space="preserve">congruencia y alineación </w:t>
      </w:r>
      <w:r w:rsidRPr="00505C26">
        <w:rPr>
          <w:rFonts w:ascii="Arial" w:hAnsi="Arial" w:cs="Arial"/>
        </w:rPr>
        <w:t>con los objetivos, metas e indicadores establecidos en el Plan Estatal de Desarrollo (PED) 2016-2022, y de acuerdo con la Metodología del Marco Lógico.</w:t>
      </w:r>
    </w:p>
    <w:p w14:paraId="2542C0A9" w14:textId="77777777" w:rsidR="009B015F" w:rsidRPr="00505C26" w:rsidRDefault="009B015F" w:rsidP="00505C26">
      <w:pPr>
        <w:pStyle w:val="Prrafodelista"/>
        <w:spacing w:line="276" w:lineRule="auto"/>
        <w:ind w:left="851" w:hanging="425"/>
        <w:jc w:val="both"/>
        <w:rPr>
          <w:rFonts w:ascii="Arial" w:hAnsi="Arial" w:cs="Arial"/>
          <w:b/>
        </w:rPr>
      </w:pPr>
    </w:p>
    <w:p w14:paraId="0CE5C753" w14:textId="1F101E55" w:rsidR="009B015F" w:rsidRPr="00CA39CB" w:rsidRDefault="009B015F" w:rsidP="00505C26">
      <w:pPr>
        <w:pStyle w:val="Prrafodelista"/>
        <w:numPr>
          <w:ilvl w:val="1"/>
          <w:numId w:val="7"/>
        </w:numPr>
        <w:spacing w:line="276" w:lineRule="auto"/>
        <w:ind w:left="851" w:hanging="567"/>
        <w:jc w:val="both"/>
        <w:rPr>
          <w:rFonts w:ascii="Arial" w:hAnsi="Arial" w:cs="Arial"/>
          <w:b/>
        </w:rPr>
      </w:pPr>
      <w:r w:rsidRPr="00505C26">
        <w:rPr>
          <w:rFonts w:ascii="Arial" w:hAnsi="Arial" w:cs="Arial"/>
        </w:rPr>
        <w:t xml:space="preserve">Verificar que el </w:t>
      </w:r>
      <w:r w:rsidRPr="00505C26">
        <w:rPr>
          <w:rFonts w:ascii="Arial" w:hAnsi="Arial" w:cs="Arial"/>
          <w:b/>
        </w:rPr>
        <w:t>Tribunal de Justicia Administrativa del Estado de Quintana Roo</w:t>
      </w:r>
      <w:r w:rsidRPr="00505C26">
        <w:rPr>
          <w:rFonts w:ascii="Arial" w:hAnsi="Arial" w:cs="Arial"/>
        </w:rPr>
        <w:t xml:space="preserve"> haya cumplido con el seguimiento del avance de metas y objetivos establecidos en las Matrices de Indicadores para Resultados.</w:t>
      </w:r>
    </w:p>
    <w:p w14:paraId="74F6526F" w14:textId="0C507B4D" w:rsidR="006F7207" w:rsidRPr="00505C26" w:rsidRDefault="006F7207" w:rsidP="00915A75">
      <w:pPr>
        <w:pStyle w:val="Prrafodelista"/>
        <w:numPr>
          <w:ilvl w:val="0"/>
          <w:numId w:val="1"/>
        </w:numPr>
        <w:spacing w:line="276" w:lineRule="auto"/>
        <w:ind w:hanging="578"/>
        <w:jc w:val="both"/>
        <w:outlineLvl w:val="1"/>
        <w:rPr>
          <w:rFonts w:ascii="Arial" w:hAnsi="Arial" w:cs="Arial"/>
          <w:b/>
        </w:rPr>
      </w:pPr>
      <w:bookmarkStart w:id="20" w:name="_Toc51083017"/>
      <w:r w:rsidRPr="00505C26">
        <w:rPr>
          <w:rFonts w:ascii="Arial" w:hAnsi="Arial" w:cs="Arial"/>
          <w:b/>
        </w:rPr>
        <w:lastRenderedPageBreak/>
        <w:t xml:space="preserve">Servidores Públicos </w:t>
      </w:r>
      <w:bookmarkEnd w:id="20"/>
      <w:r w:rsidR="00915A75" w:rsidRPr="00915A75">
        <w:rPr>
          <w:rFonts w:ascii="Arial" w:hAnsi="Arial" w:cs="Arial"/>
          <w:b/>
        </w:rPr>
        <w:t>que intervinieron en la Auditoría</w:t>
      </w:r>
    </w:p>
    <w:p w14:paraId="28C55620" w14:textId="77777777" w:rsidR="006F7207" w:rsidRPr="00505C26" w:rsidRDefault="006F7207" w:rsidP="00206A33">
      <w:pPr>
        <w:autoSpaceDE w:val="0"/>
        <w:autoSpaceDN w:val="0"/>
        <w:adjustRightInd w:val="0"/>
        <w:jc w:val="both"/>
        <w:rPr>
          <w:rFonts w:ascii="Arial" w:hAnsi="Arial" w:cs="Arial"/>
        </w:rPr>
      </w:pPr>
    </w:p>
    <w:p w14:paraId="75D3EEC0" w14:textId="7E95A2BF" w:rsidR="00516362" w:rsidRPr="00505C26" w:rsidRDefault="00915A75" w:rsidP="00505C26">
      <w:pPr>
        <w:spacing w:line="276" w:lineRule="auto"/>
        <w:jc w:val="both"/>
        <w:rPr>
          <w:rFonts w:ascii="Arial" w:hAnsi="Arial" w:cs="Arial"/>
          <w:bCs/>
        </w:rPr>
      </w:pPr>
      <w:r w:rsidRPr="00915A75">
        <w:rPr>
          <w:rFonts w:ascii="Arial" w:hAnsi="Arial" w:cs="Arial"/>
          <w:bCs/>
        </w:rPr>
        <w:t>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ASEQROO/ASE/AEMD/04</w:t>
      </w:r>
      <w:r w:rsidR="00206A33">
        <w:rPr>
          <w:rFonts w:ascii="Arial" w:hAnsi="Arial" w:cs="Arial"/>
          <w:bCs/>
        </w:rPr>
        <w:t>52/</w:t>
      </w:r>
      <w:r w:rsidRPr="00915A75">
        <w:rPr>
          <w:rFonts w:ascii="Arial" w:hAnsi="Arial" w:cs="Arial"/>
          <w:bCs/>
        </w:rPr>
        <w:t>08/2020, siendo los servidores públicos a cargo de coordinar y supervisar la auditoría, los siguientes:</w:t>
      </w:r>
    </w:p>
    <w:p w14:paraId="2685CE62" w14:textId="77777777" w:rsidR="00516362" w:rsidRPr="00505C26" w:rsidRDefault="00516362" w:rsidP="00505C26">
      <w:pPr>
        <w:spacing w:line="276" w:lineRule="auto"/>
        <w:jc w:val="both"/>
        <w:rPr>
          <w:rFonts w:ascii="Arial" w:hAnsi="Arial" w:cs="Arial"/>
          <w:bCs/>
        </w:rPr>
      </w:pPr>
    </w:p>
    <w:tbl>
      <w:tblPr>
        <w:tblStyle w:val="Tablaconcuadrcula"/>
        <w:tblW w:w="8930" w:type="dxa"/>
        <w:jc w:val="center"/>
        <w:tblLook w:val="04A0" w:firstRow="1" w:lastRow="0" w:firstColumn="1" w:lastColumn="0" w:noHBand="0" w:noVBand="1"/>
      </w:tblPr>
      <w:tblGrid>
        <w:gridCol w:w="4536"/>
        <w:gridCol w:w="4394"/>
      </w:tblGrid>
      <w:tr w:rsidR="006F7207" w:rsidRPr="00206A33" w14:paraId="13266CF6" w14:textId="77777777" w:rsidTr="00B611AC">
        <w:trPr>
          <w:jc w:val="center"/>
        </w:trPr>
        <w:tc>
          <w:tcPr>
            <w:tcW w:w="4536" w:type="dxa"/>
            <w:shd w:val="clear" w:color="auto" w:fill="D9D9D9" w:themeFill="background1" w:themeFillShade="D9"/>
          </w:tcPr>
          <w:p w14:paraId="4BF5259C" w14:textId="77777777" w:rsidR="006F7207" w:rsidRPr="00206A33" w:rsidRDefault="006F7207" w:rsidP="00505C26">
            <w:pPr>
              <w:spacing w:line="276" w:lineRule="auto"/>
              <w:jc w:val="center"/>
              <w:rPr>
                <w:rFonts w:ascii="Arial" w:hAnsi="Arial" w:cs="Arial"/>
                <w:b/>
                <w:bCs/>
                <w:sz w:val="20"/>
                <w:szCs w:val="20"/>
              </w:rPr>
            </w:pPr>
            <w:r w:rsidRPr="00206A33">
              <w:rPr>
                <w:rFonts w:ascii="Arial" w:hAnsi="Arial" w:cs="Arial"/>
                <w:b/>
                <w:bCs/>
                <w:sz w:val="20"/>
                <w:szCs w:val="20"/>
              </w:rPr>
              <w:t>NOMBRE</w:t>
            </w:r>
          </w:p>
        </w:tc>
        <w:tc>
          <w:tcPr>
            <w:tcW w:w="4394" w:type="dxa"/>
            <w:shd w:val="clear" w:color="auto" w:fill="D9D9D9" w:themeFill="background1" w:themeFillShade="D9"/>
          </w:tcPr>
          <w:p w14:paraId="16B0AE96" w14:textId="77777777" w:rsidR="006F7207" w:rsidRPr="00206A33" w:rsidRDefault="006F7207" w:rsidP="00505C26">
            <w:pPr>
              <w:spacing w:line="276" w:lineRule="auto"/>
              <w:jc w:val="center"/>
              <w:rPr>
                <w:rFonts w:ascii="Arial" w:hAnsi="Arial" w:cs="Arial"/>
                <w:b/>
                <w:bCs/>
                <w:sz w:val="20"/>
                <w:szCs w:val="20"/>
              </w:rPr>
            </w:pPr>
            <w:r w:rsidRPr="00206A33">
              <w:rPr>
                <w:rFonts w:ascii="Arial" w:hAnsi="Arial" w:cs="Arial"/>
                <w:b/>
                <w:bCs/>
                <w:sz w:val="20"/>
                <w:szCs w:val="20"/>
              </w:rPr>
              <w:t>CARGO</w:t>
            </w:r>
          </w:p>
        </w:tc>
      </w:tr>
      <w:tr w:rsidR="00AD46DF" w:rsidRPr="00206A33" w14:paraId="453487C7" w14:textId="77777777" w:rsidTr="00B611AC">
        <w:trPr>
          <w:jc w:val="center"/>
        </w:trPr>
        <w:tc>
          <w:tcPr>
            <w:tcW w:w="4536" w:type="dxa"/>
          </w:tcPr>
          <w:p w14:paraId="442EE33F" w14:textId="53C5830B" w:rsidR="00AD46DF" w:rsidRPr="00206A33" w:rsidRDefault="00AD46DF" w:rsidP="00AD46DF">
            <w:pPr>
              <w:spacing w:line="276" w:lineRule="auto"/>
              <w:jc w:val="both"/>
              <w:rPr>
                <w:rFonts w:ascii="Arial" w:hAnsi="Arial" w:cs="Arial"/>
                <w:bCs/>
                <w:sz w:val="20"/>
                <w:szCs w:val="20"/>
              </w:rPr>
            </w:pPr>
            <w:r w:rsidRPr="00206A33">
              <w:rPr>
                <w:rFonts w:ascii="Arial" w:hAnsi="Arial" w:cs="Arial"/>
                <w:sz w:val="20"/>
                <w:szCs w:val="20"/>
              </w:rPr>
              <w:t>L.A.E. Saidy Espinosa Ramírez</w:t>
            </w:r>
          </w:p>
        </w:tc>
        <w:tc>
          <w:tcPr>
            <w:tcW w:w="4394" w:type="dxa"/>
          </w:tcPr>
          <w:p w14:paraId="55D0C579" w14:textId="0036E700" w:rsidR="00AD46DF" w:rsidRPr="00206A33" w:rsidRDefault="00AD46DF" w:rsidP="00AD46DF">
            <w:pPr>
              <w:spacing w:line="276" w:lineRule="auto"/>
              <w:jc w:val="both"/>
              <w:rPr>
                <w:rFonts w:ascii="Arial" w:hAnsi="Arial" w:cs="Arial"/>
                <w:bCs/>
                <w:sz w:val="20"/>
                <w:szCs w:val="20"/>
              </w:rPr>
            </w:pPr>
            <w:r w:rsidRPr="00206A33">
              <w:rPr>
                <w:rFonts w:ascii="Arial" w:hAnsi="Arial" w:cs="Arial"/>
                <w:bCs/>
                <w:sz w:val="20"/>
                <w:szCs w:val="20"/>
              </w:rPr>
              <w:t xml:space="preserve">Coordinadora de la Dirección de Fiscalización en Materia al Desempeño C. </w:t>
            </w:r>
          </w:p>
        </w:tc>
      </w:tr>
      <w:tr w:rsidR="006F7207" w:rsidRPr="00206A33" w14:paraId="7D5E5DFF" w14:textId="77777777" w:rsidTr="00B611AC">
        <w:trPr>
          <w:jc w:val="center"/>
        </w:trPr>
        <w:tc>
          <w:tcPr>
            <w:tcW w:w="4536" w:type="dxa"/>
          </w:tcPr>
          <w:p w14:paraId="589FCCC8" w14:textId="2EBD2EE7" w:rsidR="00AD46DF" w:rsidRPr="00206A33" w:rsidRDefault="00AD46DF" w:rsidP="00AD46DF">
            <w:pPr>
              <w:spacing w:line="276" w:lineRule="auto"/>
              <w:jc w:val="both"/>
              <w:rPr>
                <w:rFonts w:ascii="Arial" w:hAnsi="Arial" w:cs="Arial"/>
                <w:bCs/>
                <w:sz w:val="20"/>
                <w:szCs w:val="20"/>
              </w:rPr>
            </w:pPr>
            <w:r w:rsidRPr="00206A33">
              <w:rPr>
                <w:rFonts w:ascii="Arial" w:hAnsi="Arial" w:cs="Arial"/>
                <w:bCs/>
                <w:sz w:val="20"/>
                <w:szCs w:val="20"/>
              </w:rPr>
              <w:t xml:space="preserve">Ing. en Admón. Ingrid </w:t>
            </w:r>
            <w:proofErr w:type="spellStart"/>
            <w:r w:rsidRPr="00206A33">
              <w:rPr>
                <w:rFonts w:ascii="Arial" w:hAnsi="Arial" w:cs="Arial"/>
                <w:bCs/>
                <w:sz w:val="20"/>
                <w:szCs w:val="20"/>
              </w:rPr>
              <w:t>Darany</w:t>
            </w:r>
            <w:proofErr w:type="spellEnd"/>
            <w:r w:rsidRPr="00206A33">
              <w:rPr>
                <w:rFonts w:ascii="Arial" w:hAnsi="Arial" w:cs="Arial"/>
                <w:bCs/>
                <w:sz w:val="20"/>
                <w:szCs w:val="20"/>
              </w:rPr>
              <w:t xml:space="preserve"> </w:t>
            </w:r>
            <w:proofErr w:type="spellStart"/>
            <w:r w:rsidRPr="00206A33">
              <w:rPr>
                <w:rFonts w:ascii="Arial" w:hAnsi="Arial" w:cs="Arial"/>
                <w:bCs/>
                <w:sz w:val="20"/>
                <w:szCs w:val="20"/>
              </w:rPr>
              <w:t>Sanzores</w:t>
            </w:r>
            <w:proofErr w:type="spellEnd"/>
            <w:r w:rsidRPr="00206A33">
              <w:rPr>
                <w:rFonts w:ascii="Arial" w:hAnsi="Arial" w:cs="Arial"/>
                <w:bCs/>
                <w:sz w:val="20"/>
                <w:szCs w:val="20"/>
              </w:rPr>
              <w:t xml:space="preserve"> Burgos</w:t>
            </w:r>
          </w:p>
          <w:p w14:paraId="0B49A873" w14:textId="55F8763D" w:rsidR="006F7207" w:rsidRPr="00206A33" w:rsidRDefault="006F7207" w:rsidP="00AD46DF">
            <w:pPr>
              <w:spacing w:line="276" w:lineRule="auto"/>
              <w:jc w:val="both"/>
              <w:rPr>
                <w:rFonts w:ascii="Arial" w:hAnsi="Arial" w:cs="Arial"/>
                <w:bCs/>
                <w:sz w:val="20"/>
                <w:szCs w:val="20"/>
              </w:rPr>
            </w:pPr>
          </w:p>
        </w:tc>
        <w:tc>
          <w:tcPr>
            <w:tcW w:w="4394" w:type="dxa"/>
          </w:tcPr>
          <w:p w14:paraId="23CFFE60" w14:textId="32B82CA1" w:rsidR="006F7207" w:rsidRPr="00206A33" w:rsidRDefault="00AD46DF" w:rsidP="00AD46DF">
            <w:pPr>
              <w:spacing w:line="276" w:lineRule="auto"/>
              <w:jc w:val="both"/>
              <w:rPr>
                <w:rFonts w:ascii="Arial" w:hAnsi="Arial" w:cs="Arial"/>
                <w:bCs/>
                <w:sz w:val="20"/>
                <w:szCs w:val="20"/>
              </w:rPr>
            </w:pPr>
            <w:r w:rsidRPr="00206A33">
              <w:rPr>
                <w:rFonts w:ascii="Arial" w:hAnsi="Arial" w:cs="Arial"/>
                <w:bCs/>
                <w:sz w:val="20"/>
                <w:szCs w:val="20"/>
              </w:rPr>
              <w:t>Supervisora de la Dirección</w:t>
            </w:r>
            <w:r w:rsidR="006F7207" w:rsidRPr="00206A33">
              <w:rPr>
                <w:rFonts w:ascii="Arial" w:hAnsi="Arial" w:cs="Arial"/>
                <w:bCs/>
                <w:sz w:val="20"/>
                <w:szCs w:val="20"/>
              </w:rPr>
              <w:t xml:space="preserve"> de Fiscalización en Materia al Desempeño C. </w:t>
            </w:r>
          </w:p>
        </w:tc>
      </w:tr>
    </w:tbl>
    <w:p w14:paraId="2848F786" w14:textId="77777777" w:rsidR="006F7207" w:rsidRPr="00505C26" w:rsidRDefault="006F7207" w:rsidP="00206A33">
      <w:pPr>
        <w:jc w:val="both"/>
        <w:rPr>
          <w:rFonts w:ascii="Arial" w:hAnsi="Arial" w:cs="Arial"/>
          <w:bCs/>
        </w:rPr>
      </w:pPr>
    </w:p>
    <w:p w14:paraId="1FE83DD2" w14:textId="3C426A0B" w:rsidR="00354B93" w:rsidRPr="00505C26" w:rsidRDefault="00354B93" w:rsidP="00505C26">
      <w:pPr>
        <w:pStyle w:val="Ttulo1"/>
        <w:numPr>
          <w:ilvl w:val="0"/>
          <w:numId w:val="10"/>
        </w:numPr>
        <w:spacing w:line="276" w:lineRule="auto"/>
        <w:ind w:left="426" w:hanging="142"/>
        <w:rPr>
          <w:rFonts w:cs="Arial"/>
          <w:szCs w:val="24"/>
        </w:rPr>
      </w:pPr>
      <w:bookmarkStart w:id="21" w:name="_Toc51083018"/>
      <w:bookmarkStart w:id="22" w:name="_Toc519096400"/>
      <w:bookmarkStart w:id="23" w:name="_Toc520277597"/>
      <w:bookmarkStart w:id="24" w:name="_Toc522715969"/>
      <w:r w:rsidRPr="00505C26">
        <w:rPr>
          <w:rFonts w:cs="Arial"/>
          <w:szCs w:val="24"/>
        </w:rPr>
        <w:t>RESULTADOS</w:t>
      </w:r>
      <w:bookmarkEnd w:id="21"/>
      <w:r w:rsidRPr="00505C26">
        <w:rPr>
          <w:rFonts w:cs="Arial"/>
          <w:szCs w:val="24"/>
        </w:rPr>
        <w:t xml:space="preserve"> </w:t>
      </w:r>
      <w:bookmarkEnd w:id="22"/>
      <w:bookmarkEnd w:id="23"/>
      <w:bookmarkEnd w:id="24"/>
    </w:p>
    <w:p w14:paraId="2B986C4B" w14:textId="77777777" w:rsidR="009C1560" w:rsidRPr="00505C26" w:rsidRDefault="009C1560" w:rsidP="00206A33">
      <w:pPr>
        <w:rPr>
          <w:rFonts w:ascii="Arial" w:hAnsi="Arial" w:cs="Arial"/>
        </w:rPr>
      </w:pPr>
    </w:p>
    <w:p w14:paraId="117F4C45" w14:textId="4E4DFCBC" w:rsidR="009C1560" w:rsidRPr="00505C26" w:rsidRDefault="009C1560" w:rsidP="00505C26">
      <w:pPr>
        <w:pStyle w:val="Prrafodelista"/>
        <w:numPr>
          <w:ilvl w:val="0"/>
          <w:numId w:val="11"/>
        </w:numPr>
        <w:spacing w:line="276" w:lineRule="auto"/>
        <w:ind w:left="851" w:hanging="425"/>
        <w:jc w:val="both"/>
        <w:outlineLvl w:val="1"/>
        <w:rPr>
          <w:rFonts w:ascii="Arial" w:hAnsi="Arial" w:cs="Arial"/>
          <w:b/>
        </w:rPr>
      </w:pPr>
      <w:bookmarkStart w:id="25" w:name="_Toc51083019"/>
      <w:r w:rsidRPr="00505C26">
        <w:rPr>
          <w:rFonts w:ascii="Arial" w:hAnsi="Arial" w:cs="Arial"/>
          <w:b/>
        </w:rPr>
        <w:t>Resumen general de observaciones y acciones emitidas en materia de desempeño.</w:t>
      </w:r>
      <w:bookmarkEnd w:id="25"/>
    </w:p>
    <w:p w14:paraId="5B9DB06E" w14:textId="77777777" w:rsidR="00354B93" w:rsidRPr="00505C26" w:rsidRDefault="00354B93" w:rsidP="00206A33">
      <w:pPr>
        <w:jc w:val="both"/>
        <w:rPr>
          <w:rFonts w:ascii="Arial" w:hAnsi="Arial" w:cs="Arial"/>
          <w:b/>
        </w:rPr>
      </w:pPr>
    </w:p>
    <w:p w14:paraId="7F3FBD67" w14:textId="77777777" w:rsidR="00B2634A" w:rsidRPr="00505C26" w:rsidRDefault="007E491A" w:rsidP="00505C26">
      <w:pPr>
        <w:spacing w:line="276" w:lineRule="auto"/>
        <w:jc w:val="both"/>
        <w:rPr>
          <w:rFonts w:ascii="Arial" w:hAnsi="Arial" w:cs="Arial"/>
        </w:rPr>
      </w:pPr>
      <w:r w:rsidRPr="00505C26">
        <w:rPr>
          <w:rFonts w:ascii="Arial" w:hAnsi="Arial" w:cs="Arial"/>
        </w:rPr>
        <w:t>De conformidad con los</w:t>
      </w:r>
      <w:r w:rsidR="004E26C1" w:rsidRPr="00505C26">
        <w:rPr>
          <w:rFonts w:ascii="Arial" w:hAnsi="Arial" w:cs="Arial"/>
        </w:rPr>
        <w:t xml:space="preserve"> artículos 17 fracción II,</w:t>
      </w:r>
      <w:r w:rsidR="006F7207" w:rsidRPr="00505C26">
        <w:rPr>
          <w:rFonts w:ascii="Arial" w:hAnsi="Arial" w:cs="Arial"/>
        </w:rPr>
        <w:t xml:space="preserve"> 38, 41 en su segundo párrafo, </w:t>
      </w:r>
      <w:r w:rsidR="004E26C1" w:rsidRPr="00505C26">
        <w:rPr>
          <w:rFonts w:ascii="Arial" w:hAnsi="Arial" w:cs="Arial"/>
        </w:rPr>
        <w:t>y 61</w:t>
      </w:r>
      <w:r w:rsidRPr="00505C26">
        <w:rPr>
          <w:rFonts w:ascii="Arial" w:hAnsi="Arial" w:cs="Arial"/>
        </w:rPr>
        <w:t xml:space="preserve"> párrafo primero de la Ley de Fiscalización y Rendición de Cuentas del Estado de Quintana Roo, y artículos 4, 8 y 9, fracciones X</w:t>
      </w:r>
      <w:r w:rsidR="006F7207" w:rsidRPr="00505C26">
        <w:rPr>
          <w:rFonts w:ascii="Arial" w:hAnsi="Arial" w:cs="Arial"/>
        </w:rPr>
        <w:t>, XI, XVIII</w:t>
      </w:r>
      <w:r w:rsidRPr="00505C26">
        <w:rPr>
          <w:rFonts w:ascii="Arial" w:hAnsi="Arial" w:cs="Arial"/>
        </w:rPr>
        <w:t xml:space="preserve"> y XXVI del Reglamento Interior de la Auditoría Superior del Estado de Quintana Roo, durante este proceso se determin</w:t>
      </w:r>
      <w:r w:rsidR="009B015F" w:rsidRPr="00505C26">
        <w:rPr>
          <w:rFonts w:ascii="Arial" w:hAnsi="Arial" w:cs="Arial"/>
        </w:rPr>
        <w:t>aron</w:t>
      </w:r>
      <w:r w:rsidRPr="00505C26">
        <w:rPr>
          <w:rFonts w:ascii="Arial" w:hAnsi="Arial" w:cs="Arial"/>
        </w:rPr>
        <w:t xml:space="preserve"> </w:t>
      </w:r>
      <w:r w:rsidR="00456BB3" w:rsidRPr="00505C26">
        <w:rPr>
          <w:rFonts w:ascii="Arial" w:hAnsi="Arial" w:cs="Arial"/>
          <w:b/>
        </w:rPr>
        <w:t>2</w:t>
      </w:r>
      <w:r w:rsidRPr="00505C26">
        <w:rPr>
          <w:rFonts w:ascii="Arial" w:hAnsi="Arial" w:cs="Arial"/>
        </w:rPr>
        <w:t xml:space="preserve"> resultado</w:t>
      </w:r>
      <w:r w:rsidR="00456BB3" w:rsidRPr="00505C26">
        <w:rPr>
          <w:rFonts w:ascii="Arial" w:hAnsi="Arial" w:cs="Arial"/>
        </w:rPr>
        <w:t>s</w:t>
      </w:r>
      <w:r w:rsidRPr="00505C26">
        <w:rPr>
          <w:rFonts w:ascii="Arial" w:hAnsi="Arial" w:cs="Arial"/>
        </w:rPr>
        <w:t xml:space="preserve"> </w:t>
      </w:r>
      <w:r w:rsidR="00B2634A">
        <w:rPr>
          <w:rFonts w:ascii="Arial" w:hAnsi="Arial" w:cs="Arial"/>
        </w:rPr>
        <w:t>de la fiscalización correspondientes a</w:t>
      </w:r>
      <w:r w:rsidR="009E76E0" w:rsidRPr="00505C26">
        <w:rPr>
          <w:rFonts w:ascii="Arial" w:hAnsi="Arial" w:cs="Arial"/>
        </w:rPr>
        <w:t xml:space="preserve"> la “</w:t>
      </w:r>
      <w:r w:rsidR="009E76E0" w:rsidRPr="00505C26">
        <w:rPr>
          <w:rFonts w:ascii="Arial" w:hAnsi="Arial" w:cs="Arial"/>
          <w:b/>
        </w:rPr>
        <w:t xml:space="preserve">Auditoría de Desempeño a </w:t>
      </w:r>
      <w:r w:rsidR="009E76E0" w:rsidRPr="00505C26">
        <w:rPr>
          <w:rFonts w:ascii="Arial" w:hAnsi="Arial" w:cs="Arial"/>
          <w:b/>
          <w:bCs/>
        </w:rPr>
        <w:t xml:space="preserve">los Programas Presupuestarios, Análisis de Matriz de Indicadores </w:t>
      </w:r>
      <w:r w:rsidR="00B2634A">
        <w:rPr>
          <w:rFonts w:ascii="Arial" w:hAnsi="Arial" w:cs="Arial"/>
          <w:b/>
          <w:bCs/>
        </w:rPr>
        <w:t>de</w:t>
      </w:r>
      <w:r w:rsidR="009E76E0" w:rsidRPr="00505C26">
        <w:rPr>
          <w:rFonts w:ascii="Arial" w:hAnsi="Arial" w:cs="Arial"/>
          <w:b/>
          <w:bCs/>
        </w:rPr>
        <w:t xml:space="preserve"> Resultados y revisión del Cumplimiento de los Objetivos, Metas e Indicadores</w:t>
      </w:r>
      <w:r w:rsidR="009E76E0" w:rsidRPr="00505C26">
        <w:rPr>
          <w:rFonts w:ascii="Arial" w:hAnsi="Arial" w:cs="Arial"/>
        </w:rPr>
        <w:t>”</w:t>
      </w:r>
      <w:r w:rsidR="00B2634A">
        <w:rPr>
          <w:rFonts w:ascii="Arial" w:hAnsi="Arial" w:cs="Arial"/>
        </w:rPr>
        <w:t xml:space="preserve"> del </w:t>
      </w:r>
      <w:r w:rsidR="00B2634A" w:rsidRPr="00505C26">
        <w:rPr>
          <w:rFonts w:ascii="Arial" w:hAnsi="Arial" w:cs="Arial"/>
          <w:b/>
        </w:rPr>
        <w:t>Tribunal de Justicia Administrativa del Estado de Quintana Roo</w:t>
      </w:r>
      <w:r w:rsidRPr="00505C26">
        <w:rPr>
          <w:rFonts w:ascii="Arial" w:hAnsi="Arial" w:cs="Arial"/>
          <w:bCs/>
          <w:lang w:val="es-ES"/>
        </w:rPr>
        <w:t>, que</w:t>
      </w:r>
      <w:r w:rsidRPr="00505C26">
        <w:rPr>
          <w:rFonts w:ascii="Arial" w:hAnsi="Arial" w:cs="Arial"/>
        </w:rPr>
        <w:t xml:space="preserve"> gener</w:t>
      </w:r>
      <w:r w:rsidR="00456BB3" w:rsidRPr="00505C26">
        <w:rPr>
          <w:rFonts w:ascii="Arial" w:hAnsi="Arial" w:cs="Arial"/>
        </w:rPr>
        <w:t>aron</w:t>
      </w:r>
      <w:r w:rsidR="009E76E0" w:rsidRPr="00505C26">
        <w:rPr>
          <w:rFonts w:ascii="Arial" w:hAnsi="Arial" w:cs="Arial"/>
        </w:rPr>
        <w:t xml:space="preserve"> </w:t>
      </w:r>
      <w:r w:rsidR="00510076">
        <w:rPr>
          <w:rFonts w:ascii="Arial" w:hAnsi="Arial" w:cs="Arial"/>
          <w:b/>
        </w:rPr>
        <w:t>6</w:t>
      </w:r>
      <w:r w:rsidRPr="00505C26">
        <w:rPr>
          <w:rFonts w:ascii="Arial" w:hAnsi="Arial" w:cs="Arial"/>
          <w:b/>
        </w:rPr>
        <w:t xml:space="preserve"> </w:t>
      </w:r>
      <w:r w:rsidR="00FB31CB" w:rsidRPr="00505C26">
        <w:rPr>
          <w:rFonts w:ascii="Arial" w:hAnsi="Arial" w:cs="Arial"/>
        </w:rPr>
        <w:t>observaciones</w:t>
      </w:r>
      <w:r w:rsidR="00456BB3" w:rsidRPr="00505C26">
        <w:rPr>
          <w:rFonts w:ascii="Arial" w:hAnsi="Arial" w:cs="Arial"/>
        </w:rPr>
        <w:t>.</w:t>
      </w:r>
      <w:r w:rsidRPr="00505C26">
        <w:rPr>
          <w:rFonts w:ascii="Arial" w:hAnsi="Arial" w:cs="Arial"/>
        </w:rPr>
        <w:t xml:space="preserve"> </w:t>
      </w:r>
      <w:r w:rsidR="00456BB3" w:rsidRPr="00505C26">
        <w:rPr>
          <w:rFonts w:ascii="Arial" w:hAnsi="Arial" w:cs="Arial"/>
        </w:rPr>
        <w:t>De lo anterior se derivan las acciones que a continuación se señalan:</w:t>
      </w: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206A33"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206A33" w:rsidRDefault="00D70251" w:rsidP="00505C26">
            <w:pPr>
              <w:spacing w:line="276" w:lineRule="auto"/>
              <w:jc w:val="center"/>
              <w:rPr>
                <w:rFonts w:ascii="Arial" w:hAnsi="Arial" w:cs="Arial"/>
                <w:b/>
                <w:bCs/>
                <w:color w:val="000000"/>
                <w:sz w:val="20"/>
                <w:szCs w:val="20"/>
              </w:rPr>
            </w:pPr>
            <w:r w:rsidRPr="00206A33">
              <w:rPr>
                <w:rFonts w:ascii="Arial" w:hAnsi="Arial" w:cs="Arial"/>
                <w:b/>
                <w:bCs/>
                <w:color w:val="000000"/>
                <w:sz w:val="20"/>
                <w:szCs w:val="20"/>
              </w:rPr>
              <w:t>Acciones Emitidas</w:t>
            </w:r>
          </w:p>
        </w:tc>
      </w:tr>
      <w:tr w:rsidR="00D70251" w:rsidRPr="00206A33"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206A33" w:rsidRDefault="00D70251" w:rsidP="00505C26">
            <w:pPr>
              <w:spacing w:line="276" w:lineRule="auto"/>
              <w:jc w:val="center"/>
              <w:rPr>
                <w:rFonts w:ascii="Arial" w:hAnsi="Arial" w:cs="Arial"/>
                <w:b/>
                <w:bCs/>
                <w:color w:val="000000"/>
                <w:sz w:val="20"/>
                <w:szCs w:val="20"/>
              </w:rPr>
            </w:pPr>
            <w:r w:rsidRPr="00206A33">
              <w:rPr>
                <w:rFonts w:ascii="Arial" w:hAnsi="Arial" w:cs="Arial"/>
                <w:b/>
                <w:bCs/>
                <w:color w:val="000000"/>
                <w:sz w:val="20"/>
                <w:szCs w:val="2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206A33" w:rsidRDefault="00D70251" w:rsidP="00505C26">
            <w:pPr>
              <w:spacing w:line="276" w:lineRule="auto"/>
              <w:jc w:val="center"/>
              <w:rPr>
                <w:rFonts w:ascii="Arial" w:hAnsi="Arial" w:cs="Arial"/>
                <w:b/>
                <w:bCs/>
                <w:color w:val="000000"/>
                <w:sz w:val="20"/>
                <w:szCs w:val="20"/>
              </w:rPr>
            </w:pPr>
            <w:r w:rsidRPr="00206A33">
              <w:rPr>
                <w:rFonts w:ascii="Arial" w:hAnsi="Arial" w:cs="Arial"/>
                <w:b/>
                <w:bCs/>
                <w:color w:val="000000"/>
                <w:sz w:val="20"/>
                <w:szCs w:val="20"/>
              </w:rPr>
              <w:t>Número</w:t>
            </w:r>
          </w:p>
        </w:tc>
      </w:tr>
      <w:tr w:rsidR="00D70251" w:rsidRPr="00206A33"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206A33" w:rsidRDefault="00D70251" w:rsidP="00505C26">
            <w:pPr>
              <w:spacing w:line="276" w:lineRule="auto"/>
              <w:rPr>
                <w:rFonts w:ascii="Arial" w:hAnsi="Arial" w:cs="Arial"/>
                <w:b/>
                <w:color w:val="000000"/>
                <w:sz w:val="20"/>
                <w:szCs w:val="20"/>
              </w:rPr>
            </w:pPr>
            <w:r w:rsidRPr="00206A33">
              <w:rPr>
                <w:rFonts w:ascii="Arial" w:hAnsi="Arial" w:cs="Arial"/>
                <w:b/>
                <w:color w:val="000000"/>
                <w:sz w:val="20"/>
                <w:szCs w:val="2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118E916E" w:rsidR="00D70251" w:rsidRPr="00206A33" w:rsidRDefault="009E76E0" w:rsidP="00505C26">
            <w:pPr>
              <w:spacing w:line="276" w:lineRule="auto"/>
              <w:jc w:val="center"/>
              <w:rPr>
                <w:rFonts w:ascii="Arial" w:hAnsi="Arial" w:cs="Arial"/>
                <w:b/>
                <w:color w:val="000000"/>
                <w:sz w:val="20"/>
                <w:szCs w:val="20"/>
              </w:rPr>
            </w:pPr>
            <w:r w:rsidRPr="00206A33">
              <w:rPr>
                <w:rFonts w:ascii="Arial" w:hAnsi="Arial" w:cs="Arial"/>
                <w:b/>
                <w:color w:val="000000"/>
                <w:sz w:val="20"/>
                <w:szCs w:val="20"/>
              </w:rPr>
              <w:t>0</w:t>
            </w:r>
            <w:r w:rsidR="00510076" w:rsidRPr="00206A33">
              <w:rPr>
                <w:rFonts w:ascii="Arial" w:hAnsi="Arial" w:cs="Arial"/>
                <w:b/>
                <w:color w:val="000000"/>
                <w:sz w:val="20"/>
                <w:szCs w:val="20"/>
              </w:rPr>
              <w:t>5</w:t>
            </w:r>
          </w:p>
        </w:tc>
      </w:tr>
      <w:tr w:rsidR="00D70251" w:rsidRPr="00206A33"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206A33" w:rsidRDefault="00D70251" w:rsidP="00505C26">
            <w:pPr>
              <w:spacing w:line="276" w:lineRule="auto"/>
              <w:rPr>
                <w:rFonts w:ascii="Arial" w:hAnsi="Arial" w:cs="Arial"/>
                <w:b/>
                <w:color w:val="000000"/>
                <w:sz w:val="20"/>
                <w:szCs w:val="2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206A33" w:rsidRDefault="00D70251" w:rsidP="00505C26">
            <w:pPr>
              <w:spacing w:line="276" w:lineRule="auto"/>
              <w:jc w:val="center"/>
              <w:rPr>
                <w:rFonts w:ascii="Arial" w:hAnsi="Arial" w:cs="Arial"/>
                <w:b/>
                <w:color w:val="000000"/>
                <w:sz w:val="20"/>
                <w:szCs w:val="20"/>
              </w:rPr>
            </w:pPr>
          </w:p>
        </w:tc>
      </w:tr>
      <w:tr w:rsidR="00D70251" w:rsidRPr="00206A33"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206A33" w:rsidRDefault="00D70251" w:rsidP="00505C26">
            <w:pPr>
              <w:spacing w:line="276" w:lineRule="auto"/>
              <w:rPr>
                <w:rFonts w:ascii="Arial" w:hAnsi="Arial" w:cs="Arial"/>
                <w:b/>
                <w:bCs/>
                <w:color w:val="000000"/>
                <w:sz w:val="20"/>
                <w:szCs w:val="20"/>
              </w:rPr>
            </w:pPr>
            <w:r w:rsidRPr="00206A33">
              <w:rPr>
                <w:rFonts w:ascii="Arial" w:hAnsi="Arial" w:cs="Arial"/>
                <w:b/>
                <w:bCs/>
                <w:color w:val="000000"/>
                <w:sz w:val="20"/>
                <w:szCs w:val="20"/>
              </w:rPr>
              <w:t>Total</w:t>
            </w:r>
          </w:p>
        </w:tc>
        <w:tc>
          <w:tcPr>
            <w:tcW w:w="1352" w:type="dxa"/>
            <w:tcBorders>
              <w:top w:val="single" w:sz="4" w:space="0" w:color="auto"/>
              <w:left w:val="nil"/>
              <w:bottom w:val="nil"/>
              <w:right w:val="nil"/>
            </w:tcBorders>
            <w:shd w:val="clear" w:color="auto" w:fill="auto"/>
            <w:noWrap/>
            <w:vAlign w:val="bottom"/>
          </w:tcPr>
          <w:p w14:paraId="2DCB6017" w14:textId="01E54F6B" w:rsidR="00D70251" w:rsidRPr="00206A33" w:rsidRDefault="009E76E0" w:rsidP="00505C26">
            <w:pPr>
              <w:spacing w:line="276" w:lineRule="auto"/>
              <w:jc w:val="center"/>
              <w:rPr>
                <w:rFonts w:ascii="Arial" w:hAnsi="Arial" w:cs="Arial"/>
                <w:b/>
                <w:bCs/>
                <w:color w:val="000000"/>
                <w:sz w:val="20"/>
                <w:szCs w:val="20"/>
              </w:rPr>
            </w:pPr>
            <w:r w:rsidRPr="00206A33">
              <w:rPr>
                <w:rFonts w:ascii="Arial" w:hAnsi="Arial" w:cs="Arial"/>
                <w:b/>
                <w:bCs/>
                <w:color w:val="000000"/>
                <w:sz w:val="20"/>
                <w:szCs w:val="20"/>
              </w:rPr>
              <w:t>0</w:t>
            </w:r>
            <w:r w:rsidR="00510076" w:rsidRPr="00206A33">
              <w:rPr>
                <w:rFonts w:ascii="Arial" w:hAnsi="Arial" w:cs="Arial"/>
                <w:b/>
                <w:bCs/>
                <w:color w:val="000000"/>
                <w:sz w:val="20"/>
                <w:szCs w:val="20"/>
              </w:rPr>
              <w:t>5</w:t>
            </w:r>
          </w:p>
        </w:tc>
      </w:tr>
    </w:tbl>
    <w:p w14:paraId="50F7078B" w14:textId="3559F58E" w:rsidR="00D70251" w:rsidRPr="00505C26" w:rsidRDefault="00D70251" w:rsidP="00505C26">
      <w:pPr>
        <w:pStyle w:val="Prrafodelista"/>
        <w:numPr>
          <w:ilvl w:val="0"/>
          <w:numId w:val="11"/>
        </w:numPr>
        <w:spacing w:line="276" w:lineRule="auto"/>
        <w:ind w:left="851" w:hanging="425"/>
        <w:jc w:val="both"/>
        <w:outlineLvl w:val="1"/>
        <w:rPr>
          <w:rFonts w:ascii="Arial" w:hAnsi="Arial" w:cs="Arial"/>
          <w:b/>
        </w:rPr>
      </w:pPr>
      <w:bookmarkStart w:id="26" w:name="_Toc51083020"/>
      <w:r w:rsidRPr="00505C26">
        <w:rPr>
          <w:rFonts w:ascii="Arial" w:hAnsi="Arial" w:cs="Arial"/>
          <w:b/>
        </w:rPr>
        <w:lastRenderedPageBreak/>
        <w:t>Detalle de Resultados</w:t>
      </w:r>
      <w:bookmarkEnd w:id="26"/>
    </w:p>
    <w:p w14:paraId="2FE93F55" w14:textId="77777777" w:rsidR="00D70251" w:rsidRPr="00505C26" w:rsidRDefault="00D70251" w:rsidP="00505C26">
      <w:pPr>
        <w:spacing w:line="276" w:lineRule="auto"/>
        <w:jc w:val="both"/>
        <w:rPr>
          <w:rFonts w:ascii="Arial" w:hAnsi="Arial" w:cs="Arial"/>
          <w:b/>
        </w:rPr>
      </w:pPr>
    </w:p>
    <w:p w14:paraId="222F5F92" w14:textId="77777777" w:rsidR="00456BB3" w:rsidRPr="00505C26" w:rsidRDefault="00456BB3" w:rsidP="00505C26">
      <w:pPr>
        <w:autoSpaceDE w:val="0"/>
        <w:autoSpaceDN w:val="0"/>
        <w:adjustRightInd w:val="0"/>
        <w:spacing w:line="276" w:lineRule="auto"/>
        <w:rPr>
          <w:rFonts w:ascii="Arial" w:hAnsi="Arial" w:cs="Arial"/>
          <w:b/>
          <w:bCs/>
        </w:rPr>
      </w:pPr>
      <w:r w:rsidRPr="00505C26">
        <w:rPr>
          <w:rFonts w:ascii="Arial" w:hAnsi="Arial" w:cs="Arial"/>
          <w:b/>
        </w:rPr>
        <w:t>CONTROL INTERNO/ AMBIENTE DE CONTROL</w:t>
      </w:r>
      <w:r w:rsidRPr="00505C26">
        <w:rPr>
          <w:rFonts w:ascii="Arial" w:hAnsi="Arial" w:cs="Arial"/>
          <w:b/>
          <w:bCs/>
        </w:rPr>
        <w:t xml:space="preserve"> </w:t>
      </w:r>
    </w:p>
    <w:p w14:paraId="0E7226A7" w14:textId="77777777" w:rsidR="00456BB3" w:rsidRPr="00505C26" w:rsidRDefault="00456BB3" w:rsidP="00505C26">
      <w:pPr>
        <w:pStyle w:val="Prrafodelista"/>
        <w:spacing w:line="276" w:lineRule="auto"/>
        <w:rPr>
          <w:rFonts w:ascii="Arial" w:hAnsi="Arial" w:cs="Arial"/>
          <w:b/>
        </w:rPr>
      </w:pPr>
    </w:p>
    <w:p w14:paraId="7CF99AE0" w14:textId="551BD18D" w:rsidR="00B17337" w:rsidRPr="00505C26" w:rsidRDefault="00B17337" w:rsidP="00505C26">
      <w:pPr>
        <w:autoSpaceDE w:val="0"/>
        <w:autoSpaceDN w:val="0"/>
        <w:adjustRightInd w:val="0"/>
        <w:spacing w:line="276" w:lineRule="auto"/>
        <w:jc w:val="both"/>
        <w:rPr>
          <w:rFonts w:ascii="Arial" w:hAnsi="Arial" w:cs="Arial"/>
          <w:b/>
          <w:color w:val="000000" w:themeColor="text1"/>
        </w:rPr>
      </w:pPr>
      <w:r w:rsidRPr="00505C26">
        <w:rPr>
          <w:rFonts w:ascii="Arial" w:hAnsi="Arial" w:cs="Arial"/>
          <w:b/>
          <w:color w:val="000000" w:themeColor="text1"/>
        </w:rPr>
        <w:t xml:space="preserve">Resultado Número 1, </w:t>
      </w:r>
      <w:r w:rsidRPr="00505C26">
        <w:rPr>
          <w:rFonts w:ascii="Arial" w:hAnsi="Arial" w:cs="Arial"/>
          <w:b/>
        </w:rPr>
        <w:t>con</w:t>
      </w:r>
      <w:r w:rsidRPr="00505C26">
        <w:rPr>
          <w:rFonts w:ascii="Arial" w:hAnsi="Arial" w:cs="Arial"/>
          <w:b/>
          <w:color w:val="000000" w:themeColor="text1"/>
        </w:rPr>
        <w:t xml:space="preserve"> Observaciones</w:t>
      </w:r>
    </w:p>
    <w:p w14:paraId="768EA956" w14:textId="1A875D6B" w:rsidR="00B17337" w:rsidRDefault="00B17337" w:rsidP="00505C26">
      <w:pPr>
        <w:spacing w:line="276" w:lineRule="auto"/>
        <w:jc w:val="both"/>
        <w:outlineLvl w:val="0"/>
        <w:rPr>
          <w:rFonts w:ascii="Arial" w:eastAsia="Calibri" w:hAnsi="Arial" w:cs="Arial"/>
          <w:bCs/>
          <w:lang w:eastAsia="en-US"/>
        </w:rPr>
      </w:pPr>
    </w:p>
    <w:p w14:paraId="7ECACF6B" w14:textId="491A6794" w:rsidR="00B17337" w:rsidRPr="00505C26" w:rsidRDefault="00B17337" w:rsidP="00505C26">
      <w:pPr>
        <w:numPr>
          <w:ilvl w:val="0"/>
          <w:numId w:val="22"/>
        </w:numPr>
        <w:spacing w:after="160" w:line="276" w:lineRule="auto"/>
        <w:ind w:left="0" w:firstLine="0"/>
        <w:contextualSpacing/>
        <w:jc w:val="both"/>
        <w:rPr>
          <w:rFonts w:ascii="Arial" w:eastAsia="Calibri" w:hAnsi="Arial" w:cs="Arial"/>
          <w:bCs/>
          <w:lang w:eastAsia="en-US"/>
        </w:rPr>
      </w:pPr>
      <w:r w:rsidRPr="00505C26">
        <w:rPr>
          <w:rFonts w:ascii="Arial" w:eastAsia="Calibri" w:hAnsi="Arial" w:cs="Arial"/>
          <w:bCs/>
          <w:lang w:eastAsia="en-US"/>
        </w:rPr>
        <w:t xml:space="preserve">Se identificaron debilidades en relación al Marco Normativo del Tribunal de Justicia Administrativa, puesto que, algunas Unidades Administrativas presentadas en la </w:t>
      </w:r>
      <w:r w:rsidR="000D5B34">
        <w:rPr>
          <w:rFonts w:ascii="Arial" w:eastAsia="Calibri" w:hAnsi="Arial" w:cs="Arial"/>
          <w:bCs/>
          <w:lang w:eastAsia="en-US"/>
        </w:rPr>
        <w:t>Estructura Orgánica</w:t>
      </w:r>
      <w:r w:rsidRPr="00505C26">
        <w:rPr>
          <w:rFonts w:ascii="Arial" w:eastAsia="Calibri" w:hAnsi="Arial" w:cs="Arial"/>
          <w:bCs/>
          <w:lang w:eastAsia="en-US"/>
        </w:rPr>
        <w:t xml:space="preserve"> no son contempladas en el Reglamento Interior y en el Código de Justicia Administrativa, observando que no se encuentran homologados entre sí. Asimismo, se constató que el Reglamento Interior y el Código de Justicia Administrativa no presentan congruencia, debido que existen diferencias en la denominación de una Unidad Administrativa, con respecto a lo establecido en la Estructura Orgánica.  </w:t>
      </w:r>
    </w:p>
    <w:p w14:paraId="45844643" w14:textId="77777777" w:rsidR="00B17337" w:rsidRPr="00505C26" w:rsidRDefault="00B17337" w:rsidP="00505C26">
      <w:pPr>
        <w:spacing w:after="160" w:line="276" w:lineRule="auto"/>
        <w:jc w:val="both"/>
        <w:rPr>
          <w:rFonts w:ascii="Arial" w:eastAsia="Calibri" w:hAnsi="Arial" w:cs="Arial"/>
          <w:bCs/>
          <w:lang w:eastAsia="en-US"/>
        </w:rPr>
      </w:pPr>
    </w:p>
    <w:p w14:paraId="7E88650F" w14:textId="2D85DFA0" w:rsidR="00B17337" w:rsidRPr="00505C26" w:rsidRDefault="00B17337" w:rsidP="00505C26">
      <w:pPr>
        <w:numPr>
          <w:ilvl w:val="0"/>
          <w:numId w:val="22"/>
        </w:numPr>
        <w:spacing w:after="160" w:line="276" w:lineRule="auto"/>
        <w:ind w:left="0" w:firstLine="0"/>
        <w:contextualSpacing/>
        <w:jc w:val="both"/>
        <w:rPr>
          <w:rFonts w:ascii="Arial" w:eastAsia="Calibri" w:hAnsi="Arial" w:cs="Arial"/>
          <w:bCs/>
          <w:lang w:eastAsia="en-US"/>
        </w:rPr>
      </w:pPr>
      <w:r w:rsidRPr="00505C26">
        <w:rPr>
          <w:rFonts w:ascii="Arial" w:eastAsia="Calibri" w:hAnsi="Arial" w:cs="Arial"/>
          <w:bCs/>
          <w:lang w:eastAsia="en-US"/>
        </w:rPr>
        <w:t xml:space="preserve">Se corroboró que durante el ejercicio 2019 el Tribunal de Justicia Administrativa, no elaboró el Manual de Organización y el Manual de Procedimientos, que describa la </w:t>
      </w:r>
      <w:r w:rsidR="000D5B34">
        <w:rPr>
          <w:rFonts w:ascii="Arial" w:eastAsia="Calibri" w:hAnsi="Arial" w:cs="Arial"/>
          <w:bCs/>
          <w:lang w:eastAsia="en-US"/>
        </w:rPr>
        <w:t>Estructura Orgánica</w:t>
      </w:r>
      <w:r w:rsidRPr="00505C26">
        <w:rPr>
          <w:rFonts w:ascii="Arial" w:eastAsia="Calibri" w:hAnsi="Arial" w:cs="Arial"/>
          <w:bCs/>
          <w:lang w:eastAsia="en-US"/>
        </w:rPr>
        <w:t xml:space="preserve">, funciones, características, requisitos, responsabilidades, procesos y procedimientos de cada puesto, el cual permitirá orientar al personal en el desempeño de las labores asignadas a cada puesto de trabajo, a fin garantizar la calidad en el servicio y lograr de manera eficiente los objetivos establecidos por el Tribunal. </w:t>
      </w:r>
    </w:p>
    <w:p w14:paraId="3AD31F42" w14:textId="77777777" w:rsidR="00C83A17" w:rsidRPr="00505C26" w:rsidRDefault="00C83A17" w:rsidP="00505C26">
      <w:pPr>
        <w:spacing w:after="160" w:line="276" w:lineRule="auto"/>
        <w:jc w:val="both"/>
        <w:rPr>
          <w:rFonts w:ascii="Arial" w:eastAsia="Calibri" w:hAnsi="Arial" w:cs="Arial"/>
          <w:bCs/>
          <w:lang w:eastAsia="en-US"/>
        </w:rPr>
      </w:pPr>
    </w:p>
    <w:p w14:paraId="172B4597" w14:textId="3EF75AF2" w:rsidR="00B17337" w:rsidRPr="00505C26" w:rsidRDefault="00B17337" w:rsidP="00505C26">
      <w:pPr>
        <w:numPr>
          <w:ilvl w:val="0"/>
          <w:numId w:val="22"/>
        </w:numPr>
        <w:spacing w:after="160" w:line="276" w:lineRule="auto"/>
        <w:ind w:left="0" w:firstLine="0"/>
        <w:contextualSpacing/>
        <w:jc w:val="both"/>
        <w:rPr>
          <w:rFonts w:ascii="Arial" w:eastAsia="Calibri" w:hAnsi="Arial" w:cs="Arial"/>
          <w:bCs/>
          <w:lang w:eastAsia="en-US"/>
        </w:rPr>
      </w:pPr>
      <w:r w:rsidRPr="00505C26">
        <w:rPr>
          <w:rFonts w:ascii="Arial" w:eastAsia="Calibri" w:hAnsi="Arial" w:cs="Arial"/>
          <w:bCs/>
          <w:lang w:eastAsia="en-US"/>
        </w:rPr>
        <w:t xml:space="preserve">Se observó que el Tribunal de Justicia Administrativa, no cuenta con un Programa Institucional y/o Programa Anual de Trabajo que contemple acciones, estrategias, objetivos, metas y políticas, en el que se definan temas y contenidos a fin de garantizar el respeto a los derechos humanos, para mejorar el óptimo desempeño laboral en una impartición de justicia pronta, efectiva y completa en materia administrativa. </w:t>
      </w:r>
    </w:p>
    <w:p w14:paraId="3268DDB1" w14:textId="77777777" w:rsidR="00C31871" w:rsidRPr="00505C26" w:rsidRDefault="00C31871" w:rsidP="00505C26">
      <w:pPr>
        <w:spacing w:after="160" w:line="276" w:lineRule="auto"/>
        <w:contextualSpacing/>
        <w:jc w:val="both"/>
        <w:rPr>
          <w:rFonts w:ascii="Arial" w:eastAsia="Calibri" w:hAnsi="Arial" w:cs="Arial"/>
          <w:bCs/>
          <w:lang w:eastAsia="en-US"/>
        </w:rPr>
      </w:pPr>
    </w:p>
    <w:p w14:paraId="2180BFC0" w14:textId="3C401F58" w:rsidR="009844D1" w:rsidRDefault="00C00F87" w:rsidP="00E53E0E">
      <w:pPr>
        <w:pStyle w:val="Prrafodelista"/>
        <w:numPr>
          <w:ilvl w:val="0"/>
          <w:numId w:val="22"/>
        </w:numPr>
        <w:spacing w:line="276" w:lineRule="auto"/>
        <w:ind w:left="0" w:firstLine="0"/>
        <w:jc w:val="both"/>
        <w:rPr>
          <w:rFonts w:ascii="Arial" w:eastAsia="Calibri" w:hAnsi="Arial" w:cs="Arial"/>
          <w:lang w:eastAsia="en-US"/>
        </w:rPr>
      </w:pPr>
      <w:r w:rsidRPr="00C00F87">
        <w:rPr>
          <w:rFonts w:ascii="Arial" w:eastAsia="Calibri" w:hAnsi="Arial" w:cs="Arial"/>
          <w:lang w:eastAsia="en-US"/>
        </w:rPr>
        <w:t xml:space="preserve">Se identificó que el </w:t>
      </w:r>
      <w:r w:rsidRPr="00C00F87">
        <w:rPr>
          <w:rFonts w:ascii="Arial" w:eastAsia="Calibri" w:hAnsi="Arial" w:cs="Arial"/>
          <w:bCs/>
          <w:lang w:eastAsia="en-US"/>
        </w:rPr>
        <w:t>Tribunal de Justicia Administrativa</w:t>
      </w:r>
      <w:r w:rsidRPr="00C00F87">
        <w:rPr>
          <w:rFonts w:ascii="Arial" w:eastAsia="Calibri" w:hAnsi="Arial" w:cs="Arial"/>
          <w:lang w:eastAsia="en-US"/>
        </w:rPr>
        <w:t xml:space="preserve"> trabaja con enfoque de Presupuesto basado en Resultados y Metodología de Marco Lógico ya que su </w:t>
      </w:r>
      <w:r w:rsidRPr="00C00F87">
        <w:rPr>
          <w:rFonts w:ascii="Arial" w:eastAsia="Calibri" w:hAnsi="Arial" w:cs="Arial"/>
          <w:lang w:eastAsia="en-US"/>
        </w:rPr>
        <w:lastRenderedPageBreak/>
        <w:t xml:space="preserve">presupuesto anual está estructurado por programa presupuestario y con la Matriz de Indicadores para Resultados; adicionalmente, se pudo constatar que en cumplimiento al Sistema de Evaluación al Desempeño, parte del Presupuesto basado en Resultados, la entidad da seguimiento al cumplimiento de sus metas y objetivos establecidos, por medio del Sistema de Integración Programática Presupuestal (SIPRES), sistema establecido por la Secretaría de Finanzas y Planeación para tal fin; no obstante, se observó que el </w:t>
      </w:r>
      <w:r w:rsidRPr="00C00F87">
        <w:rPr>
          <w:rFonts w:ascii="Arial" w:eastAsia="Calibri" w:hAnsi="Arial" w:cs="Arial"/>
          <w:bCs/>
          <w:lang w:eastAsia="en-US"/>
        </w:rPr>
        <w:t>Tribunal de Justicia Administrativa</w:t>
      </w:r>
      <w:r w:rsidR="00022100">
        <w:rPr>
          <w:rFonts w:ascii="Arial" w:eastAsia="Calibri" w:hAnsi="Arial" w:cs="Arial"/>
          <w:lang w:eastAsia="en-US"/>
        </w:rPr>
        <w:t xml:space="preserve"> </w:t>
      </w:r>
      <w:r w:rsidR="00D00248" w:rsidRPr="00D87E56">
        <w:rPr>
          <w:rFonts w:ascii="Arial" w:hAnsi="Arial" w:cs="Arial"/>
        </w:rPr>
        <w:t xml:space="preserve">no estableció en su normativa el Presupuesto basado en Resultados, Metodología de Marco Lógico y Sistema de Evaluación al Desempeño, ya que no se encontró ningún documento normativo </w:t>
      </w:r>
      <w:r w:rsidR="00D00248" w:rsidRPr="00D87E56">
        <w:rPr>
          <w:rFonts w:ascii="Arial" w:hAnsi="Arial" w:cs="Arial"/>
          <w:bCs/>
          <w:color w:val="000000" w:themeColor="text1"/>
        </w:rPr>
        <w:t>en el que se indique quiénes son responsables de dar cumplimiento a esta función, ni el procedimiento que se lleva a cabo</w:t>
      </w:r>
      <w:r w:rsidRPr="00C00F87">
        <w:rPr>
          <w:rFonts w:ascii="Arial" w:eastAsia="Calibri" w:hAnsi="Arial" w:cs="Arial"/>
          <w:lang w:eastAsia="en-US"/>
        </w:rPr>
        <w:t xml:space="preserve">. </w:t>
      </w:r>
      <w:r w:rsidR="00E53E0E" w:rsidRPr="00E53E0E">
        <w:rPr>
          <w:rFonts w:ascii="Arial" w:eastAsia="Calibri" w:hAnsi="Arial" w:cs="Arial"/>
          <w:lang w:eastAsia="en-US"/>
        </w:rPr>
        <w:t>A</w:t>
      </w:r>
      <w:r w:rsidR="00455422" w:rsidRPr="00E53E0E">
        <w:rPr>
          <w:rFonts w:ascii="Arial" w:eastAsia="Calibri" w:hAnsi="Arial" w:cs="Arial"/>
          <w:lang w:eastAsia="en-US"/>
        </w:rPr>
        <w:t>s</w:t>
      </w:r>
      <w:r w:rsidR="00E53E0E" w:rsidRPr="00E53E0E">
        <w:rPr>
          <w:rFonts w:ascii="Arial" w:eastAsia="Calibri" w:hAnsi="Arial" w:cs="Arial"/>
          <w:lang w:eastAsia="en-US"/>
        </w:rPr>
        <w:t xml:space="preserve">í </w:t>
      </w:r>
      <w:r w:rsidR="00455422" w:rsidRPr="00E53E0E">
        <w:rPr>
          <w:rFonts w:ascii="Arial" w:eastAsia="Calibri" w:hAnsi="Arial" w:cs="Arial"/>
          <w:lang w:eastAsia="en-US"/>
        </w:rPr>
        <w:t xml:space="preserve">mismo, se constató la falta de actualización en la normativa de la entidad, debido </w:t>
      </w:r>
      <w:r w:rsidR="00044F96">
        <w:rPr>
          <w:rFonts w:ascii="Arial" w:eastAsia="Calibri" w:hAnsi="Arial" w:cs="Arial"/>
          <w:lang w:eastAsia="en-US"/>
        </w:rPr>
        <w:t xml:space="preserve">a </w:t>
      </w:r>
      <w:r w:rsidR="00455422" w:rsidRPr="00E53E0E">
        <w:rPr>
          <w:rFonts w:ascii="Arial" w:eastAsia="Calibri" w:hAnsi="Arial" w:cs="Arial"/>
          <w:lang w:eastAsia="en-US"/>
        </w:rPr>
        <w:t>que aún persiste</w:t>
      </w:r>
      <w:r w:rsidR="00E53E0E" w:rsidRPr="00E53E0E">
        <w:rPr>
          <w:rFonts w:ascii="Arial" w:eastAsia="Calibri" w:hAnsi="Arial" w:cs="Arial"/>
          <w:lang w:eastAsia="en-US"/>
        </w:rPr>
        <w:t>n</w:t>
      </w:r>
      <w:r w:rsidR="00455422" w:rsidRPr="00E53E0E">
        <w:rPr>
          <w:rFonts w:ascii="Arial" w:eastAsia="Calibri" w:hAnsi="Arial" w:cs="Arial"/>
          <w:lang w:eastAsia="en-US"/>
        </w:rPr>
        <w:t xml:space="preserve"> actividades enfocadas a la elaboración de Programas Operativos Anuales (POA); los cuales son términos obsoletos en la Gestión para Resultados.</w:t>
      </w:r>
    </w:p>
    <w:p w14:paraId="02FF556E" w14:textId="77777777" w:rsidR="00C83A17" w:rsidRPr="00E53E0E" w:rsidRDefault="00C83A17" w:rsidP="00C83A17">
      <w:pPr>
        <w:pStyle w:val="Prrafodelista"/>
        <w:spacing w:line="276" w:lineRule="auto"/>
        <w:ind w:left="0"/>
        <w:jc w:val="both"/>
        <w:rPr>
          <w:rFonts w:ascii="Arial" w:eastAsia="Calibri" w:hAnsi="Arial" w:cs="Arial"/>
          <w:lang w:eastAsia="en-US"/>
        </w:rPr>
      </w:pPr>
    </w:p>
    <w:p w14:paraId="60EAC47A" w14:textId="2DC94C49" w:rsidR="00C00F87" w:rsidRDefault="00BD773D" w:rsidP="00C83A17">
      <w:pPr>
        <w:pStyle w:val="Prrafodelista"/>
        <w:spacing w:line="276" w:lineRule="auto"/>
        <w:ind w:left="0"/>
        <w:jc w:val="both"/>
        <w:rPr>
          <w:rFonts w:ascii="Arial" w:eastAsia="Calibri" w:hAnsi="Arial" w:cs="Arial"/>
          <w:bCs/>
          <w:lang w:eastAsia="en-US"/>
        </w:rPr>
      </w:pPr>
      <w:r>
        <w:rPr>
          <w:rFonts w:ascii="Arial" w:eastAsia="Calibri" w:hAnsi="Arial" w:cs="Arial"/>
          <w:bCs/>
          <w:lang w:eastAsia="en-US"/>
        </w:rPr>
        <w:t>Resumen de observaciones 1, 2, 3 y 4:</w:t>
      </w: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56"/>
        <w:gridCol w:w="5572"/>
      </w:tblGrid>
      <w:tr w:rsidR="00DE622E" w:rsidRPr="00661BFC" w14:paraId="09690EC2" w14:textId="77777777" w:rsidTr="00C83A17">
        <w:trPr>
          <w:trHeight w:val="67"/>
          <w:tblHeader/>
          <w:jc w:val="center"/>
        </w:trPr>
        <w:tc>
          <w:tcPr>
            <w:tcW w:w="8828" w:type="dxa"/>
            <w:gridSpan w:val="2"/>
            <w:shd w:val="clear" w:color="auto" w:fill="E7E6E6" w:themeFill="background2"/>
            <w:vAlign w:val="center"/>
          </w:tcPr>
          <w:p w14:paraId="770B592D" w14:textId="6009B71E" w:rsidR="00DE622E" w:rsidRPr="00661BFC" w:rsidRDefault="00D125B6" w:rsidP="00661BFC">
            <w:pPr>
              <w:spacing w:before="60" w:line="276" w:lineRule="auto"/>
              <w:jc w:val="center"/>
              <w:rPr>
                <w:rFonts w:ascii="Arial" w:hAnsi="Arial" w:cs="Arial"/>
                <w:b/>
                <w:sz w:val="18"/>
                <w:szCs w:val="18"/>
              </w:rPr>
            </w:pPr>
            <w:r>
              <w:rPr>
                <w:rFonts w:ascii="Arial" w:hAnsi="Arial" w:cs="Arial"/>
                <w:b/>
                <w:sz w:val="18"/>
                <w:szCs w:val="18"/>
              </w:rPr>
              <w:t>Homologación y a</w:t>
            </w:r>
            <w:r w:rsidR="00DE622E" w:rsidRPr="00661BFC">
              <w:rPr>
                <w:rFonts w:ascii="Arial" w:hAnsi="Arial" w:cs="Arial"/>
                <w:b/>
                <w:sz w:val="18"/>
                <w:szCs w:val="18"/>
              </w:rPr>
              <w:t>ctualización de los documentos normativos</w:t>
            </w:r>
          </w:p>
        </w:tc>
      </w:tr>
      <w:tr w:rsidR="00DE622E" w:rsidRPr="00661BFC" w14:paraId="70EA2244" w14:textId="77777777" w:rsidTr="00C83A17">
        <w:trPr>
          <w:trHeight w:val="67"/>
          <w:tblHeader/>
          <w:jc w:val="center"/>
        </w:trPr>
        <w:tc>
          <w:tcPr>
            <w:tcW w:w="3256" w:type="dxa"/>
            <w:shd w:val="clear" w:color="auto" w:fill="E7E6E6" w:themeFill="background2"/>
            <w:vAlign w:val="center"/>
          </w:tcPr>
          <w:p w14:paraId="1E67E240" w14:textId="3E3ACFA1" w:rsidR="00DE622E" w:rsidRPr="00661BFC" w:rsidRDefault="00DE622E" w:rsidP="00661BFC">
            <w:pPr>
              <w:spacing w:before="60" w:line="276" w:lineRule="auto"/>
              <w:jc w:val="center"/>
              <w:rPr>
                <w:rFonts w:ascii="Arial" w:hAnsi="Arial" w:cs="Arial"/>
                <w:b/>
                <w:sz w:val="18"/>
                <w:szCs w:val="18"/>
              </w:rPr>
            </w:pPr>
            <w:r w:rsidRPr="00661BFC">
              <w:rPr>
                <w:rFonts w:ascii="Arial" w:hAnsi="Arial" w:cs="Arial"/>
                <w:b/>
                <w:sz w:val="18"/>
                <w:szCs w:val="18"/>
              </w:rPr>
              <w:t xml:space="preserve">Documento </w:t>
            </w:r>
            <w:r w:rsidR="003335B7" w:rsidRPr="00661BFC">
              <w:rPr>
                <w:rFonts w:ascii="Arial" w:hAnsi="Arial" w:cs="Arial"/>
                <w:b/>
                <w:sz w:val="18"/>
                <w:szCs w:val="18"/>
              </w:rPr>
              <w:t>Normativo</w:t>
            </w:r>
          </w:p>
        </w:tc>
        <w:tc>
          <w:tcPr>
            <w:tcW w:w="5572" w:type="dxa"/>
            <w:shd w:val="clear" w:color="auto" w:fill="E7E6E6" w:themeFill="background2"/>
            <w:vAlign w:val="center"/>
          </w:tcPr>
          <w:p w14:paraId="125F6674" w14:textId="77777777" w:rsidR="00DE622E" w:rsidRPr="00661BFC" w:rsidRDefault="00DE622E" w:rsidP="00661BFC">
            <w:pPr>
              <w:spacing w:before="60" w:line="276" w:lineRule="auto"/>
              <w:jc w:val="center"/>
              <w:rPr>
                <w:rFonts w:ascii="Arial" w:hAnsi="Arial" w:cs="Arial"/>
                <w:b/>
                <w:sz w:val="18"/>
                <w:szCs w:val="18"/>
              </w:rPr>
            </w:pPr>
            <w:r w:rsidRPr="00661BFC">
              <w:rPr>
                <w:rFonts w:ascii="Arial" w:hAnsi="Arial" w:cs="Arial"/>
                <w:b/>
                <w:sz w:val="18"/>
                <w:szCs w:val="18"/>
              </w:rPr>
              <w:t>Observación</w:t>
            </w:r>
          </w:p>
        </w:tc>
      </w:tr>
      <w:tr w:rsidR="00DE622E" w:rsidRPr="00661BFC" w14:paraId="1F40D00D" w14:textId="77777777" w:rsidTr="00B2634A">
        <w:trPr>
          <w:trHeight w:val="303"/>
          <w:jc w:val="center"/>
        </w:trPr>
        <w:tc>
          <w:tcPr>
            <w:tcW w:w="3256" w:type="dxa"/>
            <w:tcBorders>
              <w:bottom w:val="single" w:sz="4" w:space="0" w:color="767171" w:themeColor="background2" w:themeShade="80"/>
            </w:tcBorders>
            <w:shd w:val="clear" w:color="auto" w:fill="auto"/>
            <w:vAlign w:val="center"/>
          </w:tcPr>
          <w:p w14:paraId="25B17CEB" w14:textId="45A57203" w:rsidR="00BD773D" w:rsidRPr="00BD773D" w:rsidRDefault="000D5B34" w:rsidP="00BD773D">
            <w:pPr>
              <w:pStyle w:val="Prrafodelista"/>
              <w:numPr>
                <w:ilvl w:val="0"/>
                <w:numId w:val="26"/>
              </w:numPr>
              <w:spacing w:before="60" w:line="276" w:lineRule="auto"/>
              <w:ind w:left="318" w:hanging="284"/>
              <w:jc w:val="both"/>
              <w:rPr>
                <w:rFonts w:ascii="Arial" w:hAnsi="Arial" w:cs="Arial"/>
                <w:sz w:val="18"/>
                <w:szCs w:val="18"/>
              </w:rPr>
            </w:pPr>
            <w:r>
              <w:rPr>
                <w:rFonts w:ascii="Arial" w:hAnsi="Arial" w:cs="Arial"/>
                <w:sz w:val="18"/>
                <w:szCs w:val="18"/>
              </w:rPr>
              <w:t>Estructura Orgánica</w:t>
            </w:r>
            <w:r w:rsidR="00BD773D">
              <w:rPr>
                <w:rFonts w:ascii="Arial" w:hAnsi="Arial" w:cs="Arial"/>
                <w:sz w:val="18"/>
                <w:szCs w:val="18"/>
              </w:rPr>
              <w:t>.</w:t>
            </w:r>
          </w:p>
          <w:p w14:paraId="3E8A8180" w14:textId="45464004" w:rsidR="00BD773D" w:rsidRPr="00BD773D" w:rsidRDefault="00661BFC" w:rsidP="00BD773D">
            <w:pPr>
              <w:pStyle w:val="Prrafodelista"/>
              <w:numPr>
                <w:ilvl w:val="0"/>
                <w:numId w:val="26"/>
              </w:numPr>
              <w:spacing w:before="60" w:line="276" w:lineRule="auto"/>
              <w:ind w:left="318" w:hanging="284"/>
              <w:jc w:val="both"/>
              <w:rPr>
                <w:rFonts w:ascii="Arial" w:hAnsi="Arial" w:cs="Arial"/>
                <w:sz w:val="18"/>
                <w:szCs w:val="18"/>
              </w:rPr>
            </w:pPr>
            <w:r w:rsidRPr="00BD773D">
              <w:rPr>
                <w:rFonts w:ascii="Arial" w:hAnsi="Arial" w:cs="Arial"/>
                <w:sz w:val="18"/>
                <w:szCs w:val="18"/>
              </w:rPr>
              <w:t>Reglamento Interior del Tribunal de Justicia Administrativa</w:t>
            </w:r>
            <w:r w:rsidR="00BD773D">
              <w:rPr>
                <w:rFonts w:ascii="Arial" w:hAnsi="Arial" w:cs="Arial"/>
                <w:sz w:val="18"/>
                <w:szCs w:val="18"/>
              </w:rPr>
              <w:t xml:space="preserve"> del Estado de Quintana Roo.</w:t>
            </w:r>
          </w:p>
          <w:p w14:paraId="61317865" w14:textId="467071A3" w:rsidR="00DE622E" w:rsidRPr="00BD773D" w:rsidRDefault="00661BFC" w:rsidP="00BD773D">
            <w:pPr>
              <w:pStyle w:val="Prrafodelista"/>
              <w:numPr>
                <w:ilvl w:val="0"/>
                <w:numId w:val="26"/>
              </w:numPr>
              <w:spacing w:before="60" w:line="276" w:lineRule="auto"/>
              <w:ind w:left="318" w:hanging="284"/>
              <w:jc w:val="both"/>
              <w:rPr>
                <w:rFonts w:ascii="Arial" w:hAnsi="Arial" w:cs="Arial"/>
                <w:sz w:val="18"/>
                <w:szCs w:val="18"/>
              </w:rPr>
            </w:pPr>
            <w:r w:rsidRPr="00BD773D">
              <w:rPr>
                <w:rFonts w:ascii="Arial" w:hAnsi="Arial" w:cs="Arial"/>
                <w:sz w:val="18"/>
                <w:szCs w:val="18"/>
              </w:rPr>
              <w:t>Código de Justicia Administrativa</w:t>
            </w:r>
            <w:r w:rsidR="00BD773D">
              <w:rPr>
                <w:rFonts w:ascii="Arial" w:hAnsi="Arial" w:cs="Arial"/>
                <w:sz w:val="18"/>
                <w:szCs w:val="18"/>
              </w:rPr>
              <w:t>.</w:t>
            </w:r>
          </w:p>
        </w:tc>
        <w:tc>
          <w:tcPr>
            <w:tcW w:w="5572" w:type="dxa"/>
            <w:tcBorders>
              <w:bottom w:val="single" w:sz="4" w:space="0" w:color="767171" w:themeColor="background2" w:themeShade="80"/>
            </w:tcBorders>
            <w:shd w:val="clear" w:color="auto" w:fill="auto"/>
            <w:vAlign w:val="center"/>
          </w:tcPr>
          <w:p w14:paraId="672C0FD2" w14:textId="007479B7" w:rsidR="00661BFC" w:rsidRDefault="00661BFC" w:rsidP="00D00248">
            <w:pPr>
              <w:pStyle w:val="Prrafodelista"/>
              <w:numPr>
                <w:ilvl w:val="0"/>
                <w:numId w:val="25"/>
              </w:numPr>
              <w:spacing w:before="60" w:line="276" w:lineRule="auto"/>
              <w:ind w:left="172" w:hanging="172"/>
              <w:jc w:val="both"/>
              <w:rPr>
                <w:rFonts w:ascii="Arial" w:hAnsi="Arial" w:cs="Arial"/>
                <w:sz w:val="18"/>
                <w:szCs w:val="18"/>
              </w:rPr>
            </w:pPr>
            <w:r>
              <w:rPr>
                <w:rFonts w:ascii="Arial" w:hAnsi="Arial" w:cs="Arial"/>
                <w:sz w:val="18"/>
                <w:szCs w:val="18"/>
              </w:rPr>
              <w:t>D</w:t>
            </w:r>
            <w:r w:rsidRPr="00D80B55">
              <w:rPr>
                <w:rFonts w:ascii="Arial" w:hAnsi="Arial" w:cs="Arial"/>
                <w:sz w:val="18"/>
                <w:szCs w:val="18"/>
              </w:rPr>
              <w:t>ifer</w:t>
            </w:r>
            <w:r w:rsidRPr="00661BFC">
              <w:rPr>
                <w:rFonts w:ascii="Arial" w:hAnsi="Arial" w:cs="Arial"/>
                <w:sz w:val="18"/>
                <w:szCs w:val="18"/>
              </w:rPr>
              <w:t xml:space="preserve">encias en la denominación de </w:t>
            </w:r>
            <w:r>
              <w:rPr>
                <w:rFonts w:ascii="Arial" w:hAnsi="Arial" w:cs="Arial"/>
                <w:sz w:val="18"/>
                <w:szCs w:val="18"/>
              </w:rPr>
              <w:t>una Unidad Administrativa.</w:t>
            </w:r>
          </w:p>
          <w:p w14:paraId="0F6E0B4B" w14:textId="706B14CD" w:rsidR="00661BFC" w:rsidRDefault="00661BFC" w:rsidP="00D00248">
            <w:pPr>
              <w:pStyle w:val="Prrafodelista"/>
              <w:numPr>
                <w:ilvl w:val="0"/>
                <w:numId w:val="25"/>
              </w:numPr>
              <w:spacing w:before="60" w:line="276" w:lineRule="auto"/>
              <w:ind w:left="172" w:hanging="172"/>
              <w:jc w:val="both"/>
              <w:rPr>
                <w:rFonts w:ascii="Arial" w:hAnsi="Arial" w:cs="Arial"/>
                <w:sz w:val="18"/>
                <w:szCs w:val="18"/>
              </w:rPr>
            </w:pPr>
            <w:r>
              <w:rPr>
                <w:rFonts w:ascii="Arial" w:hAnsi="Arial" w:cs="Arial"/>
                <w:sz w:val="18"/>
                <w:szCs w:val="18"/>
              </w:rPr>
              <w:t>L</w:t>
            </w:r>
            <w:r w:rsidRPr="00D80B55">
              <w:rPr>
                <w:rFonts w:ascii="Arial" w:hAnsi="Arial" w:cs="Arial"/>
                <w:sz w:val="18"/>
                <w:szCs w:val="18"/>
              </w:rPr>
              <w:t xml:space="preserve">as unidades administrativas de la </w:t>
            </w:r>
            <w:r w:rsidR="000D5B34">
              <w:rPr>
                <w:rFonts w:ascii="Arial" w:hAnsi="Arial" w:cs="Arial"/>
                <w:sz w:val="18"/>
                <w:szCs w:val="18"/>
              </w:rPr>
              <w:t>Estructura Orgánica</w:t>
            </w:r>
            <w:r w:rsidRPr="00D80B55">
              <w:rPr>
                <w:rFonts w:ascii="Arial" w:hAnsi="Arial" w:cs="Arial"/>
                <w:sz w:val="18"/>
                <w:szCs w:val="18"/>
              </w:rPr>
              <w:t xml:space="preserve">, no se encuentran </w:t>
            </w:r>
            <w:r w:rsidRPr="00E31CB0">
              <w:rPr>
                <w:rFonts w:ascii="Arial" w:hAnsi="Arial" w:cs="Arial"/>
                <w:sz w:val="18"/>
                <w:szCs w:val="18"/>
              </w:rPr>
              <w:t>contempladas en el Reglamento Interior y el Código de Justicia Administrativa.</w:t>
            </w:r>
          </w:p>
          <w:p w14:paraId="790A9EE2" w14:textId="77777777" w:rsidR="00D00248" w:rsidRDefault="00D00248" w:rsidP="00D00248">
            <w:pPr>
              <w:pStyle w:val="Prrafodelista"/>
              <w:numPr>
                <w:ilvl w:val="0"/>
                <w:numId w:val="25"/>
              </w:numPr>
              <w:spacing w:before="60" w:line="276" w:lineRule="auto"/>
              <w:ind w:left="172" w:hanging="172"/>
              <w:jc w:val="both"/>
              <w:rPr>
                <w:rFonts w:ascii="Arial" w:hAnsi="Arial" w:cs="Arial"/>
                <w:sz w:val="18"/>
                <w:szCs w:val="18"/>
              </w:rPr>
            </w:pPr>
            <w:r>
              <w:rPr>
                <w:rFonts w:ascii="Arial" w:hAnsi="Arial" w:cs="Arial"/>
                <w:sz w:val="18"/>
                <w:szCs w:val="18"/>
              </w:rPr>
              <w:t xml:space="preserve">No indica área o áreas responsables ni procedimiento para cumplir con </w:t>
            </w:r>
            <w:r w:rsidRPr="00723DDE">
              <w:rPr>
                <w:rFonts w:ascii="Arial" w:hAnsi="Arial" w:cs="Arial"/>
                <w:sz w:val="18"/>
                <w:szCs w:val="18"/>
              </w:rPr>
              <w:t xml:space="preserve">el </w:t>
            </w:r>
            <w:r>
              <w:rPr>
                <w:rFonts w:ascii="Arial" w:hAnsi="Arial" w:cs="Arial"/>
                <w:sz w:val="18"/>
                <w:szCs w:val="18"/>
              </w:rPr>
              <w:t>Presupuesto basado en Resultados (</w:t>
            </w:r>
            <w:proofErr w:type="spellStart"/>
            <w:r>
              <w:rPr>
                <w:rFonts w:ascii="Arial" w:hAnsi="Arial" w:cs="Arial"/>
                <w:sz w:val="18"/>
                <w:szCs w:val="18"/>
              </w:rPr>
              <w:t>PbR</w:t>
            </w:r>
            <w:proofErr w:type="spellEnd"/>
            <w:r>
              <w:rPr>
                <w:rFonts w:ascii="Arial" w:hAnsi="Arial" w:cs="Arial"/>
                <w:sz w:val="18"/>
                <w:szCs w:val="18"/>
              </w:rPr>
              <w:t xml:space="preserve">), Metodología de Marco Lógico (MML) y </w:t>
            </w:r>
            <w:r w:rsidRPr="00723DDE">
              <w:rPr>
                <w:rFonts w:ascii="Arial" w:hAnsi="Arial" w:cs="Arial"/>
                <w:sz w:val="18"/>
                <w:szCs w:val="18"/>
              </w:rPr>
              <w:t>Sistema de Evaluación al Desempeño</w:t>
            </w:r>
            <w:r>
              <w:rPr>
                <w:rFonts w:ascii="Arial" w:hAnsi="Arial" w:cs="Arial"/>
                <w:sz w:val="18"/>
                <w:szCs w:val="18"/>
              </w:rPr>
              <w:t xml:space="preserve"> (SED).</w:t>
            </w:r>
          </w:p>
          <w:p w14:paraId="7E6FBA08" w14:textId="5B4F7B8E" w:rsidR="00DE622E" w:rsidRPr="00661BFC" w:rsidRDefault="00661BFC" w:rsidP="00D00248">
            <w:pPr>
              <w:pStyle w:val="Prrafodelista"/>
              <w:numPr>
                <w:ilvl w:val="0"/>
                <w:numId w:val="25"/>
              </w:numPr>
              <w:spacing w:before="60" w:line="276" w:lineRule="auto"/>
              <w:ind w:left="172" w:hanging="172"/>
              <w:jc w:val="both"/>
              <w:rPr>
                <w:rFonts w:ascii="Arial" w:hAnsi="Arial" w:cs="Arial"/>
                <w:sz w:val="18"/>
                <w:szCs w:val="18"/>
              </w:rPr>
            </w:pPr>
            <w:r w:rsidRPr="00661BFC">
              <w:rPr>
                <w:rFonts w:ascii="Arial" w:hAnsi="Arial" w:cs="Arial"/>
                <w:sz w:val="18"/>
                <w:szCs w:val="18"/>
              </w:rPr>
              <w:t>Persisten actividades enfocadas a la elaboración de Programas Operativos Anuales (POA).</w:t>
            </w:r>
          </w:p>
        </w:tc>
      </w:tr>
      <w:tr w:rsidR="0034789F" w:rsidRPr="00661BFC" w14:paraId="49361B7F" w14:textId="77777777" w:rsidTr="00B2634A">
        <w:trPr>
          <w:trHeight w:val="1337"/>
          <w:jc w:val="center"/>
        </w:trPr>
        <w:tc>
          <w:tcPr>
            <w:tcW w:w="3256" w:type="dxa"/>
            <w:shd w:val="clear" w:color="auto" w:fill="auto"/>
            <w:vAlign w:val="center"/>
          </w:tcPr>
          <w:p w14:paraId="27A64CA0" w14:textId="37C49E19" w:rsidR="0034789F" w:rsidRDefault="0034789F" w:rsidP="0034789F">
            <w:pPr>
              <w:pStyle w:val="Prrafodelista"/>
              <w:numPr>
                <w:ilvl w:val="0"/>
                <w:numId w:val="27"/>
              </w:numPr>
              <w:spacing w:before="60" w:line="276" w:lineRule="auto"/>
              <w:ind w:left="318" w:hanging="318"/>
              <w:jc w:val="both"/>
              <w:rPr>
                <w:rFonts w:ascii="Arial" w:hAnsi="Arial" w:cs="Arial"/>
                <w:sz w:val="18"/>
                <w:szCs w:val="18"/>
              </w:rPr>
            </w:pPr>
            <w:r w:rsidRPr="0034789F">
              <w:rPr>
                <w:rFonts w:ascii="Arial" w:hAnsi="Arial" w:cs="Arial"/>
                <w:sz w:val="18"/>
                <w:szCs w:val="18"/>
              </w:rPr>
              <w:t>Manual de Organización y Manual de Procedimientos.</w:t>
            </w:r>
          </w:p>
          <w:p w14:paraId="734C3469" w14:textId="09CEA5D1" w:rsidR="0034789F" w:rsidRPr="0034789F" w:rsidRDefault="0034789F" w:rsidP="0034789F">
            <w:pPr>
              <w:pStyle w:val="Prrafodelista"/>
              <w:numPr>
                <w:ilvl w:val="0"/>
                <w:numId w:val="27"/>
              </w:numPr>
              <w:spacing w:before="60" w:line="276" w:lineRule="auto"/>
              <w:ind w:left="318" w:hanging="318"/>
              <w:jc w:val="both"/>
              <w:rPr>
                <w:rFonts w:ascii="Arial" w:hAnsi="Arial" w:cs="Arial"/>
                <w:sz w:val="18"/>
                <w:szCs w:val="18"/>
              </w:rPr>
            </w:pPr>
            <w:r w:rsidRPr="0034789F">
              <w:rPr>
                <w:rFonts w:ascii="Arial" w:hAnsi="Arial" w:cs="Arial"/>
                <w:sz w:val="18"/>
                <w:szCs w:val="18"/>
              </w:rPr>
              <w:t>Programa Institucional y/o Programa Anual de Trabajo.</w:t>
            </w:r>
          </w:p>
        </w:tc>
        <w:tc>
          <w:tcPr>
            <w:tcW w:w="5572" w:type="dxa"/>
            <w:shd w:val="clear" w:color="auto" w:fill="auto"/>
            <w:vAlign w:val="center"/>
          </w:tcPr>
          <w:p w14:paraId="4D83829A" w14:textId="3E8DBB87" w:rsidR="0034789F" w:rsidRPr="00661BFC" w:rsidRDefault="0034789F" w:rsidP="00D00248">
            <w:pPr>
              <w:pStyle w:val="Prrafodelista"/>
              <w:numPr>
                <w:ilvl w:val="0"/>
                <w:numId w:val="25"/>
              </w:numPr>
              <w:spacing w:before="60" w:line="276" w:lineRule="auto"/>
              <w:ind w:left="172" w:hanging="172"/>
              <w:jc w:val="both"/>
              <w:rPr>
                <w:rFonts w:ascii="Arial" w:hAnsi="Arial" w:cs="Arial"/>
                <w:sz w:val="18"/>
                <w:szCs w:val="18"/>
              </w:rPr>
            </w:pPr>
            <w:r>
              <w:rPr>
                <w:rFonts w:ascii="Arial" w:hAnsi="Arial" w:cs="Arial"/>
                <w:sz w:val="18"/>
                <w:szCs w:val="18"/>
              </w:rPr>
              <w:t xml:space="preserve">El Tribunal de Justicia Administrativa no cuenta con estos documentos. </w:t>
            </w:r>
          </w:p>
        </w:tc>
      </w:tr>
      <w:tr w:rsidR="00DE622E" w:rsidRPr="00661BFC" w14:paraId="430DFFA3" w14:textId="77777777" w:rsidTr="00FE1071">
        <w:trPr>
          <w:trHeight w:val="303"/>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500AA2A2" w14:textId="62C1CF2D" w:rsidR="00DE622E" w:rsidRPr="00661BFC" w:rsidRDefault="00DE622E" w:rsidP="00661BFC">
            <w:pPr>
              <w:spacing w:line="276" w:lineRule="auto"/>
              <w:jc w:val="center"/>
              <w:rPr>
                <w:rFonts w:ascii="Arial" w:hAnsi="Arial" w:cs="Arial"/>
                <w:b/>
                <w:sz w:val="18"/>
                <w:szCs w:val="18"/>
              </w:rPr>
            </w:pPr>
            <w:r w:rsidRPr="00661BFC">
              <w:rPr>
                <w:rFonts w:ascii="Arial" w:hAnsi="Arial" w:cs="Arial"/>
                <w:b/>
                <w:sz w:val="14"/>
                <w:szCs w:val="18"/>
              </w:rPr>
              <w:t>Fuente:</w:t>
            </w:r>
            <w:r w:rsidRPr="00661BFC">
              <w:rPr>
                <w:rFonts w:ascii="Arial" w:hAnsi="Arial" w:cs="Arial"/>
                <w:sz w:val="14"/>
                <w:szCs w:val="18"/>
              </w:rPr>
              <w:t xml:space="preserve"> Elaborado por la ASEQROO de acuerdo a los documentos presentados por el TJA.</w:t>
            </w:r>
          </w:p>
        </w:tc>
      </w:tr>
    </w:tbl>
    <w:p w14:paraId="732166B2" w14:textId="77777777" w:rsidR="00CA39CB" w:rsidRDefault="00CA39CB" w:rsidP="00505C26">
      <w:pPr>
        <w:spacing w:line="276" w:lineRule="auto"/>
        <w:jc w:val="both"/>
        <w:rPr>
          <w:rFonts w:ascii="Arial" w:hAnsi="Arial" w:cs="Arial"/>
          <w:b/>
          <w:color w:val="000000" w:themeColor="text1"/>
        </w:rPr>
      </w:pPr>
    </w:p>
    <w:p w14:paraId="7CE55DE9" w14:textId="77777777" w:rsidR="00CA39CB" w:rsidRDefault="00CA39CB" w:rsidP="00505C26">
      <w:pPr>
        <w:spacing w:line="276" w:lineRule="auto"/>
        <w:jc w:val="both"/>
        <w:rPr>
          <w:rFonts w:ascii="Arial" w:hAnsi="Arial" w:cs="Arial"/>
          <w:b/>
          <w:color w:val="000000" w:themeColor="text1"/>
        </w:rPr>
      </w:pPr>
    </w:p>
    <w:p w14:paraId="59651488" w14:textId="246CCC46" w:rsidR="00B17337" w:rsidRPr="00505C26" w:rsidRDefault="00B17337" w:rsidP="00505C26">
      <w:pPr>
        <w:spacing w:line="276" w:lineRule="auto"/>
        <w:jc w:val="both"/>
        <w:rPr>
          <w:rFonts w:ascii="Arial" w:hAnsi="Arial" w:cs="Arial"/>
          <w:b/>
          <w:color w:val="000000" w:themeColor="text1"/>
        </w:rPr>
      </w:pPr>
      <w:r w:rsidRPr="00505C26">
        <w:rPr>
          <w:rFonts w:ascii="Arial" w:hAnsi="Arial" w:cs="Arial"/>
          <w:b/>
          <w:color w:val="000000" w:themeColor="text1"/>
        </w:rPr>
        <w:lastRenderedPageBreak/>
        <w:t>Normatividad Relacionada con las Observaciones</w:t>
      </w:r>
    </w:p>
    <w:p w14:paraId="46333387" w14:textId="77777777" w:rsidR="00B17337" w:rsidRPr="00505C26" w:rsidRDefault="00B17337" w:rsidP="00505C26">
      <w:pPr>
        <w:spacing w:line="276" w:lineRule="auto"/>
        <w:jc w:val="both"/>
        <w:rPr>
          <w:rFonts w:ascii="Arial" w:hAnsi="Arial" w:cs="Arial"/>
          <w:b/>
          <w:color w:val="000000" w:themeColor="text1"/>
        </w:rPr>
      </w:pPr>
    </w:p>
    <w:p w14:paraId="30907EDA" w14:textId="77777777" w:rsidR="00B17337" w:rsidRPr="00505C26" w:rsidRDefault="00B17337" w:rsidP="00505C26">
      <w:pPr>
        <w:spacing w:line="276" w:lineRule="auto"/>
        <w:jc w:val="both"/>
        <w:rPr>
          <w:rFonts w:ascii="Arial" w:hAnsi="Arial" w:cs="Arial"/>
        </w:rPr>
      </w:pPr>
      <w:r w:rsidRPr="00505C26">
        <w:rPr>
          <w:rFonts w:ascii="Arial" w:hAnsi="Arial" w:cs="Arial"/>
        </w:rPr>
        <w:t>Constitución Política de los Estados Unidos Mexicanos, artículo 134.</w:t>
      </w:r>
    </w:p>
    <w:p w14:paraId="46083F91" w14:textId="77777777" w:rsidR="00B17337" w:rsidRPr="00505C26" w:rsidRDefault="00B17337" w:rsidP="00505C26">
      <w:pPr>
        <w:spacing w:line="276" w:lineRule="auto"/>
        <w:jc w:val="both"/>
        <w:rPr>
          <w:rFonts w:ascii="Arial" w:hAnsi="Arial" w:cs="Arial"/>
        </w:rPr>
      </w:pPr>
      <w:r w:rsidRPr="00505C26">
        <w:rPr>
          <w:rFonts w:ascii="Arial" w:hAnsi="Arial" w:cs="Arial"/>
        </w:rPr>
        <w:t>Ley General de Contabilidad Gubernamental, artículo 61.</w:t>
      </w:r>
    </w:p>
    <w:p w14:paraId="2F28B7A8" w14:textId="553441C7" w:rsidR="00B17337" w:rsidRPr="00505C26" w:rsidRDefault="00B17337" w:rsidP="00505C26">
      <w:pPr>
        <w:spacing w:line="276" w:lineRule="auto"/>
        <w:jc w:val="both"/>
        <w:rPr>
          <w:rFonts w:ascii="Arial" w:hAnsi="Arial" w:cs="Arial"/>
          <w:bCs/>
        </w:rPr>
      </w:pPr>
      <w:r w:rsidRPr="00505C26">
        <w:rPr>
          <w:rFonts w:ascii="Arial" w:hAnsi="Arial" w:cs="Arial"/>
          <w:bCs/>
        </w:rPr>
        <w:t>Ley General de Responsabilidades Admi</w:t>
      </w:r>
      <w:r w:rsidR="00C05A21">
        <w:rPr>
          <w:rFonts w:ascii="Arial" w:hAnsi="Arial" w:cs="Arial"/>
          <w:bCs/>
        </w:rPr>
        <w:t>nistrativas, artículo 7</w:t>
      </w:r>
      <w:r w:rsidRPr="00505C26">
        <w:rPr>
          <w:rFonts w:ascii="Arial" w:hAnsi="Arial" w:cs="Arial"/>
          <w:bCs/>
        </w:rPr>
        <w:t xml:space="preserve"> incisos I y V.</w:t>
      </w:r>
    </w:p>
    <w:p w14:paraId="3B87DE99" w14:textId="77777777" w:rsidR="00B17337" w:rsidRPr="00505C26" w:rsidRDefault="00B17337" w:rsidP="00505C26">
      <w:pPr>
        <w:spacing w:line="276" w:lineRule="auto"/>
        <w:jc w:val="both"/>
        <w:rPr>
          <w:rFonts w:ascii="Arial" w:hAnsi="Arial" w:cs="Arial"/>
        </w:rPr>
      </w:pPr>
      <w:r w:rsidRPr="00505C26">
        <w:rPr>
          <w:rFonts w:ascii="Arial" w:hAnsi="Arial" w:cs="Arial"/>
        </w:rPr>
        <w:t xml:space="preserve">Ley de Presupuesto y Gasto Público del Estado de Quintana Roo, artículos 18 y 63. </w:t>
      </w:r>
    </w:p>
    <w:p w14:paraId="3FB916BC" w14:textId="31DD833F" w:rsidR="00B17337" w:rsidRPr="00505C26" w:rsidRDefault="00B17337" w:rsidP="00505C26">
      <w:pPr>
        <w:spacing w:line="276" w:lineRule="auto"/>
        <w:jc w:val="both"/>
        <w:rPr>
          <w:rFonts w:ascii="Arial" w:hAnsi="Arial" w:cs="Arial"/>
          <w:bCs/>
          <w:lang w:eastAsia="es-MX"/>
        </w:rPr>
      </w:pPr>
      <w:r w:rsidRPr="00505C26">
        <w:rPr>
          <w:rFonts w:ascii="Arial" w:hAnsi="Arial" w:cs="Arial"/>
          <w:bCs/>
          <w:lang w:eastAsia="es-MX"/>
        </w:rPr>
        <w:t xml:space="preserve">Ley de Planeación para el Desarrollo del Estado de Quintana Roo, </w:t>
      </w:r>
      <w:r w:rsidRPr="00505C26">
        <w:rPr>
          <w:rFonts w:ascii="Arial" w:hAnsi="Arial" w:cs="Arial"/>
        </w:rPr>
        <w:t xml:space="preserve">artículos 59, 79, 80, 109 y 111. </w:t>
      </w:r>
    </w:p>
    <w:p w14:paraId="3AAA0616" w14:textId="77777777" w:rsidR="00B17337" w:rsidRPr="00505C26" w:rsidRDefault="00B17337" w:rsidP="00505C26">
      <w:pPr>
        <w:spacing w:line="276" w:lineRule="auto"/>
        <w:jc w:val="both"/>
        <w:rPr>
          <w:rFonts w:ascii="Arial" w:hAnsi="Arial" w:cs="Arial"/>
        </w:rPr>
      </w:pPr>
      <w:r w:rsidRPr="00505C26">
        <w:rPr>
          <w:rFonts w:ascii="Arial" w:hAnsi="Arial" w:cs="Arial"/>
        </w:rPr>
        <w:t>El Reglamento de la Ley de Planeación para el Desarrollo del Estado de Quintana Roo, artículo 12 y 32.</w:t>
      </w:r>
    </w:p>
    <w:p w14:paraId="62A36482" w14:textId="193B53D1" w:rsidR="00B17337" w:rsidRPr="00505C26" w:rsidRDefault="00B17337" w:rsidP="00505C26">
      <w:pPr>
        <w:spacing w:line="276" w:lineRule="auto"/>
        <w:jc w:val="both"/>
        <w:rPr>
          <w:rFonts w:ascii="Arial" w:hAnsi="Arial" w:cs="Arial"/>
        </w:rPr>
      </w:pPr>
      <w:r w:rsidRPr="00505C26">
        <w:rPr>
          <w:rFonts w:ascii="Arial" w:hAnsi="Arial" w:cs="Arial"/>
        </w:rPr>
        <w:t xml:space="preserve">Código de Justicia Administrativa del Estado </w:t>
      </w:r>
      <w:r w:rsidR="00C05A21">
        <w:rPr>
          <w:rFonts w:ascii="Arial" w:hAnsi="Arial" w:cs="Arial"/>
        </w:rPr>
        <w:t>de Quintana Roo, artículos 223 fracción II, 241 fracción XIII y 250</w:t>
      </w:r>
      <w:r w:rsidRPr="00505C26">
        <w:rPr>
          <w:rFonts w:ascii="Arial" w:hAnsi="Arial" w:cs="Arial"/>
        </w:rPr>
        <w:t xml:space="preserve"> fracción XX. </w:t>
      </w:r>
    </w:p>
    <w:p w14:paraId="7701A3DD" w14:textId="14384595" w:rsidR="00B17337" w:rsidRPr="00505C26" w:rsidRDefault="00B17337" w:rsidP="00505C26">
      <w:pPr>
        <w:spacing w:line="276" w:lineRule="auto"/>
        <w:jc w:val="both"/>
        <w:rPr>
          <w:rFonts w:ascii="Arial" w:hAnsi="Arial" w:cs="Arial"/>
        </w:rPr>
      </w:pPr>
      <w:r w:rsidRPr="00505C26">
        <w:rPr>
          <w:rFonts w:ascii="Arial" w:hAnsi="Arial" w:cs="Arial"/>
        </w:rPr>
        <w:t>Reglamento Interno del Tribunal de Justicia Administrativa del Estad</w:t>
      </w:r>
      <w:r w:rsidR="00C05A21">
        <w:rPr>
          <w:rFonts w:ascii="Arial" w:hAnsi="Arial" w:cs="Arial"/>
        </w:rPr>
        <w:t>o de Quintana Roo, artículos 99 fracciones IV y VIII, 111 fracciones I, XV, XXIV, 113</w:t>
      </w:r>
      <w:r w:rsidRPr="00505C26">
        <w:rPr>
          <w:rFonts w:ascii="Arial" w:hAnsi="Arial" w:cs="Arial"/>
        </w:rPr>
        <w:t xml:space="preserve"> fracciones II, XV y XXVIII, 129 fracción V y 147 fracción XII. </w:t>
      </w:r>
    </w:p>
    <w:p w14:paraId="141463AF" w14:textId="77777777" w:rsidR="00B17337" w:rsidRPr="00505C26" w:rsidRDefault="00B17337" w:rsidP="00505C26">
      <w:pPr>
        <w:spacing w:line="276" w:lineRule="auto"/>
        <w:jc w:val="both"/>
        <w:rPr>
          <w:rFonts w:ascii="Arial" w:hAnsi="Arial" w:cs="Arial"/>
          <w:bCs/>
        </w:rPr>
      </w:pPr>
      <w:r w:rsidRPr="00505C26">
        <w:rPr>
          <w:rFonts w:ascii="Arial" w:hAnsi="Arial" w:cs="Arial"/>
          <w:bCs/>
        </w:rPr>
        <w:t>Plan Estatal de Desarrollo 2016-2022, Eje 3, Programa 17, Líneas de acción 4 y Programa 19, Líneas de acción 3 y 4.</w:t>
      </w:r>
    </w:p>
    <w:p w14:paraId="642D0F31" w14:textId="098E7F7B" w:rsidR="00B17337" w:rsidRDefault="00B17337" w:rsidP="00505C26">
      <w:pPr>
        <w:spacing w:line="276" w:lineRule="auto"/>
        <w:jc w:val="both"/>
        <w:rPr>
          <w:rFonts w:ascii="Arial" w:hAnsi="Arial" w:cs="Arial"/>
          <w:b/>
          <w:color w:val="000000" w:themeColor="text1"/>
        </w:rPr>
      </w:pPr>
    </w:p>
    <w:p w14:paraId="3ABD4310" w14:textId="77777777" w:rsidR="00167B57" w:rsidRDefault="00167B57" w:rsidP="00505C26">
      <w:pPr>
        <w:spacing w:line="276" w:lineRule="auto"/>
        <w:jc w:val="both"/>
        <w:rPr>
          <w:rFonts w:ascii="Arial" w:hAnsi="Arial" w:cs="Arial"/>
          <w:b/>
          <w:color w:val="000000" w:themeColor="text1"/>
        </w:rPr>
      </w:pPr>
    </w:p>
    <w:p w14:paraId="714C5716" w14:textId="77777777" w:rsidR="00167B57" w:rsidRPr="00A22640" w:rsidRDefault="00167B57" w:rsidP="00167B57">
      <w:pPr>
        <w:spacing w:line="276" w:lineRule="auto"/>
        <w:jc w:val="both"/>
        <w:outlineLvl w:val="0"/>
        <w:rPr>
          <w:rFonts w:ascii="Arial" w:eastAsia="Calibri" w:hAnsi="Arial" w:cs="Arial"/>
          <w:bCs/>
          <w:szCs w:val="20"/>
          <w:lang w:eastAsia="en-US"/>
        </w:rPr>
      </w:pPr>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p>
    <w:p w14:paraId="18B5CE2C" w14:textId="77777777" w:rsidR="00167B57" w:rsidRDefault="00167B57" w:rsidP="00167B57">
      <w:pPr>
        <w:spacing w:line="276" w:lineRule="auto"/>
        <w:jc w:val="both"/>
        <w:outlineLvl w:val="0"/>
        <w:rPr>
          <w:rFonts w:ascii="Arial" w:eastAsia="Calibri" w:hAnsi="Arial" w:cs="Arial"/>
          <w:bCs/>
          <w:szCs w:val="20"/>
          <w:lang w:eastAsia="en-US"/>
        </w:rPr>
      </w:pPr>
    </w:p>
    <w:p w14:paraId="11B3261C" w14:textId="04B7DABD" w:rsidR="00167B57" w:rsidRPr="00631F3B" w:rsidRDefault="00167B57" w:rsidP="00167B57">
      <w:pPr>
        <w:spacing w:line="276" w:lineRule="auto"/>
        <w:jc w:val="both"/>
        <w:outlineLvl w:val="0"/>
        <w:rPr>
          <w:rFonts w:ascii="Arial" w:eastAsia="Calibri" w:hAnsi="Arial" w:cs="Arial"/>
          <w:bCs/>
          <w:lang w:eastAsia="en-US"/>
        </w:rPr>
      </w:pPr>
      <w:bookmarkStart w:id="27" w:name="_Toc51083025"/>
      <w:r w:rsidRPr="00A22640">
        <w:rPr>
          <w:rFonts w:ascii="Arial" w:eastAsia="Calibri" w:hAnsi="Arial" w:cs="Arial"/>
          <w:bCs/>
          <w:szCs w:val="20"/>
          <w:lang w:eastAsia="en-US"/>
        </w:rPr>
        <w:t>La Auditoría Superior del Esta</w:t>
      </w:r>
      <w:r>
        <w:rPr>
          <w:rFonts w:ascii="Arial" w:eastAsia="Calibri" w:hAnsi="Arial" w:cs="Arial"/>
          <w:bCs/>
          <w:szCs w:val="20"/>
          <w:lang w:eastAsia="en-US"/>
        </w:rPr>
        <w:t xml:space="preserve">do de Quintana Roo recomienda </w:t>
      </w:r>
      <w:r w:rsidRPr="00EF0D71">
        <w:rPr>
          <w:rFonts w:ascii="Arial" w:eastAsia="Calibri" w:hAnsi="Arial" w:cs="Arial"/>
          <w:bCs/>
          <w:szCs w:val="20"/>
          <w:lang w:eastAsia="en-US"/>
        </w:rPr>
        <w:t xml:space="preserve">al </w:t>
      </w:r>
      <w:r w:rsidR="005A158B" w:rsidRPr="005A158B">
        <w:rPr>
          <w:rFonts w:ascii="Arial" w:hAnsi="Arial" w:cs="Arial"/>
          <w:b/>
          <w:bCs/>
        </w:rPr>
        <w:t>Tribunal de Justicia Administrativa del Estado de Quintana Roo</w:t>
      </w:r>
      <w:r w:rsidRPr="00EF0D71">
        <w:rPr>
          <w:rFonts w:ascii="Arial" w:eastAsia="Calibri" w:hAnsi="Arial" w:cs="Arial"/>
          <w:bCs/>
          <w:szCs w:val="20"/>
          <w:lang w:eastAsia="en-US"/>
        </w:rPr>
        <w:t>,</w:t>
      </w:r>
      <w:r w:rsidRPr="00A22640">
        <w:rPr>
          <w:rFonts w:ascii="Arial" w:eastAsia="Calibri" w:hAnsi="Arial" w:cs="Arial"/>
          <w:bCs/>
          <w:szCs w:val="20"/>
          <w:lang w:eastAsia="en-US"/>
        </w:rPr>
        <w:t xml:space="preserve"> lo siguiente:</w:t>
      </w:r>
      <w:bookmarkEnd w:id="27"/>
    </w:p>
    <w:p w14:paraId="47465C36" w14:textId="38CD7A83" w:rsidR="00167B57" w:rsidRDefault="00167B57" w:rsidP="00505C26">
      <w:pPr>
        <w:spacing w:line="276" w:lineRule="auto"/>
        <w:jc w:val="both"/>
        <w:rPr>
          <w:rFonts w:ascii="Arial" w:hAnsi="Arial" w:cs="Arial"/>
          <w:b/>
          <w:color w:val="000000" w:themeColor="text1"/>
        </w:rPr>
      </w:pPr>
    </w:p>
    <w:p w14:paraId="17B12DAD" w14:textId="5599790A" w:rsidR="001D21E3" w:rsidRPr="00287FE3" w:rsidRDefault="001D21E3" w:rsidP="001D21E3">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Pr>
          <w:rFonts w:ascii="Arial" w:eastAsia="Calibri" w:hAnsi="Arial" w:cs="Arial"/>
          <w:b/>
          <w:bCs/>
          <w:szCs w:val="20"/>
          <w:lang w:eastAsia="en-US"/>
        </w:rPr>
        <w:t>1</w:t>
      </w:r>
    </w:p>
    <w:p w14:paraId="3DE1B634" w14:textId="77777777" w:rsidR="00167B57" w:rsidRDefault="00167B57" w:rsidP="00505C26">
      <w:pPr>
        <w:spacing w:line="276" w:lineRule="auto"/>
        <w:jc w:val="both"/>
        <w:rPr>
          <w:rFonts w:ascii="Arial" w:hAnsi="Arial" w:cs="Arial"/>
          <w:b/>
          <w:color w:val="000000" w:themeColor="text1"/>
        </w:rPr>
      </w:pPr>
    </w:p>
    <w:p w14:paraId="78D4EEB6" w14:textId="77777777" w:rsidR="00167B57" w:rsidRPr="00510076" w:rsidRDefault="00167B57" w:rsidP="001D21E3">
      <w:pPr>
        <w:pStyle w:val="Prrafodelista"/>
        <w:spacing w:after="160" w:line="276" w:lineRule="auto"/>
        <w:ind w:left="0"/>
        <w:jc w:val="both"/>
        <w:rPr>
          <w:rFonts w:ascii="Arial" w:hAnsi="Arial" w:cs="Arial"/>
          <w:bCs/>
          <w:iCs/>
        </w:rPr>
      </w:pPr>
      <w:r w:rsidRPr="00510076">
        <w:rPr>
          <w:rFonts w:ascii="Arial" w:hAnsi="Arial" w:cs="Arial"/>
          <w:bCs/>
          <w:iCs/>
        </w:rPr>
        <w:t xml:space="preserve">Analizar y revisar detalladamente los documentos normativos que rigen al </w:t>
      </w:r>
      <w:r w:rsidRPr="00510076">
        <w:rPr>
          <w:rFonts w:ascii="Arial" w:hAnsi="Arial" w:cs="Arial"/>
          <w:bCs/>
        </w:rPr>
        <w:t xml:space="preserve">Tribunal de Justicia Administrativa </w:t>
      </w:r>
      <w:r w:rsidRPr="00510076">
        <w:rPr>
          <w:rFonts w:ascii="Arial" w:hAnsi="Arial" w:cs="Arial"/>
          <w:bCs/>
          <w:iCs/>
        </w:rPr>
        <w:t xml:space="preserve">para determinar los aspectos importantes que deban ser actualizados o modificados, con la finalidad de mantener una congruencia y homologación en la denominación de las Unidades Administrativas, que permitan concordancia con las acciones </w:t>
      </w:r>
      <w:r w:rsidRPr="00510076">
        <w:rPr>
          <w:rFonts w:ascii="Arial" w:hAnsi="Arial" w:cs="Arial"/>
          <w:bCs/>
        </w:rPr>
        <w:t xml:space="preserve">sustantivas </w:t>
      </w:r>
      <w:r w:rsidRPr="00510076">
        <w:rPr>
          <w:rFonts w:ascii="Arial" w:hAnsi="Arial" w:cs="Arial"/>
          <w:bCs/>
          <w:iCs/>
        </w:rPr>
        <w:t xml:space="preserve">que actualmente se realizan, y una vez </w:t>
      </w:r>
      <w:r w:rsidRPr="00510076">
        <w:rPr>
          <w:rFonts w:ascii="Arial" w:hAnsi="Arial" w:cs="Arial"/>
        </w:rPr>
        <w:t xml:space="preserve">efectuadas las gestiones correspondientes </w:t>
      </w:r>
      <w:r w:rsidRPr="00510076">
        <w:rPr>
          <w:rFonts w:ascii="Arial" w:hAnsi="Arial" w:cs="Arial"/>
          <w:bCs/>
          <w:iCs/>
        </w:rPr>
        <w:t>realizar su publicación para el inicio de su vigencia.</w:t>
      </w:r>
    </w:p>
    <w:p w14:paraId="74E66D94" w14:textId="5A4E9700" w:rsidR="005611BA" w:rsidRPr="005611BA" w:rsidRDefault="005611BA" w:rsidP="005611BA">
      <w:pPr>
        <w:autoSpaceDE w:val="0"/>
        <w:autoSpaceDN w:val="0"/>
        <w:adjustRightInd w:val="0"/>
        <w:spacing w:line="276" w:lineRule="auto"/>
        <w:jc w:val="both"/>
        <w:rPr>
          <w:rFonts w:ascii="Arial" w:hAnsi="Arial" w:cs="Arial"/>
          <w:bCs/>
        </w:rPr>
      </w:pPr>
      <w:r w:rsidRPr="005611BA">
        <w:rPr>
          <w:rFonts w:ascii="Arial" w:hAnsi="Arial" w:cs="Arial"/>
          <w:bCs/>
        </w:rPr>
        <w:lastRenderedPageBreak/>
        <w:t xml:space="preserve">Con motivo de la reunión de trabajo efectuada para la presentación de resultados finales de auditoría y observaciones preliminares, mediante el oficio número TJA/DA/0131/IX/2020 de fecha 28 de septiembre de 2020, el </w:t>
      </w:r>
      <w:r w:rsidRPr="005611BA">
        <w:rPr>
          <w:rFonts w:ascii="Arial" w:hAnsi="Arial" w:cs="Arial"/>
          <w:color w:val="000000" w:themeColor="text1"/>
        </w:rPr>
        <w:t xml:space="preserve">Tribunal de Justicia Administrativa del Estado de Quintana Roo aclara que, el Código de Justicia Administrativa, establece la estructura básica en materia jurisdiccional que se requiere para la impartición de justicia, asimismo, contempla las figuras administrativas de primer nivel, estableciendo en sus articulados la posibilidad que las unidades administrativas cuenten con el demás personal que requieran para la </w:t>
      </w:r>
      <w:r w:rsidRPr="00C05A21">
        <w:rPr>
          <w:rFonts w:ascii="Arial" w:hAnsi="Arial" w:cs="Arial"/>
          <w:color w:val="000000" w:themeColor="text1"/>
        </w:rPr>
        <w:t xml:space="preserve">realización de sus funciones, sin embargo, no implica </w:t>
      </w:r>
      <w:r w:rsidR="00510076" w:rsidRPr="00C05A21">
        <w:rPr>
          <w:rFonts w:ascii="Arial" w:hAnsi="Arial" w:cs="Arial"/>
          <w:color w:val="000000" w:themeColor="text1"/>
        </w:rPr>
        <w:t>que las</w:t>
      </w:r>
      <w:r w:rsidRPr="00C05A21">
        <w:rPr>
          <w:rFonts w:ascii="Arial" w:hAnsi="Arial" w:cs="Arial"/>
          <w:color w:val="000000" w:themeColor="text1"/>
        </w:rPr>
        <w:t xml:space="preserve"> figuras administrativas, deben ser incluidas en el  Código, toda vez que no es la razón de ser de dicho ordenamiento jurídico.</w:t>
      </w:r>
      <w:r w:rsidRPr="005611BA">
        <w:rPr>
          <w:rFonts w:ascii="Arial" w:hAnsi="Arial" w:cs="Arial"/>
          <w:color w:val="000000" w:themeColor="text1"/>
        </w:rPr>
        <w:t xml:space="preserve"> </w:t>
      </w:r>
    </w:p>
    <w:p w14:paraId="4706BECD" w14:textId="77777777" w:rsidR="005611BA" w:rsidRPr="005611BA" w:rsidRDefault="005611BA" w:rsidP="005611BA">
      <w:pPr>
        <w:autoSpaceDE w:val="0"/>
        <w:autoSpaceDN w:val="0"/>
        <w:adjustRightInd w:val="0"/>
        <w:spacing w:line="276" w:lineRule="auto"/>
        <w:jc w:val="both"/>
        <w:rPr>
          <w:rFonts w:ascii="Arial" w:hAnsi="Arial" w:cs="Arial"/>
          <w:bCs/>
        </w:rPr>
      </w:pPr>
    </w:p>
    <w:p w14:paraId="68D29803" w14:textId="516C8A65" w:rsidR="005611BA" w:rsidRPr="005611BA" w:rsidRDefault="005611BA" w:rsidP="005611BA">
      <w:pPr>
        <w:autoSpaceDE w:val="0"/>
        <w:autoSpaceDN w:val="0"/>
        <w:adjustRightInd w:val="0"/>
        <w:spacing w:line="276" w:lineRule="auto"/>
        <w:jc w:val="both"/>
        <w:rPr>
          <w:rFonts w:ascii="Arial" w:hAnsi="Arial" w:cs="Arial"/>
          <w:color w:val="000000" w:themeColor="text1"/>
        </w:rPr>
      </w:pPr>
      <w:r w:rsidRPr="005611BA">
        <w:rPr>
          <w:rFonts w:ascii="Arial" w:hAnsi="Arial" w:cs="Arial"/>
          <w:bCs/>
        </w:rPr>
        <w:t xml:space="preserve">Por otra parte, el </w:t>
      </w:r>
      <w:r w:rsidRPr="005611BA">
        <w:rPr>
          <w:rFonts w:ascii="Arial" w:hAnsi="Arial" w:cs="Arial"/>
          <w:color w:val="000000" w:themeColor="text1"/>
        </w:rPr>
        <w:t xml:space="preserve">Tribunal de Justicia Administrativa del Estado de Quintana Roo mediante el oficio número </w:t>
      </w:r>
      <w:r w:rsidRPr="005611BA">
        <w:rPr>
          <w:rFonts w:ascii="Arial" w:hAnsi="Arial" w:cs="Arial"/>
          <w:bCs/>
        </w:rPr>
        <w:t>TJA/DA/0132/IX/2020, de fecha 30 de septiembre de 2020,</w:t>
      </w:r>
      <w:r>
        <w:rPr>
          <w:rFonts w:ascii="Arial" w:hAnsi="Arial" w:cs="Arial"/>
          <w:bCs/>
        </w:rPr>
        <w:t xml:space="preserve"> </w:t>
      </w:r>
      <w:r w:rsidRPr="00510076">
        <w:rPr>
          <w:rFonts w:ascii="Arial" w:hAnsi="Arial" w:cs="Arial"/>
          <w:bCs/>
        </w:rPr>
        <w:t>presenta</w:t>
      </w:r>
      <w:r w:rsidRPr="005611BA">
        <w:rPr>
          <w:rFonts w:ascii="Arial" w:hAnsi="Arial" w:cs="Arial"/>
          <w:bCs/>
        </w:rPr>
        <w:t xml:space="preserve"> </w:t>
      </w:r>
      <w:r w:rsidRPr="005611BA">
        <w:rPr>
          <w:rFonts w:ascii="Arial" w:hAnsi="Arial" w:cs="Arial"/>
          <w:color w:val="000000" w:themeColor="text1"/>
        </w:rPr>
        <w:t xml:space="preserve">el Acta de Sesión Extraordinaria Administrativa del Pleno del Tribunal de Justicia Administrativa, de fecha 28 de octubre de 2019, en donde se aprueban nuevas plazas y renombramiento de otras, así mismo, el  Acta de Sesión Extraordinaria Administrativa del Pleno del Tribunal de Justicia Administrativa, de fecha 08 de diciembre de 2019, en la cual se acuerda actualizar la </w:t>
      </w:r>
      <w:r w:rsidR="000D5B34">
        <w:rPr>
          <w:rFonts w:ascii="Arial" w:hAnsi="Arial" w:cs="Arial"/>
          <w:color w:val="000000" w:themeColor="text1"/>
        </w:rPr>
        <w:t>Estructura Orgánica</w:t>
      </w:r>
      <w:r w:rsidRPr="005611BA">
        <w:rPr>
          <w:rFonts w:ascii="Arial" w:hAnsi="Arial" w:cs="Arial"/>
          <w:color w:val="000000" w:themeColor="text1"/>
        </w:rPr>
        <w:t xml:space="preserve"> y</w:t>
      </w:r>
      <w:r w:rsidR="00510076">
        <w:rPr>
          <w:rFonts w:ascii="Arial" w:hAnsi="Arial" w:cs="Arial"/>
          <w:color w:val="000000" w:themeColor="text1"/>
        </w:rPr>
        <w:t xml:space="preserve"> el</w:t>
      </w:r>
      <w:r w:rsidRPr="005611BA">
        <w:rPr>
          <w:rFonts w:ascii="Arial" w:hAnsi="Arial" w:cs="Arial"/>
          <w:color w:val="000000" w:themeColor="text1"/>
        </w:rPr>
        <w:t xml:space="preserve"> Reglamento Interior del </w:t>
      </w:r>
      <w:r w:rsidR="00DF7373">
        <w:rPr>
          <w:rFonts w:ascii="Arial" w:hAnsi="Arial" w:cs="Arial"/>
          <w:color w:val="000000" w:themeColor="text1"/>
        </w:rPr>
        <w:t>Tribunal de Justicia Administrativa</w:t>
      </w:r>
      <w:r w:rsidRPr="005611BA">
        <w:rPr>
          <w:rFonts w:ascii="Arial" w:hAnsi="Arial" w:cs="Arial"/>
          <w:color w:val="000000" w:themeColor="text1"/>
        </w:rPr>
        <w:t xml:space="preserve">, los cuales se encuentran en proceso de actualización y autorización; </w:t>
      </w:r>
      <w:r w:rsidRPr="005611BA">
        <w:rPr>
          <w:rFonts w:ascii="Arial" w:hAnsi="Arial" w:cs="Arial"/>
          <w:bCs/>
        </w:rPr>
        <w:t xml:space="preserve">por consiguiente, se estableció la fecha compromiso para </w:t>
      </w:r>
      <w:r w:rsidR="00DF7373">
        <w:rPr>
          <w:rFonts w:ascii="Arial" w:hAnsi="Arial" w:cs="Arial"/>
          <w:bCs/>
        </w:rPr>
        <w:t>la publicación del Reglamento Interior</w:t>
      </w:r>
      <w:r w:rsidRPr="005611BA">
        <w:rPr>
          <w:rFonts w:ascii="Arial" w:hAnsi="Arial" w:cs="Arial"/>
          <w:bCs/>
        </w:rPr>
        <w:t xml:space="preserve"> a más tardar el 31 de marzo de 2021, por lo que, la observación persiste hasta su atención.</w:t>
      </w:r>
    </w:p>
    <w:p w14:paraId="45C36AD6" w14:textId="626195C4" w:rsidR="005611BA" w:rsidRDefault="005611BA" w:rsidP="00167B57">
      <w:pPr>
        <w:pStyle w:val="Prrafodelista"/>
        <w:spacing w:line="276" w:lineRule="auto"/>
        <w:ind w:left="0"/>
        <w:jc w:val="both"/>
        <w:rPr>
          <w:rFonts w:ascii="Arial" w:hAnsi="Arial" w:cs="Arial"/>
          <w:bCs/>
          <w:iCs/>
          <w:highlight w:val="lightGray"/>
        </w:rPr>
      </w:pPr>
    </w:p>
    <w:p w14:paraId="54BB70BF" w14:textId="77777777" w:rsidR="00CA39CB" w:rsidRDefault="00CA39CB" w:rsidP="00167B57">
      <w:pPr>
        <w:pStyle w:val="Prrafodelista"/>
        <w:spacing w:line="276" w:lineRule="auto"/>
        <w:ind w:left="0"/>
        <w:jc w:val="both"/>
        <w:rPr>
          <w:rFonts w:ascii="Arial" w:hAnsi="Arial" w:cs="Arial"/>
          <w:bCs/>
          <w:iCs/>
          <w:highlight w:val="lightGray"/>
        </w:rPr>
      </w:pPr>
    </w:p>
    <w:p w14:paraId="2583F58A" w14:textId="77777777" w:rsidR="001D21E3" w:rsidRPr="00287FE3" w:rsidRDefault="001D21E3" w:rsidP="001D21E3">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Pr>
          <w:rFonts w:ascii="Arial" w:eastAsia="Calibri" w:hAnsi="Arial" w:cs="Arial"/>
          <w:b/>
          <w:bCs/>
          <w:szCs w:val="20"/>
          <w:lang w:eastAsia="en-US"/>
        </w:rPr>
        <w:t>2</w:t>
      </w:r>
    </w:p>
    <w:p w14:paraId="5CBEF9DA" w14:textId="77777777" w:rsidR="001D21E3" w:rsidRPr="00167B57" w:rsidRDefault="001D21E3" w:rsidP="00167B57">
      <w:pPr>
        <w:pStyle w:val="Prrafodelista"/>
        <w:spacing w:line="276" w:lineRule="auto"/>
        <w:ind w:left="0"/>
        <w:jc w:val="both"/>
        <w:rPr>
          <w:rFonts w:ascii="Arial" w:hAnsi="Arial" w:cs="Arial"/>
          <w:bCs/>
          <w:iCs/>
          <w:highlight w:val="lightGray"/>
        </w:rPr>
      </w:pPr>
    </w:p>
    <w:p w14:paraId="18A4604C" w14:textId="49FA2534" w:rsidR="00167B57" w:rsidRPr="00C05A21" w:rsidRDefault="00167B57" w:rsidP="001D21E3">
      <w:pPr>
        <w:pStyle w:val="Prrafodelista"/>
        <w:spacing w:after="160" w:line="276" w:lineRule="auto"/>
        <w:ind w:left="0"/>
        <w:jc w:val="both"/>
        <w:rPr>
          <w:rFonts w:ascii="Arial" w:hAnsi="Arial" w:cs="Arial"/>
          <w:bCs/>
          <w:iCs/>
        </w:rPr>
      </w:pPr>
      <w:r w:rsidRPr="00C05A21">
        <w:rPr>
          <w:rFonts w:ascii="Arial" w:hAnsi="Arial" w:cs="Arial"/>
          <w:bCs/>
          <w:iCs/>
        </w:rPr>
        <w:t xml:space="preserve">Formular el Manual de Organización y el Manual de Procedimientos del </w:t>
      </w:r>
      <w:r w:rsidRPr="00C05A21">
        <w:rPr>
          <w:rFonts w:ascii="Arial" w:hAnsi="Arial" w:cs="Arial"/>
          <w:bCs/>
        </w:rPr>
        <w:t xml:space="preserve">Tribunal de Justicia Administrativa, en el que describan el perfil de puestos, funciones, </w:t>
      </w:r>
      <w:r w:rsidRPr="00C05A21">
        <w:rPr>
          <w:rFonts w:ascii="Arial" w:hAnsi="Arial" w:cs="Arial"/>
        </w:rPr>
        <w:t xml:space="preserve">atribuciones y responsabilidades </w:t>
      </w:r>
      <w:r w:rsidRPr="00C05A21">
        <w:rPr>
          <w:rFonts w:ascii="Arial" w:hAnsi="Arial" w:cs="Arial"/>
          <w:bCs/>
        </w:rPr>
        <w:t xml:space="preserve">específicas de cada nivel de las unidades administrativas de acuerdo a la </w:t>
      </w:r>
      <w:r w:rsidR="000D5B34">
        <w:rPr>
          <w:rFonts w:ascii="Arial" w:hAnsi="Arial" w:cs="Arial"/>
        </w:rPr>
        <w:t>Estructura Orgánica</w:t>
      </w:r>
      <w:r w:rsidRPr="00C05A21">
        <w:rPr>
          <w:rFonts w:ascii="Arial" w:hAnsi="Arial" w:cs="Arial"/>
        </w:rPr>
        <w:t xml:space="preserve"> aprobada, lo cual permita al personal cumplir con las funciones sustantivas, con el objetivo de contar con la </w:t>
      </w:r>
      <w:r w:rsidRPr="00C05A21">
        <w:rPr>
          <w:rFonts w:ascii="Arial" w:hAnsi="Arial" w:cs="Arial"/>
        </w:rPr>
        <w:lastRenderedPageBreak/>
        <w:t xml:space="preserve">normativa vigente y fortalecer una organización interna y un proceso de mejora en el quehacer de la justicia administrativa. </w:t>
      </w:r>
    </w:p>
    <w:p w14:paraId="750EFD00" w14:textId="41A2D98B" w:rsidR="00167B57" w:rsidRPr="00C05A21" w:rsidRDefault="00167B57" w:rsidP="001D21E3">
      <w:pPr>
        <w:pStyle w:val="Prrafodelista"/>
        <w:spacing w:line="276" w:lineRule="auto"/>
        <w:ind w:left="0"/>
        <w:jc w:val="both"/>
        <w:rPr>
          <w:rFonts w:ascii="Arial" w:hAnsi="Arial" w:cs="Arial"/>
        </w:rPr>
      </w:pPr>
    </w:p>
    <w:p w14:paraId="5290782B" w14:textId="35B0A179" w:rsidR="001D21E3" w:rsidRDefault="001D21E3" w:rsidP="001D21E3">
      <w:pPr>
        <w:autoSpaceDE w:val="0"/>
        <w:autoSpaceDN w:val="0"/>
        <w:adjustRightInd w:val="0"/>
        <w:spacing w:line="276" w:lineRule="auto"/>
        <w:jc w:val="both"/>
        <w:rPr>
          <w:rFonts w:ascii="Arial" w:hAnsi="Arial" w:cs="Arial"/>
          <w:bCs/>
        </w:rPr>
      </w:pPr>
      <w:r w:rsidRPr="001D21E3">
        <w:rPr>
          <w:rFonts w:ascii="Arial" w:hAnsi="Arial" w:cs="Arial"/>
          <w:bCs/>
        </w:rPr>
        <w:t xml:space="preserve">Con motivo de la reunión de trabajo efectuada para la presentación de resultados finales de auditoría y observaciones preliminares, mediante oficio número TJA/DA/0131/IX/2020 de fecha 28 de septiembre de 2020, el </w:t>
      </w:r>
      <w:r w:rsidRPr="001D21E3">
        <w:rPr>
          <w:rFonts w:ascii="Arial" w:hAnsi="Arial" w:cs="Arial"/>
          <w:color w:val="000000" w:themeColor="text1"/>
        </w:rPr>
        <w:t xml:space="preserve">Tribunal de Justicia Administrativa del Estado de Quintana Roo presenta el Proyecto del Manual de Organización y Manual de Procedimientos, los cuales se encuentran en proceso de elaboración y </w:t>
      </w:r>
      <w:r w:rsidRPr="001D21E3">
        <w:rPr>
          <w:rFonts w:ascii="Arial" w:hAnsi="Arial" w:cs="Arial"/>
          <w:bCs/>
        </w:rPr>
        <w:t>autorización; por consiguiente, se estableció la fecha compromiso para su cumplimiento a más tardar el 31 de marzo de 2021, por lo que la observación persiste hasta su atención.</w:t>
      </w:r>
    </w:p>
    <w:p w14:paraId="1004CF2C" w14:textId="16BBE710" w:rsidR="00CA39CB" w:rsidRDefault="00CA39CB" w:rsidP="001D21E3">
      <w:pPr>
        <w:autoSpaceDE w:val="0"/>
        <w:autoSpaceDN w:val="0"/>
        <w:adjustRightInd w:val="0"/>
        <w:spacing w:line="276" w:lineRule="auto"/>
        <w:jc w:val="both"/>
        <w:rPr>
          <w:rFonts w:ascii="Arial" w:hAnsi="Arial" w:cs="Arial"/>
          <w:color w:val="000000" w:themeColor="text1"/>
          <w:sz w:val="18"/>
          <w:szCs w:val="18"/>
        </w:rPr>
      </w:pPr>
    </w:p>
    <w:p w14:paraId="419C1F1D" w14:textId="77777777" w:rsidR="00CA39CB" w:rsidRDefault="00CA39CB" w:rsidP="001D21E3">
      <w:pPr>
        <w:autoSpaceDE w:val="0"/>
        <w:autoSpaceDN w:val="0"/>
        <w:adjustRightInd w:val="0"/>
        <w:spacing w:line="276" w:lineRule="auto"/>
        <w:jc w:val="both"/>
        <w:rPr>
          <w:rFonts w:ascii="Arial" w:hAnsi="Arial" w:cs="Arial"/>
          <w:color w:val="000000" w:themeColor="text1"/>
          <w:sz w:val="18"/>
          <w:szCs w:val="18"/>
        </w:rPr>
      </w:pPr>
    </w:p>
    <w:p w14:paraId="3AA3D68C" w14:textId="0E7EB1E0" w:rsidR="001D21E3" w:rsidRPr="00287FE3" w:rsidRDefault="001D21E3" w:rsidP="001D21E3">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Pr>
          <w:rFonts w:ascii="Arial" w:eastAsia="Calibri" w:hAnsi="Arial" w:cs="Arial"/>
          <w:b/>
          <w:bCs/>
          <w:szCs w:val="20"/>
          <w:lang w:eastAsia="en-US"/>
        </w:rPr>
        <w:t>3</w:t>
      </w:r>
    </w:p>
    <w:p w14:paraId="3F336356" w14:textId="77777777" w:rsidR="001D21E3" w:rsidRDefault="001D21E3" w:rsidP="001D21E3">
      <w:pPr>
        <w:spacing w:after="160" w:line="276" w:lineRule="auto"/>
        <w:jc w:val="both"/>
        <w:rPr>
          <w:rFonts w:ascii="Arial" w:hAnsi="Arial" w:cs="Arial"/>
          <w:highlight w:val="lightGray"/>
        </w:rPr>
      </w:pPr>
    </w:p>
    <w:p w14:paraId="28A517DA" w14:textId="227A0C37" w:rsidR="001D21E3" w:rsidRPr="00FA5106" w:rsidRDefault="00167B57" w:rsidP="00EE20A5">
      <w:pPr>
        <w:spacing w:line="276" w:lineRule="auto"/>
        <w:jc w:val="both"/>
        <w:rPr>
          <w:rFonts w:ascii="Arial" w:hAnsi="Arial" w:cs="Arial"/>
        </w:rPr>
      </w:pPr>
      <w:r w:rsidRPr="00FA5106">
        <w:rPr>
          <w:rFonts w:ascii="Arial" w:hAnsi="Arial" w:cs="Arial"/>
        </w:rPr>
        <w:t xml:space="preserve">Elaborar un Programa Institucional y/o Programa Anual de Trabajo, que defina temas y contenidos enfocados al de las actividades sustantivas del </w:t>
      </w:r>
      <w:r w:rsidRPr="00FA5106">
        <w:rPr>
          <w:rFonts w:ascii="Arial" w:hAnsi="Arial" w:cs="Arial"/>
          <w:bCs/>
        </w:rPr>
        <w:t>Tribunal de Justicia Administrativa</w:t>
      </w:r>
      <w:r w:rsidRPr="00FA5106">
        <w:rPr>
          <w:rFonts w:ascii="Arial" w:hAnsi="Arial" w:cs="Arial"/>
        </w:rPr>
        <w:t>, así como especificar acciones, prioridades, políticas, objetivos, estrategias, metas, líneas de acción y demás que sean necesarias y apliquen a todo el personal a fin de garantizar el respeto a los derechos humanos frente a los actos del Estado</w:t>
      </w:r>
      <w:r w:rsidRPr="00FA5106">
        <w:rPr>
          <w:rFonts w:ascii="Arial" w:hAnsi="Arial" w:cs="Arial"/>
          <w:bCs/>
        </w:rPr>
        <w:t>, que a su vez deberán estar en congruencia y vinculados al cumplimiento de los objetivos y metas del Plan Estatal de Desarrollo 2016-2022.</w:t>
      </w:r>
      <w:r w:rsidRPr="00FA5106">
        <w:rPr>
          <w:rFonts w:ascii="Arial" w:hAnsi="Arial" w:cs="Arial"/>
        </w:rPr>
        <w:t xml:space="preserve"> </w:t>
      </w:r>
    </w:p>
    <w:p w14:paraId="62B72BAF" w14:textId="77777777" w:rsidR="00EE20A5" w:rsidRDefault="00EE20A5" w:rsidP="001D21E3">
      <w:pPr>
        <w:autoSpaceDE w:val="0"/>
        <w:autoSpaceDN w:val="0"/>
        <w:adjustRightInd w:val="0"/>
        <w:spacing w:line="276" w:lineRule="auto"/>
        <w:jc w:val="both"/>
        <w:rPr>
          <w:rFonts w:ascii="Arial" w:hAnsi="Arial" w:cs="Arial"/>
          <w:bCs/>
        </w:rPr>
      </w:pPr>
    </w:p>
    <w:p w14:paraId="34E497DF" w14:textId="74DD23E6" w:rsidR="001D21E3" w:rsidRPr="001D21E3" w:rsidRDefault="001D21E3" w:rsidP="001D21E3">
      <w:pPr>
        <w:autoSpaceDE w:val="0"/>
        <w:autoSpaceDN w:val="0"/>
        <w:adjustRightInd w:val="0"/>
        <w:spacing w:line="276" w:lineRule="auto"/>
        <w:jc w:val="both"/>
        <w:rPr>
          <w:rFonts w:ascii="Arial" w:hAnsi="Arial" w:cs="Arial"/>
          <w:bCs/>
        </w:rPr>
      </w:pPr>
      <w:r w:rsidRPr="001D21E3">
        <w:rPr>
          <w:rFonts w:ascii="Arial" w:hAnsi="Arial" w:cs="Arial"/>
          <w:bCs/>
        </w:rPr>
        <w:t xml:space="preserve">Con motivo de la reunión de trabajo efectuada para la presentación de resultados finales de auditoría y observaciones preliminares, mediante oficio número TJA/DA/0131/IX/2020 de fecha 28 de septiembre de 2020, el </w:t>
      </w:r>
      <w:r w:rsidRPr="001D21E3">
        <w:rPr>
          <w:rFonts w:ascii="Arial" w:hAnsi="Arial" w:cs="Arial"/>
          <w:color w:val="000000" w:themeColor="text1"/>
        </w:rPr>
        <w:t>Tribunal de Justicia Administrativa del Estado de Quintana Roo manifiesta que, durante el ejercicio fiscal 2020, se elaboró el Plan Institucional del Tribunal de Justicia Administrativa, en coordinación con el Comité de Planeación para el Desarrollo del Estado (COPLADE), en atención a lo anterior,</w:t>
      </w:r>
      <w:r w:rsidR="0096295B">
        <w:rPr>
          <w:rFonts w:ascii="Arial" w:hAnsi="Arial" w:cs="Arial"/>
          <w:color w:val="000000" w:themeColor="text1"/>
        </w:rPr>
        <w:t xml:space="preserve"> el Tribunal de Justicia Administrativa</w:t>
      </w:r>
      <w:r w:rsidRPr="001D21E3">
        <w:rPr>
          <w:rFonts w:ascii="Arial" w:hAnsi="Arial" w:cs="Arial"/>
          <w:color w:val="000000" w:themeColor="text1"/>
        </w:rPr>
        <w:t xml:space="preserve"> solicita </w:t>
      </w:r>
      <w:r w:rsidR="0096295B">
        <w:rPr>
          <w:rFonts w:ascii="Arial" w:hAnsi="Arial" w:cs="Arial"/>
          <w:color w:val="000000" w:themeColor="text1"/>
        </w:rPr>
        <w:t>validar</w:t>
      </w:r>
      <w:r w:rsidRPr="001D21E3">
        <w:rPr>
          <w:rFonts w:ascii="Arial" w:hAnsi="Arial" w:cs="Arial"/>
          <w:color w:val="000000" w:themeColor="text1"/>
        </w:rPr>
        <w:t xml:space="preserve"> la actualización de dicho Programa, </w:t>
      </w:r>
      <w:r w:rsidR="0096295B">
        <w:rPr>
          <w:rFonts w:ascii="Arial" w:hAnsi="Arial" w:cs="Arial"/>
          <w:color w:val="000000" w:themeColor="text1"/>
        </w:rPr>
        <w:t>a la Secretaría de Finanzas y Planeación</w:t>
      </w:r>
      <w:r w:rsidRPr="001D21E3">
        <w:rPr>
          <w:rFonts w:ascii="Arial" w:hAnsi="Arial" w:cs="Arial"/>
          <w:color w:val="000000" w:themeColor="text1"/>
        </w:rPr>
        <w:t xml:space="preserve">, de acuerdo con la copia anexa del oficio número </w:t>
      </w:r>
      <w:r w:rsidRPr="001D21E3">
        <w:rPr>
          <w:rFonts w:ascii="Arial" w:hAnsi="Arial" w:cs="Arial"/>
          <w:color w:val="000000" w:themeColor="text1"/>
        </w:rPr>
        <w:lastRenderedPageBreak/>
        <w:t xml:space="preserve">TJA/PRES/DA/24/VI/2020, con fecha 05 de junio de 2020, </w:t>
      </w:r>
      <w:r w:rsidRPr="001D21E3">
        <w:rPr>
          <w:rFonts w:ascii="Arial" w:hAnsi="Arial" w:cs="Arial"/>
          <w:bCs/>
        </w:rPr>
        <w:t>el cual se encuentran en proceso de actualización, validación, y publicación; por consiguiente, se estableció la fecha compromiso para su cumplimiento a más tardar el 31 de diciembre de 2020, por lo que, la observación persiste hasta su atención.</w:t>
      </w:r>
    </w:p>
    <w:p w14:paraId="3E40A773" w14:textId="77777777" w:rsidR="00FA5106" w:rsidRPr="001D21E3" w:rsidRDefault="00FA5106" w:rsidP="001D21E3">
      <w:pPr>
        <w:autoSpaceDE w:val="0"/>
        <w:autoSpaceDN w:val="0"/>
        <w:adjustRightInd w:val="0"/>
        <w:spacing w:line="276" w:lineRule="auto"/>
        <w:jc w:val="both"/>
        <w:rPr>
          <w:rFonts w:ascii="Arial" w:hAnsi="Arial" w:cs="Arial"/>
          <w:b/>
        </w:rPr>
      </w:pPr>
    </w:p>
    <w:p w14:paraId="559EF49C" w14:textId="77777777" w:rsidR="00482C12" w:rsidRDefault="001D21E3" w:rsidP="00482C12">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sidR="00482C12">
        <w:rPr>
          <w:rFonts w:ascii="Arial" w:eastAsia="Calibri" w:hAnsi="Arial" w:cs="Arial"/>
          <w:b/>
          <w:bCs/>
          <w:szCs w:val="20"/>
          <w:lang w:eastAsia="en-US"/>
        </w:rPr>
        <w:t>4</w:t>
      </w:r>
    </w:p>
    <w:p w14:paraId="76AF0694" w14:textId="77777777" w:rsidR="00482C12" w:rsidRDefault="00482C12" w:rsidP="00482C12">
      <w:pPr>
        <w:spacing w:line="276" w:lineRule="auto"/>
        <w:jc w:val="both"/>
        <w:outlineLvl w:val="0"/>
        <w:rPr>
          <w:rFonts w:ascii="Arial" w:eastAsia="Calibri" w:hAnsi="Arial" w:cs="Arial"/>
          <w:b/>
          <w:bCs/>
          <w:szCs w:val="20"/>
          <w:lang w:eastAsia="en-US"/>
        </w:rPr>
      </w:pPr>
    </w:p>
    <w:p w14:paraId="7A3FB378" w14:textId="6AF5FDFB" w:rsidR="00167B57" w:rsidRDefault="00167B57" w:rsidP="00482C12">
      <w:pPr>
        <w:spacing w:line="276" w:lineRule="auto"/>
        <w:jc w:val="both"/>
        <w:outlineLvl w:val="0"/>
        <w:rPr>
          <w:rFonts w:ascii="Arial" w:hAnsi="Arial" w:cs="Arial"/>
        </w:rPr>
      </w:pPr>
      <w:r w:rsidRPr="00482C12">
        <w:rPr>
          <w:rFonts w:ascii="Arial" w:hAnsi="Arial" w:cs="Arial"/>
        </w:rPr>
        <w:t>Fortalecer la implementación del Presupuesto basado en Resultados y un Sistema de Evaluación del Desempeño como un nuevo enfoque de la Gestión para Resultados, realizando las modificaciones y mejoras en el marco normativo del Tribunal de Justicia Administrativa, así como, en los procesos de planeación, programación, presupuestación, ejercicio, seguimiento y evaluación de los Programas derivados del Plan Estatal de Desarrollo, con el objetivo de mejorar la calidad del gasto público y promover la rendición de cuentas, tal como lo establece el artículo 134 de la Constitución Política de los Estados Unidos Mexicanos, artículo 27 de la Ley Federal de Presupuesto y Responsabilidad Hacendaria y artículo 61 de la Ley General de Contabilidad Gubernamental.</w:t>
      </w:r>
    </w:p>
    <w:p w14:paraId="7A1D71C7" w14:textId="56A2D933" w:rsidR="00482C12" w:rsidRPr="00482C12" w:rsidRDefault="00482C12" w:rsidP="00482C12">
      <w:pPr>
        <w:spacing w:line="276" w:lineRule="auto"/>
        <w:jc w:val="both"/>
        <w:outlineLvl w:val="0"/>
        <w:rPr>
          <w:rFonts w:ascii="Arial" w:hAnsi="Arial" w:cs="Arial"/>
        </w:rPr>
      </w:pPr>
    </w:p>
    <w:p w14:paraId="265FEBA5" w14:textId="5B4E6D10" w:rsidR="00482C12" w:rsidRDefault="00482C12" w:rsidP="00482C12">
      <w:pPr>
        <w:autoSpaceDE w:val="0"/>
        <w:autoSpaceDN w:val="0"/>
        <w:adjustRightInd w:val="0"/>
        <w:spacing w:line="276" w:lineRule="auto"/>
        <w:jc w:val="both"/>
        <w:rPr>
          <w:rFonts w:ascii="Arial" w:hAnsi="Arial" w:cs="Arial"/>
          <w:bCs/>
        </w:rPr>
      </w:pPr>
      <w:r w:rsidRPr="00482C12">
        <w:rPr>
          <w:rFonts w:ascii="Arial" w:hAnsi="Arial" w:cs="Arial"/>
          <w:bCs/>
        </w:rPr>
        <w:t xml:space="preserve">Con motivo de la reunión de trabajo efectuada para la presentación de resultados finales de auditoría y observaciones preliminares, mediante el oficio número TJA/DA/0131/IX/2020 de fecha 28 de septiembre de 2020, el </w:t>
      </w:r>
      <w:r w:rsidRPr="00482C12">
        <w:rPr>
          <w:rFonts w:ascii="Arial" w:hAnsi="Arial" w:cs="Arial"/>
          <w:color w:val="000000" w:themeColor="text1"/>
        </w:rPr>
        <w:t xml:space="preserve">Tribunal de Justicia Administrativa del Estado de Quintana Roo señala que, actualmente la evaluación del desempeño se realiza de manera trimestral, a través del Sistema de Integración Programática y Presupuestal (SIPRES), anexando tres Reportes Trimestrales de Indicadores para Resultados, correspondiente al ejercicio fiscal 2019. Sin embargo, el Tribunal de Justicia Administrativa carece de un área de Planeación, que se encargue de esta actividad, </w:t>
      </w:r>
      <w:r w:rsidRPr="00482C12">
        <w:rPr>
          <w:rFonts w:ascii="Arial" w:hAnsi="Arial" w:cs="Arial"/>
        </w:rPr>
        <w:t>razón</w:t>
      </w:r>
      <w:r w:rsidRPr="00482C12">
        <w:rPr>
          <w:rFonts w:ascii="Arial" w:hAnsi="Arial" w:cs="Arial"/>
          <w:color w:val="000000" w:themeColor="text1"/>
        </w:rPr>
        <w:t xml:space="preserve"> por la cual se realizarán las acciones necesarias para la apertura de un área encargada de la elaboración y alimentación de un Sistema de Evaluación al Desempeño, mismo que tendrá de manera normativa las facultades y atribuciones necesarias para la elaboración e implementación del Presupuesto basado en Resultados; </w:t>
      </w:r>
      <w:r w:rsidRPr="00482C12">
        <w:rPr>
          <w:rFonts w:ascii="Arial" w:hAnsi="Arial" w:cs="Arial"/>
          <w:bCs/>
        </w:rPr>
        <w:t xml:space="preserve"> por consiguiente, se estableció la fecha compromiso para su cumplimiento a más tardar el 31 de diciembre de 2020, por lo que, la observación persiste hasta su atención.</w:t>
      </w:r>
    </w:p>
    <w:p w14:paraId="5F897016" w14:textId="77777777" w:rsidR="00C83A17" w:rsidRDefault="00C83A17" w:rsidP="00546A88">
      <w:pPr>
        <w:spacing w:line="276" w:lineRule="auto"/>
        <w:jc w:val="both"/>
        <w:rPr>
          <w:rFonts w:ascii="Arial" w:hAnsi="Arial" w:cs="Arial"/>
          <w:b/>
          <w:bCs/>
        </w:rPr>
      </w:pPr>
    </w:p>
    <w:p w14:paraId="29B77B59" w14:textId="26A69406" w:rsidR="00546A88" w:rsidRPr="00505C26" w:rsidRDefault="00546A88" w:rsidP="00546A88">
      <w:pPr>
        <w:spacing w:line="276" w:lineRule="auto"/>
        <w:jc w:val="both"/>
        <w:rPr>
          <w:rFonts w:ascii="Arial" w:hAnsi="Arial" w:cs="Arial"/>
          <w:b/>
          <w:bCs/>
        </w:rPr>
      </w:pPr>
      <w:r w:rsidRPr="00505C26">
        <w:rPr>
          <w:rFonts w:ascii="Arial" w:hAnsi="Arial" w:cs="Arial"/>
          <w:b/>
          <w:bCs/>
        </w:rPr>
        <w:t>MATRIZ DE INDICADORES PARA RESULTADOS</w:t>
      </w:r>
    </w:p>
    <w:p w14:paraId="7F03C518" w14:textId="77777777" w:rsidR="00546A88" w:rsidRPr="00505C26" w:rsidRDefault="00546A88" w:rsidP="00546A88">
      <w:pPr>
        <w:spacing w:line="276" w:lineRule="auto"/>
        <w:jc w:val="both"/>
        <w:outlineLvl w:val="0"/>
        <w:rPr>
          <w:rFonts w:ascii="Arial" w:eastAsia="Calibri" w:hAnsi="Arial" w:cs="Arial"/>
          <w:bCs/>
          <w:lang w:eastAsia="en-US"/>
        </w:rPr>
      </w:pPr>
    </w:p>
    <w:p w14:paraId="2BD6D535" w14:textId="1E01EBA5" w:rsidR="00305EFC" w:rsidRDefault="00305EFC" w:rsidP="00305EFC">
      <w:pPr>
        <w:autoSpaceDE w:val="0"/>
        <w:autoSpaceDN w:val="0"/>
        <w:adjustRightInd w:val="0"/>
        <w:spacing w:line="276" w:lineRule="auto"/>
        <w:jc w:val="both"/>
        <w:rPr>
          <w:rFonts w:ascii="Arial" w:hAnsi="Arial" w:cs="Arial"/>
          <w:b/>
          <w:color w:val="000000" w:themeColor="text1"/>
        </w:rPr>
      </w:pPr>
      <w:r w:rsidRPr="00505C26">
        <w:rPr>
          <w:rFonts w:ascii="Arial" w:hAnsi="Arial" w:cs="Arial"/>
          <w:b/>
          <w:color w:val="000000" w:themeColor="text1"/>
        </w:rPr>
        <w:t xml:space="preserve">Resultado Número 2, </w:t>
      </w:r>
      <w:r>
        <w:rPr>
          <w:rFonts w:ascii="Arial" w:hAnsi="Arial" w:cs="Arial"/>
          <w:b/>
          <w:color w:val="000000" w:themeColor="text1"/>
        </w:rPr>
        <w:t>sin</w:t>
      </w:r>
      <w:r w:rsidRPr="00505C26">
        <w:rPr>
          <w:rFonts w:ascii="Arial" w:hAnsi="Arial" w:cs="Arial"/>
          <w:b/>
          <w:color w:val="000000" w:themeColor="text1"/>
        </w:rPr>
        <w:t xml:space="preserve"> Observaciones</w:t>
      </w:r>
    </w:p>
    <w:p w14:paraId="4AB9C885" w14:textId="77777777" w:rsidR="00305EFC" w:rsidRPr="00505C26" w:rsidRDefault="00305EFC" w:rsidP="00305EFC">
      <w:pPr>
        <w:autoSpaceDE w:val="0"/>
        <w:autoSpaceDN w:val="0"/>
        <w:adjustRightInd w:val="0"/>
        <w:spacing w:line="276" w:lineRule="auto"/>
        <w:jc w:val="both"/>
        <w:rPr>
          <w:rFonts w:ascii="Arial" w:hAnsi="Arial" w:cs="Arial"/>
          <w:b/>
          <w:color w:val="000000" w:themeColor="text1"/>
        </w:rPr>
      </w:pPr>
    </w:p>
    <w:p w14:paraId="47C1D17A" w14:textId="12EC4831" w:rsidR="00305EFC" w:rsidRPr="00305EFC" w:rsidRDefault="00305EFC" w:rsidP="00305EFC">
      <w:pPr>
        <w:pStyle w:val="Prrafodelista"/>
        <w:numPr>
          <w:ilvl w:val="0"/>
          <w:numId w:val="24"/>
        </w:numPr>
        <w:autoSpaceDE w:val="0"/>
        <w:autoSpaceDN w:val="0"/>
        <w:adjustRightInd w:val="0"/>
        <w:spacing w:line="276" w:lineRule="auto"/>
        <w:ind w:left="0" w:firstLine="0"/>
        <w:jc w:val="both"/>
        <w:rPr>
          <w:rFonts w:ascii="Arial" w:hAnsi="Arial" w:cs="Arial"/>
          <w:color w:val="000000" w:themeColor="text1"/>
        </w:rPr>
      </w:pPr>
      <w:r w:rsidRPr="00305EFC">
        <w:rPr>
          <w:rFonts w:ascii="Arial" w:hAnsi="Arial" w:cs="Arial"/>
          <w:color w:val="000000" w:themeColor="text1"/>
        </w:rPr>
        <w:t xml:space="preserve">Para </w:t>
      </w:r>
      <w:r w:rsidR="00546A88">
        <w:rPr>
          <w:rFonts w:ascii="Arial" w:hAnsi="Arial" w:cs="Arial"/>
          <w:color w:val="000000" w:themeColor="text1"/>
        </w:rPr>
        <w:t>el análisis del cumplimiento de metas, objetivos e indicadores</w:t>
      </w:r>
      <w:r w:rsidRPr="00305EFC">
        <w:rPr>
          <w:rFonts w:ascii="Arial" w:hAnsi="Arial" w:cs="Arial"/>
          <w:color w:val="000000" w:themeColor="text1"/>
        </w:rPr>
        <w:t xml:space="preserve"> se tomaron en cuenta los datos numéricos programados y alcanzados a nivel Propósito de cada Programa presupuestario, ya que es el objetivo del programa y la razón de ser del mismo e indica el efecto directo que se propone alcanzar sobre la población o área de enfoque, obteniendo que los Programa E149 tiene el 90% de su meta lograda y el Programa M001 alcanzó una meta del 75.75%. </w:t>
      </w:r>
    </w:p>
    <w:p w14:paraId="718E1035" w14:textId="77777777" w:rsidR="00305EFC" w:rsidRPr="00505C26" w:rsidRDefault="00305EFC" w:rsidP="00305EFC">
      <w:pPr>
        <w:autoSpaceDE w:val="0"/>
        <w:autoSpaceDN w:val="0"/>
        <w:adjustRightInd w:val="0"/>
        <w:spacing w:line="276" w:lineRule="auto"/>
        <w:jc w:val="both"/>
        <w:rPr>
          <w:rFonts w:ascii="Arial" w:hAnsi="Arial" w:cs="Arial"/>
          <w:b/>
          <w:color w:val="000000" w:themeColor="text1"/>
        </w:rPr>
      </w:pPr>
    </w:p>
    <w:p w14:paraId="65F18D53" w14:textId="71450500" w:rsidR="00546A88" w:rsidRDefault="00305EFC" w:rsidP="00305EFC">
      <w:pPr>
        <w:autoSpaceDE w:val="0"/>
        <w:autoSpaceDN w:val="0"/>
        <w:adjustRightInd w:val="0"/>
        <w:spacing w:line="276" w:lineRule="auto"/>
        <w:jc w:val="both"/>
        <w:rPr>
          <w:rFonts w:ascii="Arial" w:hAnsi="Arial" w:cs="Arial"/>
          <w:color w:val="000000" w:themeColor="text1"/>
        </w:rPr>
      </w:pPr>
      <w:r w:rsidRPr="00505C26">
        <w:rPr>
          <w:rFonts w:ascii="Arial" w:hAnsi="Arial" w:cs="Arial"/>
          <w:color w:val="000000" w:themeColor="text1"/>
        </w:rPr>
        <w:t>De acuerdo con la semaforización establecida para dar seguimiento a cada Programa presupuestario, los avances logrados informan que sus dos Programas lograron ejecutar sus metas planteadas dentro del nivel aceptable posicionándose en el rango de</w:t>
      </w:r>
      <w:r w:rsidR="00EE20A5">
        <w:rPr>
          <w:rFonts w:ascii="Arial" w:hAnsi="Arial" w:cs="Arial"/>
          <w:color w:val="000000" w:themeColor="text1"/>
        </w:rPr>
        <w:t xml:space="preserve"> color verde, </w:t>
      </w:r>
      <w:r w:rsidR="00EE20A5">
        <w:rPr>
          <w:rFonts w:ascii="Arial" w:hAnsi="Arial" w:cs="Arial"/>
        </w:rPr>
        <w:t>de acuerdo con la siguiente tabla:</w:t>
      </w:r>
    </w:p>
    <w:p w14:paraId="6AA5E2A5" w14:textId="4EB394F1" w:rsidR="00305EFC" w:rsidRDefault="00305EFC" w:rsidP="00305EFC">
      <w:pPr>
        <w:autoSpaceDE w:val="0"/>
        <w:autoSpaceDN w:val="0"/>
        <w:adjustRightInd w:val="0"/>
        <w:spacing w:line="276" w:lineRule="auto"/>
        <w:jc w:val="both"/>
        <w:rPr>
          <w:rFonts w:ascii="Arial" w:hAnsi="Arial" w:cs="Arial"/>
          <w:color w:val="000000" w:themeColor="text1"/>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769"/>
        <w:gridCol w:w="1243"/>
        <w:gridCol w:w="1451"/>
        <w:gridCol w:w="1101"/>
      </w:tblGrid>
      <w:tr w:rsidR="00EE20A5" w:rsidRPr="00EE20A5" w14:paraId="6C232A35" w14:textId="77777777" w:rsidTr="00BE1BD9">
        <w:trPr>
          <w:trHeight w:val="292"/>
          <w:jc w:val="center"/>
        </w:trPr>
        <w:tc>
          <w:tcPr>
            <w:tcW w:w="75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A424A24" w14:textId="1B24F6B1" w:rsidR="00EE20A5" w:rsidRPr="00EE20A5" w:rsidRDefault="00EE20A5" w:rsidP="00B57D8E">
            <w:pPr>
              <w:pStyle w:val="Prrafodelista"/>
              <w:spacing w:line="276" w:lineRule="auto"/>
              <w:ind w:left="0" w:right="52"/>
              <w:jc w:val="center"/>
              <w:rPr>
                <w:rFonts w:ascii="Arial" w:hAnsi="Arial" w:cs="Arial"/>
                <w:b/>
                <w:sz w:val="18"/>
                <w:szCs w:val="18"/>
              </w:rPr>
            </w:pPr>
            <w:r>
              <w:rPr>
                <w:rFonts w:ascii="Arial" w:hAnsi="Arial" w:cs="Arial"/>
                <w:b/>
                <w:color w:val="000000"/>
                <w:sz w:val="18"/>
                <w:szCs w:val="18"/>
                <w:lang w:eastAsia="es-MX"/>
              </w:rPr>
              <w:t>Cumplimiento de Objetivos y Metas</w:t>
            </w:r>
          </w:p>
        </w:tc>
      </w:tr>
      <w:tr w:rsidR="00EE20A5" w:rsidRPr="00EE20A5" w14:paraId="02E4F898" w14:textId="77777777" w:rsidTr="00BE1BD9">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2024F14" w14:textId="77777777" w:rsidR="00EE20A5" w:rsidRPr="00EE20A5" w:rsidRDefault="00EE20A5" w:rsidP="00B57D8E">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Programa Presupuestario</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0AD47"/>
            <w:vAlign w:val="center"/>
          </w:tcPr>
          <w:p w14:paraId="4DA07D7E" w14:textId="77777777" w:rsidR="00EE20A5" w:rsidRPr="00EE20A5" w:rsidRDefault="00EE20A5" w:rsidP="00B57D8E">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VERDE</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00"/>
            <w:vAlign w:val="center"/>
          </w:tcPr>
          <w:p w14:paraId="20FB32B4" w14:textId="77777777" w:rsidR="00EE20A5" w:rsidRPr="00EE20A5" w:rsidRDefault="00EE20A5" w:rsidP="00B57D8E">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AMARILLO</w:t>
            </w: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vAlign w:val="center"/>
          </w:tcPr>
          <w:p w14:paraId="5FD4D464" w14:textId="77777777" w:rsidR="00EE20A5" w:rsidRPr="00EE20A5" w:rsidRDefault="00EE20A5" w:rsidP="00B57D8E">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ROJO</w:t>
            </w:r>
          </w:p>
        </w:tc>
      </w:tr>
      <w:tr w:rsidR="00EE20A5" w:rsidRPr="00EE20A5" w14:paraId="604A9B43" w14:textId="77777777" w:rsidTr="00BE1BD9">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52180CA" w14:textId="77777777" w:rsidR="00EE20A5" w:rsidRPr="00EE20A5" w:rsidRDefault="00EE20A5" w:rsidP="00B57D8E">
            <w:pPr>
              <w:rPr>
                <w:rFonts w:ascii="Arial" w:hAnsi="Arial" w:cs="Arial"/>
                <w:sz w:val="18"/>
                <w:szCs w:val="18"/>
              </w:rPr>
            </w:pPr>
            <w:r w:rsidRPr="00EE20A5">
              <w:rPr>
                <w:rFonts w:ascii="Arial" w:hAnsi="Arial" w:cs="Arial"/>
                <w:sz w:val="18"/>
                <w:szCs w:val="18"/>
              </w:rPr>
              <w:t>E149 - Impartición de Justicia Administrativa</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568740" w14:textId="77777777" w:rsidR="00EE20A5" w:rsidRPr="00EE20A5" w:rsidRDefault="00EE20A5" w:rsidP="00B57D8E">
            <w:pPr>
              <w:spacing w:line="276" w:lineRule="auto"/>
              <w:ind w:right="52"/>
              <w:jc w:val="center"/>
              <w:rPr>
                <w:rFonts w:ascii="Arial" w:hAnsi="Arial" w:cs="Arial"/>
                <w:b/>
                <w:sz w:val="18"/>
                <w:szCs w:val="18"/>
              </w:rPr>
            </w:pPr>
            <w:r w:rsidRPr="00EE20A5">
              <w:rPr>
                <w:rFonts w:ascii="Webdings" w:hAnsi="Webdings" w:cs="Calibri"/>
                <w:b/>
                <w:color w:val="000000"/>
                <w:sz w:val="18"/>
                <w:szCs w:val="18"/>
                <w:lang w:eastAsia="es-MX"/>
              </w:rPr>
              <w:t></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8F5FC4" w14:textId="77777777" w:rsidR="00EE20A5" w:rsidRPr="00EE20A5" w:rsidRDefault="00EE20A5" w:rsidP="00B57D8E">
            <w:pPr>
              <w:pStyle w:val="Prrafodelista"/>
              <w:spacing w:line="276" w:lineRule="auto"/>
              <w:ind w:left="0"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59C0E9" w14:textId="77777777" w:rsidR="00EE20A5" w:rsidRPr="00EE20A5" w:rsidRDefault="00EE20A5" w:rsidP="00B57D8E">
            <w:pPr>
              <w:pStyle w:val="Prrafodelista"/>
              <w:spacing w:line="276" w:lineRule="auto"/>
              <w:ind w:left="0" w:right="52"/>
              <w:jc w:val="center"/>
              <w:rPr>
                <w:rFonts w:ascii="Arial" w:hAnsi="Arial" w:cs="Arial"/>
                <w:sz w:val="18"/>
                <w:szCs w:val="18"/>
              </w:rPr>
            </w:pPr>
          </w:p>
        </w:tc>
      </w:tr>
      <w:tr w:rsidR="00EE20A5" w:rsidRPr="00EE20A5" w14:paraId="43FBF6BB" w14:textId="77777777" w:rsidTr="00BE1BD9">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33337B" w14:textId="77777777" w:rsidR="00EE20A5" w:rsidRPr="00EE20A5" w:rsidRDefault="00EE20A5" w:rsidP="00B57D8E">
            <w:pPr>
              <w:pStyle w:val="Prrafodelista"/>
              <w:spacing w:line="276" w:lineRule="auto"/>
              <w:ind w:left="0" w:right="52"/>
              <w:jc w:val="both"/>
              <w:rPr>
                <w:rFonts w:ascii="Arial" w:hAnsi="Arial" w:cs="Arial"/>
                <w:sz w:val="18"/>
                <w:szCs w:val="18"/>
              </w:rPr>
            </w:pPr>
            <w:r w:rsidRPr="00EE20A5">
              <w:rPr>
                <w:rFonts w:ascii="Arial" w:hAnsi="Arial" w:cs="Arial"/>
                <w:sz w:val="18"/>
                <w:szCs w:val="18"/>
              </w:rPr>
              <w:t>M001 - Gestión y Apoyo Institucional</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4ABCDE" w14:textId="77777777" w:rsidR="00EE20A5" w:rsidRPr="00EE20A5" w:rsidRDefault="00EE20A5" w:rsidP="00B57D8E">
            <w:pPr>
              <w:spacing w:line="276" w:lineRule="auto"/>
              <w:ind w:right="52"/>
              <w:jc w:val="center"/>
              <w:rPr>
                <w:rFonts w:ascii="Arial" w:hAnsi="Arial" w:cs="Arial"/>
                <w:sz w:val="18"/>
                <w:szCs w:val="18"/>
              </w:rPr>
            </w:pPr>
            <w:r w:rsidRPr="00EE20A5">
              <w:rPr>
                <w:rFonts w:ascii="Webdings" w:hAnsi="Webdings" w:cs="Calibri"/>
                <w:b/>
                <w:color w:val="000000"/>
                <w:sz w:val="18"/>
                <w:szCs w:val="18"/>
                <w:lang w:eastAsia="es-MX"/>
              </w:rPr>
              <w:t></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3C598E" w14:textId="77777777" w:rsidR="00EE20A5" w:rsidRPr="00EE20A5" w:rsidRDefault="00EE20A5" w:rsidP="00B57D8E">
            <w:pPr>
              <w:spacing w:line="276" w:lineRule="auto"/>
              <w:ind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446C50" w14:textId="77777777" w:rsidR="00EE20A5" w:rsidRPr="00EE20A5" w:rsidRDefault="00EE20A5" w:rsidP="00B57D8E">
            <w:pPr>
              <w:pStyle w:val="Prrafodelista"/>
              <w:spacing w:line="276" w:lineRule="auto"/>
              <w:ind w:left="0" w:right="52"/>
              <w:jc w:val="center"/>
              <w:rPr>
                <w:rFonts w:ascii="Arial" w:hAnsi="Arial" w:cs="Arial"/>
                <w:sz w:val="18"/>
                <w:szCs w:val="18"/>
              </w:rPr>
            </w:pPr>
          </w:p>
        </w:tc>
      </w:tr>
      <w:tr w:rsidR="00EE20A5" w:rsidRPr="00EE20A5" w14:paraId="1EB9FFB2" w14:textId="77777777" w:rsidTr="00BE1BD9">
        <w:trPr>
          <w:trHeight w:val="292"/>
          <w:jc w:val="center"/>
        </w:trPr>
        <w:tc>
          <w:tcPr>
            <w:tcW w:w="7564" w:type="dxa"/>
            <w:gridSpan w:val="4"/>
            <w:tcBorders>
              <w:top w:val="single" w:sz="4" w:space="0" w:color="767171" w:themeColor="background2" w:themeShade="80"/>
              <w:left w:val="nil"/>
              <w:bottom w:val="nil"/>
              <w:right w:val="nil"/>
            </w:tcBorders>
            <w:shd w:val="clear" w:color="auto" w:fill="auto"/>
            <w:vAlign w:val="center"/>
          </w:tcPr>
          <w:p w14:paraId="2FE5D21A" w14:textId="2A9C63DE" w:rsidR="00EE20A5" w:rsidRPr="00EE20A5" w:rsidRDefault="00EE20A5" w:rsidP="00F333DC">
            <w:pPr>
              <w:pStyle w:val="Prrafodelista"/>
              <w:spacing w:line="276" w:lineRule="auto"/>
              <w:ind w:left="0" w:right="52"/>
              <w:rPr>
                <w:rFonts w:ascii="Arial" w:hAnsi="Arial" w:cs="Arial"/>
                <w:sz w:val="18"/>
                <w:szCs w:val="18"/>
              </w:rPr>
            </w:pPr>
            <w:r w:rsidRPr="002A6F94">
              <w:rPr>
                <w:rFonts w:ascii="Arial" w:hAnsi="Arial" w:cs="Arial"/>
                <w:b/>
                <w:sz w:val="14"/>
                <w:szCs w:val="18"/>
              </w:rPr>
              <w:t>Fuente:</w:t>
            </w:r>
            <w:r>
              <w:rPr>
                <w:rFonts w:ascii="Arial" w:hAnsi="Arial" w:cs="Arial"/>
                <w:sz w:val="14"/>
                <w:szCs w:val="18"/>
              </w:rPr>
              <w:t xml:space="preserve"> Elaborado por la ASEQROO, </w:t>
            </w:r>
            <w:r w:rsidRPr="0087713B">
              <w:rPr>
                <w:rFonts w:ascii="Arial" w:hAnsi="Arial" w:cs="Arial"/>
                <w:sz w:val="14"/>
                <w:szCs w:val="14"/>
              </w:rPr>
              <w:t xml:space="preserve">con base en </w:t>
            </w:r>
            <w:r>
              <w:rPr>
                <w:rFonts w:ascii="Arial" w:hAnsi="Arial" w:cs="Arial"/>
                <w:sz w:val="14"/>
                <w:szCs w:val="14"/>
              </w:rPr>
              <w:t xml:space="preserve">información proporcionada por el </w:t>
            </w:r>
            <w:r w:rsidR="00F333DC">
              <w:rPr>
                <w:rFonts w:ascii="Arial" w:hAnsi="Arial" w:cs="Arial"/>
                <w:sz w:val="14"/>
                <w:szCs w:val="14"/>
              </w:rPr>
              <w:t>TJA</w:t>
            </w:r>
            <w:r>
              <w:rPr>
                <w:rFonts w:ascii="Arial" w:hAnsi="Arial" w:cs="Arial"/>
                <w:sz w:val="14"/>
                <w:szCs w:val="14"/>
              </w:rPr>
              <w:t>.</w:t>
            </w:r>
          </w:p>
        </w:tc>
      </w:tr>
    </w:tbl>
    <w:p w14:paraId="5A65CA60" w14:textId="753620CE" w:rsidR="00FA5106" w:rsidRDefault="00FA5106" w:rsidP="00305EFC">
      <w:pPr>
        <w:autoSpaceDE w:val="0"/>
        <w:autoSpaceDN w:val="0"/>
        <w:adjustRightInd w:val="0"/>
        <w:spacing w:line="276" w:lineRule="auto"/>
        <w:jc w:val="both"/>
        <w:rPr>
          <w:rFonts w:ascii="Arial" w:hAnsi="Arial" w:cs="Arial"/>
          <w:color w:val="000000" w:themeColor="text1"/>
        </w:rPr>
      </w:pPr>
    </w:p>
    <w:p w14:paraId="38958495" w14:textId="77777777" w:rsidR="00CA39CB" w:rsidRPr="00305EFC" w:rsidRDefault="00CA39CB" w:rsidP="00305EFC">
      <w:pPr>
        <w:autoSpaceDE w:val="0"/>
        <w:autoSpaceDN w:val="0"/>
        <w:adjustRightInd w:val="0"/>
        <w:spacing w:line="276" w:lineRule="auto"/>
        <w:jc w:val="both"/>
        <w:rPr>
          <w:rFonts w:ascii="Arial" w:hAnsi="Arial" w:cs="Arial"/>
          <w:color w:val="000000" w:themeColor="text1"/>
        </w:rPr>
      </w:pPr>
    </w:p>
    <w:p w14:paraId="2F781902" w14:textId="77777777" w:rsidR="00456BB3" w:rsidRPr="00505C26" w:rsidRDefault="00456BB3" w:rsidP="00505C26">
      <w:pPr>
        <w:autoSpaceDE w:val="0"/>
        <w:autoSpaceDN w:val="0"/>
        <w:adjustRightInd w:val="0"/>
        <w:spacing w:line="276" w:lineRule="auto"/>
        <w:jc w:val="both"/>
        <w:rPr>
          <w:rFonts w:ascii="Arial" w:hAnsi="Arial" w:cs="Arial"/>
          <w:b/>
          <w:color w:val="000000" w:themeColor="text1"/>
        </w:rPr>
      </w:pPr>
      <w:r w:rsidRPr="00505C26">
        <w:rPr>
          <w:rFonts w:ascii="Arial" w:hAnsi="Arial" w:cs="Arial"/>
          <w:b/>
          <w:color w:val="000000" w:themeColor="text1"/>
        </w:rPr>
        <w:t xml:space="preserve">Resultado Número 2, </w:t>
      </w:r>
      <w:r w:rsidRPr="00505C26">
        <w:rPr>
          <w:rFonts w:ascii="Arial" w:hAnsi="Arial" w:cs="Arial"/>
          <w:b/>
        </w:rPr>
        <w:t>con</w:t>
      </w:r>
      <w:r w:rsidRPr="00505C26">
        <w:rPr>
          <w:rFonts w:ascii="Arial" w:hAnsi="Arial" w:cs="Arial"/>
          <w:b/>
          <w:color w:val="000000" w:themeColor="text1"/>
        </w:rPr>
        <w:t xml:space="preserve"> Observaciones</w:t>
      </w:r>
    </w:p>
    <w:p w14:paraId="2D643533" w14:textId="77777777" w:rsidR="002F08C3" w:rsidRPr="00505C26" w:rsidRDefault="002F08C3" w:rsidP="00505C26">
      <w:pPr>
        <w:pStyle w:val="Default"/>
        <w:tabs>
          <w:tab w:val="left" w:pos="1050"/>
        </w:tabs>
        <w:spacing w:line="276" w:lineRule="auto"/>
        <w:jc w:val="both"/>
        <w:rPr>
          <w:b/>
          <w:bCs/>
        </w:rPr>
      </w:pPr>
    </w:p>
    <w:p w14:paraId="7859A656" w14:textId="7BA00EF2" w:rsidR="00B4718A" w:rsidRPr="00505C26" w:rsidRDefault="00BB1426" w:rsidP="00505C26">
      <w:pPr>
        <w:pStyle w:val="Prrafodelista"/>
        <w:spacing w:line="276" w:lineRule="auto"/>
        <w:ind w:left="0"/>
        <w:jc w:val="both"/>
        <w:rPr>
          <w:rFonts w:ascii="Arial" w:hAnsi="Arial" w:cs="Arial"/>
          <w:bCs/>
          <w:lang w:val="es-ES"/>
        </w:rPr>
      </w:pPr>
      <w:r w:rsidRPr="00505C26">
        <w:rPr>
          <w:rFonts w:ascii="Arial" w:hAnsi="Arial" w:cs="Arial"/>
          <w:bCs/>
          <w:lang w:val="es-ES"/>
        </w:rPr>
        <w:t xml:space="preserve">Derivado de la revisión de las Matrices de Indicadores para </w:t>
      </w:r>
      <w:r w:rsidR="00596053" w:rsidRPr="00505C26">
        <w:rPr>
          <w:rFonts w:ascii="Arial" w:hAnsi="Arial" w:cs="Arial"/>
          <w:bCs/>
          <w:lang w:val="es-ES"/>
        </w:rPr>
        <w:t>Resultados de</w:t>
      </w:r>
      <w:r w:rsidR="001440E9" w:rsidRPr="00505C26">
        <w:rPr>
          <w:rFonts w:ascii="Arial" w:hAnsi="Arial" w:cs="Arial"/>
          <w:bCs/>
          <w:lang w:val="es-ES"/>
        </w:rPr>
        <w:t xml:space="preserve">l </w:t>
      </w:r>
      <w:r w:rsidR="001440E9" w:rsidRPr="00505C26">
        <w:rPr>
          <w:rFonts w:ascii="Arial" w:hAnsi="Arial" w:cs="Arial"/>
          <w:b/>
          <w:bCs/>
          <w:lang w:val="es-ES"/>
        </w:rPr>
        <w:t>Tribunal de Justicia Administrativa</w:t>
      </w:r>
      <w:r w:rsidRPr="00505C26">
        <w:rPr>
          <w:rFonts w:ascii="Arial" w:hAnsi="Arial" w:cs="Arial"/>
          <w:bCs/>
          <w:lang w:val="es-ES"/>
        </w:rPr>
        <w:t xml:space="preserve">, se observó </w:t>
      </w:r>
      <w:r w:rsidR="00B4718A" w:rsidRPr="00505C26">
        <w:rPr>
          <w:rFonts w:ascii="Arial" w:hAnsi="Arial" w:cs="Arial"/>
          <w:bCs/>
          <w:lang w:val="es-ES"/>
        </w:rPr>
        <w:t>lo siguiente:</w:t>
      </w:r>
    </w:p>
    <w:p w14:paraId="224F3604" w14:textId="2CBFE11D" w:rsidR="006B1820" w:rsidRPr="00505C26" w:rsidRDefault="006B1820" w:rsidP="00505C26">
      <w:pPr>
        <w:spacing w:line="276" w:lineRule="auto"/>
        <w:ind w:left="471"/>
        <w:rPr>
          <w:rFonts w:ascii="Arial" w:hAnsi="Arial" w:cs="Arial"/>
          <w:lang w:val="es-ES"/>
        </w:rPr>
      </w:pPr>
    </w:p>
    <w:p w14:paraId="3A7DDF77" w14:textId="16419F88" w:rsidR="00CA39CB" w:rsidRPr="00C83A17" w:rsidRDefault="001440E9" w:rsidP="00F13071">
      <w:pPr>
        <w:pStyle w:val="Prrafodelista"/>
        <w:numPr>
          <w:ilvl w:val="0"/>
          <w:numId w:val="20"/>
        </w:numPr>
        <w:autoSpaceDE w:val="0"/>
        <w:autoSpaceDN w:val="0"/>
        <w:adjustRightInd w:val="0"/>
        <w:spacing w:line="276" w:lineRule="auto"/>
        <w:ind w:left="0" w:firstLine="0"/>
        <w:jc w:val="both"/>
        <w:rPr>
          <w:rFonts w:ascii="Arial" w:hAnsi="Arial" w:cs="Arial"/>
          <w:color w:val="000000" w:themeColor="text1"/>
        </w:rPr>
      </w:pPr>
      <w:r w:rsidRPr="00C83A17">
        <w:rPr>
          <w:rFonts w:ascii="Arial" w:hAnsi="Arial" w:cs="Arial"/>
          <w:color w:val="000000" w:themeColor="text1"/>
        </w:rPr>
        <w:t xml:space="preserve">Se observó que en el Tribunal de Justicia Administrativa cuenta con dos Programas presupuestarios, sin embargo, en el Programa M001- Gestión y Apoyo Institucional no se ejercieron recursos destinados en materia presupuestal, de modo que no se pudo identificar la distribución del gasto por Programa presupuestario, asimismo se identificó que existe una diferencia entre el recurso aprobado y </w:t>
      </w:r>
      <w:r w:rsidR="00BE1BD9" w:rsidRPr="00C83A17">
        <w:rPr>
          <w:rFonts w:ascii="Arial" w:hAnsi="Arial" w:cs="Arial"/>
          <w:color w:val="000000" w:themeColor="text1"/>
        </w:rPr>
        <w:t xml:space="preserve">el </w:t>
      </w:r>
      <w:r w:rsidR="00BE1BD9" w:rsidRPr="00C83A17">
        <w:rPr>
          <w:rFonts w:ascii="Arial" w:hAnsi="Arial" w:cs="Arial"/>
          <w:color w:val="000000" w:themeColor="text1"/>
        </w:rPr>
        <w:lastRenderedPageBreak/>
        <w:t xml:space="preserve">monto devengado por la misma, </w:t>
      </w:r>
      <w:r w:rsidR="00BE1BD9" w:rsidRPr="00C83A17">
        <w:rPr>
          <w:rFonts w:ascii="Arial" w:hAnsi="Arial" w:cs="Arial"/>
        </w:rPr>
        <w:t>los resultados de dicho análisis se muestran en el siguiente cuadro:</w:t>
      </w:r>
      <w:r w:rsidR="00BE1BD9" w:rsidRPr="00C83A17">
        <w:rPr>
          <w:rFonts w:ascii="Arial" w:hAnsi="Arial" w:cs="Arial"/>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67"/>
        <w:gridCol w:w="1677"/>
        <w:gridCol w:w="1815"/>
      </w:tblGrid>
      <w:tr w:rsidR="00EE20A5" w:rsidRPr="0070327C" w14:paraId="666F8B9B" w14:textId="77777777" w:rsidTr="00DE622E">
        <w:trPr>
          <w:trHeight w:val="296"/>
          <w:jc w:val="center"/>
        </w:trPr>
        <w:tc>
          <w:tcPr>
            <w:tcW w:w="7911"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D343203" w14:textId="3FCDED5C" w:rsidR="00EE20A5" w:rsidRPr="0070327C" w:rsidRDefault="00EE20A5" w:rsidP="00BE1BD9">
            <w:pPr>
              <w:spacing w:line="276" w:lineRule="auto"/>
              <w:jc w:val="center"/>
              <w:rPr>
                <w:rFonts w:ascii="Arial" w:hAnsi="Arial" w:cs="Arial"/>
                <w:b/>
                <w:color w:val="000000"/>
                <w:sz w:val="18"/>
                <w:szCs w:val="18"/>
              </w:rPr>
            </w:pPr>
            <w:r w:rsidRPr="0070327C">
              <w:rPr>
                <w:rFonts w:ascii="Arial" w:hAnsi="Arial" w:cs="Arial"/>
                <w:b/>
                <w:color w:val="000000"/>
                <w:sz w:val="18"/>
                <w:szCs w:val="18"/>
              </w:rPr>
              <w:t xml:space="preserve">Distribución de </w:t>
            </w:r>
            <w:r>
              <w:rPr>
                <w:rFonts w:ascii="Arial" w:hAnsi="Arial" w:cs="Arial"/>
                <w:b/>
                <w:color w:val="000000"/>
                <w:sz w:val="18"/>
                <w:szCs w:val="18"/>
              </w:rPr>
              <w:t>r</w:t>
            </w:r>
            <w:r w:rsidRPr="0070327C">
              <w:rPr>
                <w:rFonts w:ascii="Arial" w:hAnsi="Arial" w:cs="Arial"/>
                <w:b/>
                <w:color w:val="000000"/>
                <w:sz w:val="18"/>
                <w:szCs w:val="18"/>
              </w:rPr>
              <w:t>ecursos por Programa Presupuestario</w:t>
            </w:r>
          </w:p>
        </w:tc>
      </w:tr>
      <w:tr w:rsidR="00EE20A5" w:rsidRPr="0070327C" w14:paraId="5FE7F984" w14:textId="77777777" w:rsidTr="00DE622E">
        <w:trPr>
          <w:trHeight w:val="134"/>
          <w:jc w:val="center"/>
        </w:trPr>
        <w:tc>
          <w:tcPr>
            <w:tcW w:w="8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04BB670" w14:textId="77777777" w:rsidR="00EE20A5" w:rsidRPr="0070327C" w:rsidRDefault="00EE20A5" w:rsidP="00B57D8E">
            <w:pPr>
              <w:spacing w:line="276" w:lineRule="auto"/>
              <w:jc w:val="center"/>
              <w:rPr>
                <w:rFonts w:ascii="Arial" w:hAnsi="Arial" w:cs="Arial"/>
                <w:b/>
                <w:color w:val="000000"/>
                <w:sz w:val="18"/>
                <w:szCs w:val="18"/>
              </w:rPr>
            </w:pPr>
            <w:r w:rsidRPr="0070327C">
              <w:rPr>
                <w:rFonts w:ascii="Arial" w:hAnsi="Arial" w:cs="Arial"/>
                <w:b/>
                <w:color w:val="000000"/>
                <w:sz w:val="18"/>
                <w:szCs w:val="18"/>
              </w:rPr>
              <w:t>Clave</w:t>
            </w:r>
          </w:p>
        </w:tc>
        <w:tc>
          <w:tcPr>
            <w:tcW w:w="3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53A2CD90" w14:textId="77777777" w:rsidR="00EE20A5" w:rsidRPr="0070327C" w:rsidRDefault="00EE20A5" w:rsidP="00BE1BD9">
            <w:pPr>
              <w:spacing w:line="276" w:lineRule="auto"/>
              <w:jc w:val="center"/>
              <w:rPr>
                <w:rFonts w:ascii="Arial" w:hAnsi="Arial" w:cs="Arial"/>
                <w:b/>
                <w:sz w:val="18"/>
                <w:szCs w:val="18"/>
              </w:rPr>
            </w:pPr>
            <w:r w:rsidRPr="0070327C">
              <w:rPr>
                <w:rFonts w:ascii="Arial" w:hAnsi="Arial" w:cs="Arial"/>
                <w:b/>
                <w:color w:val="000000"/>
                <w:sz w:val="18"/>
                <w:szCs w:val="18"/>
              </w:rPr>
              <w:t>Programa Presupuestario</w:t>
            </w:r>
          </w:p>
        </w:tc>
        <w:tc>
          <w:tcPr>
            <w:tcW w:w="16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7B4F637" w14:textId="77777777" w:rsidR="00EE20A5" w:rsidRPr="0070327C" w:rsidRDefault="00EE20A5" w:rsidP="00BE1BD9">
            <w:pPr>
              <w:spacing w:line="276" w:lineRule="auto"/>
              <w:jc w:val="center"/>
              <w:rPr>
                <w:rFonts w:ascii="Arial" w:hAnsi="Arial" w:cs="Arial"/>
                <w:b/>
                <w:color w:val="000000"/>
                <w:sz w:val="18"/>
                <w:szCs w:val="18"/>
              </w:rPr>
            </w:pPr>
            <w:r w:rsidRPr="0070327C">
              <w:rPr>
                <w:rFonts w:ascii="Arial" w:hAnsi="Arial" w:cs="Arial"/>
                <w:b/>
                <w:color w:val="000000"/>
                <w:sz w:val="18"/>
                <w:szCs w:val="18"/>
              </w:rPr>
              <w:t>Aprobado</w:t>
            </w:r>
          </w:p>
        </w:tc>
        <w:tc>
          <w:tcPr>
            <w:tcW w:w="18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tcPr>
          <w:p w14:paraId="64565AD8" w14:textId="77777777" w:rsidR="00EE20A5" w:rsidRPr="0070327C" w:rsidRDefault="00EE20A5" w:rsidP="00BE1BD9">
            <w:pPr>
              <w:spacing w:line="276" w:lineRule="auto"/>
              <w:jc w:val="center"/>
              <w:rPr>
                <w:rFonts w:ascii="Arial" w:hAnsi="Arial" w:cs="Arial"/>
                <w:b/>
                <w:color w:val="000000"/>
                <w:sz w:val="18"/>
                <w:szCs w:val="18"/>
              </w:rPr>
            </w:pPr>
            <w:r w:rsidRPr="0070327C">
              <w:rPr>
                <w:rFonts w:ascii="Arial" w:hAnsi="Arial" w:cs="Arial"/>
                <w:b/>
                <w:color w:val="000000"/>
                <w:sz w:val="18"/>
                <w:szCs w:val="18"/>
              </w:rPr>
              <w:t>Devengado</w:t>
            </w:r>
          </w:p>
        </w:tc>
      </w:tr>
      <w:tr w:rsidR="00EE20A5" w:rsidRPr="0070327C" w14:paraId="03CAF67D" w14:textId="77777777" w:rsidTr="00BE1BD9">
        <w:trPr>
          <w:trHeight w:val="70"/>
          <w:jc w:val="center"/>
        </w:trPr>
        <w:tc>
          <w:tcPr>
            <w:tcW w:w="8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0587951" w14:textId="77777777" w:rsidR="00EE20A5" w:rsidRPr="00BE1BD9" w:rsidRDefault="00EE20A5" w:rsidP="00B57D8E">
            <w:pPr>
              <w:spacing w:line="276" w:lineRule="auto"/>
              <w:jc w:val="center"/>
              <w:rPr>
                <w:rFonts w:ascii="Arial" w:hAnsi="Arial" w:cs="Arial"/>
                <w:b/>
                <w:color w:val="000000"/>
                <w:sz w:val="18"/>
                <w:szCs w:val="18"/>
              </w:rPr>
            </w:pPr>
            <w:r w:rsidRPr="00BE1BD9">
              <w:rPr>
                <w:rFonts w:ascii="Arial" w:hAnsi="Arial" w:cs="Arial"/>
                <w:b/>
                <w:color w:val="000000"/>
                <w:sz w:val="18"/>
                <w:szCs w:val="18"/>
              </w:rPr>
              <w:t xml:space="preserve">E149 </w:t>
            </w:r>
          </w:p>
        </w:tc>
        <w:tc>
          <w:tcPr>
            <w:tcW w:w="3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32E647" w14:textId="77777777" w:rsidR="00EE20A5" w:rsidRPr="0070327C" w:rsidRDefault="00EE20A5" w:rsidP="00BE1BD9">
            <w:pPr>
              <w:spacing w:line="276" w:lineRule="auto"/>
              <w:rPr>
                <w:rFonts w:ascii="Arial" w:hAnsi="Arial" w:cs="Arial"/>
                <w:sz w:val="18"/>
                <w:szCs w:val="18"/>
              </w:rPr>
            </w:pPr>
            <w:r w:rsidRPr="0070327C">
              <w:rPr>
                <w:rFonts w:ascii="Arial" w:hAnsi="Arial" w:cs="Arial"/>
                <w:sz w:val="18"/>
                <w:szCs w:val="18"/>
              </w:rPr>
              <w:t>Impartición de Justicia Administrativa</w:t>
            </w:r>
          </w:p>
        </w:tc>
        <w:tc>
          <w:tcPr>
            <w:tcW w:w="16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B90111" w14:textId="5F53443C" w:rsidR="00EE20A5" w:rsidRPr="00BE1BD9" w:rsidRDefault="00EE20A5" w:rsidP="00BE1BD9">
            <w:pPr>
              <w:spacing w:line="276" w:lineRule="auto"/>
              <w:jc w:val="right"/>
              <w:rPr>
                <w:rFonts w:ascii="Arial" w:hAnsi="Arial" w:cs="Arial"/>
                <w:bCs/>
                <w:color w:val="000000"/>
                <w:sz w:val="18"/>
                <w:szCs w:val="18"/>
              </w:rPr>
            </w:pPr>
            <w:r w:rsidRPr="00BE1BD9">
              <w:rPr>
                <w:rFonts w:ascii="Arial" w:hAnsi="Arial" w:cs="Arial"/>
                <w:bCs/>
                <w:color w:val="000000"/>
                <w:sz w:val="18"/>
                <w:szCs w:val="18"/>
              </w:rPr>
              <w:t>$ 35,000,000.00</w:t>
            </w:r>
          </w:p>
        </w:tc>
        <w:tc>
          <w:tcPr>
            <w:tcW w:w="18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bottom"/>
          </w:tcPr>
          <w:p w14:paraId="086AC9C3" w14:textId="77777777" w:rsidR="00EE20A5" w:rsidRPr="0070327C" w:rsidRDefault="00EE20A5" w:rsidP="00BE1BD9">
            <w:pPr>
              <w:spacing w:line="276" w:lineRule="auto"/>
              <w:jc w:val="right"/>
              <w:rPr>
                <w:rFonts w:ascii="Arial" w:hAnsi="Arial" w:cs="Arial"/>
                <w:bCs/>
                <w:color w:val="000000"/>
                <w:sz w:val="18"/>
                <w:szCs w:val="18"/>
              </w:rPr>
            </w:pPr>
            <w:r w:rsidRPr="0070327C">
              <w:rPr>
                <w:rFonts w:ascii="Arial" w:hAnsi="Arial" w:cs="Arial"/>
                <w:bCs/>
                <w:color w:val="000000"/>
                <w:sz w:val="18"/>
                <w:szCs w:val="18"/>
              </w:rPr>
              <w:t>$ 62,258,000.00</w:t>
            </w:r>
          </w:p>
        </w:tc>
      </w:tr>
      <w:tr w:rsidR="00BE1BD9" w:rsidRPr="0070327C" w14:paraId="78D89095" w14:textId="77777777" w:rsidTr="00BE1BD9">
        <w:trPr>
          <w:trHeight w:val="296"/>
          <w:jc w:val="center"/>
        </w:trPr>
        <w:tc>
          <w:tcPr>
            <w:tcW w:w="8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4DA78D" w14:textId="36E4497E" w:rsidR="00BE1BD9" w:rsidRPr="00BE1BD9" w:rsidRDefault="00BE1BD9" w:rsidP="00BE1BD9">
            <w:pPr>
              <w:spacing w:line="276" w:lineRule="auto"/>
              <w:jc w:val="center"/>
              <w:rPr>
                <w:rFonts w:ascii="Arial" w:hAnsi="Arial" w:cs="Arial"/>
                <w:b/>
                <w:color w:val="000000"/>
                <w:sz w:val="18"/>
                <w:szCs w:val="18"/>
              </w:rPr>
            </w:pPr>
            <w:r w:rsidRPr="00BE1BD9">
              <w:rPr>
                <w:rFonts w:ascii="Arial" w:hAnsi="Arial" w:cs="Arial"/>
                <w:b/>
                <w:sz w:val="18"/>
                <w:szCs w:val="18"/>
              </w:rPr>
              <w:t>M001</w:t>
            </w:r>
          </w:p>
        </w:tc>
        <w:tc>
          <w:tcPr>
            <w:tcW w:w="3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218AF0" w14:textId="6EE42F4D" w:rsidR="00BE1BD9" w:rsidRPr="0070327C" w:rsidRDefault="00BE1BD9" w:rsidP="00BE1BD9">
            <w:pPr>
              <w:spacing w:line="276" w:lineRule="auto"/>
              <w:rPr>
                <w:rFonts w:ascii="Arial" w:hAnsi="Arial" w:cs="Arial"/>
                <w:sz w:val="18"/>
                <w:szCs w:val="18"/>
              </w:rPr>
            </w:pPr>
            <w:r w:rsidRPr="0070327C">
              <w:rPr>
                <w:rFonts w:ascii="Arial" w:hAnsi="Arial" w:cs="Arial"/>
                <w:sz w:val="18"/>
                <w:szCs w:val="18"/>
              </w:rPr>
              <w:t>Gestión y Apoyo Institucional</w:t>
            </w:r>
          </w:p>
        </w:tc>
        <w:tc>
          <w:tcPr>
            <w:tcW w:w="16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bottom"/>
          </w:tcPr>
          <w:p w14:paraId="6CDBF44C" w14:textId="42F79695" w:rsidR="00BE1BD9" w:rsidRPr="0070327C" w:rsidRDefault="00BE1BD9" w:rsidP="00BE1BD9">
            <w:pPr>
              <w:spacing w:line="276" w:lineRule="auto"/>
              <w:jc w:val="right"/>
              <w:rPr>
                <w:rFonts w:ascii="Arial" w:hAnsi="Arial" w:cs="Arial"/>
                <w:color w:val="000000"/>
                <w:sz w:val="18"/>
                <w:szCs w:val="18"/>
              </w:rPr>
            </w:pPr>
            <w:r w:rsidRPr="0070327C">
              <w:rPr>
                <w:rFonts w:ascii="Arial" w:hAnsi="Arial" w:cs="Arial"/>
                <w:color w:val="000000"/>
                <w:sz w:val="18"/>
                <w:szCs w:val="18"/>
              </w:rPr>
              <w:t>$ 0.00</w:t>
            </w:r>
          </w:p>
        </w:tc>
        <w:tc>
          <w:tcPr>
            <w:tcW w:w="18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bottom"/>
          </w:tcPr>
          <w:p w14:paraId="4D380304" w14:textId="2F58A47A" w:rsidR="00BE1BD9" w:rsidRPr="0070327C" w:rsidRDefault="00BE1BD9" w:rsidP="00BE1BD9">
            <w:pPr>
              <w:spacing w:line="276" w:lineRule="auto"/>
              <w:jc w:val="right"/>
              <w:rPr>
                <w:rFonts w:ascii="Arial" w:hAnsi="Arial" w:cs="Arial"/>
                <w:bCs/>
                <w:color w:val="000000"/>
                <w:sz w:val="18"/>
                <w:szCs w:val="18"/>
              </w:rPr>
            </w:pPr>
            <w:r w:rsidRPr="0070327C">
              <w:rPr>
                <w:rFonts w:ascii="Arial" w:hAnsi="Arial" w:cs="Arial"/>
                <w:bCs/>
                <w:color w:val="000000"/>
                <w:sz w:val="18"/>
                <w:szCs w:val="18"/>
              </w:rPr>
              <w:t>$ 0.00</w:t>
            </w:r>
          </w:p>
        </w:tc>
      </w:tr>
      <w:tr w:rsidR="00BE1BD9" w:rsidRPr="0070327C" w14:paraId="1414F55E" w14:textId="77777777" w:rsidTr="00173421">
        <w:trPr>
          <w:trHeight w:val="296"/>
          <w:jc w:val="center"/>
        </w:trPr>
        <w:tc>
          <w:tcPr>
            <w:tcW w:w="44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C5ED92D" w14:textId="3008648B" w:rsidR="00BE1BD9" w:rsidRPr="0070327C" w:rsidRDefault="00BE1BD9" w:rsidP="00BE1BD9">
            <w:pPr>
              <w:spacing w:line="276" w:lineRule="auto"/>
              <w:jc w:val="center"/>
              <w:rPr>
                <w:rFonts w:ascii="Arial" w:hAnsi="Arial" w:cs="Arial"/>
                <w:b/>
                <w:sz w:val="18"/>
                <w:szCs w:val="18"/>
              </w:rPr>
            </w:pPr>
            <w:r w:rsidRPr="0070327C">
              <w:rPr>
                <w:rFonts w:ascii="Arial" w:hAnsi="Arial" w:cs="Arial"/>
                <w:b/>
                <w:sz w:val="18"/>
                <w:szCs w:val="18"/>
              </w:rPr>
              <w:t>Total</w:t>
            </w:r>
          </w:p>
        </w:tc>
        <w:tc>
          <w:tcPr>
            <w:tcW w:w="16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tcPr>
          <w:p w14:paraId="7DBE5CEC" w14:textId="77777777" w:rsidR="00BE1BD9" w:rsidRPr="0070327C" w:rsidRDefault="00BE1BD9" w:rsidP="00BE1BD9">
            <w:pPr>
              <w:spacing w:line="276" w:lineRule="auto"/>
              <w:jc w:val="right"/>
              <w:rPr>
                <w:rFonts w:ascii="Arial" w:hAnsi="Arial" w:cs="Arial"/>
                <w:b/>
                <w:color w:val="000000"/>
                <w:sz w:val="18"/>
                <w:szCs w:val="18"/>
              </w:rPr>
            </w:pPr>
            <w:r w:rsidRPr="0070327C">
              <w:rPr>
                <w:rFonts w:ascii="Arial" w:hAnsi="Arial" w:cs="Arial"/>
                <w:b/>
                <w:color w:val="000000"/>
                <w:sz w:val="18"/>
                <w:szCs w:val="18"/>
              </w:rPr>
              <w:t>$ 35,000,000.00</w:t>
            </w:r>
          </w:p>
        </w:tc>
        <w:tc>
          <w:tcPr>
            <w:tcW w:w="18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0AFFD82D" w14:textId="77777777" w:rsidR="00BE1BD9" w:rsidRPr="0070327C" w:rsidRDefault="00BE1BD9" w:rsidP="00BE1BD9">
            <w:pPr>
              <w:spacing w:line="276" w:lineRule="auto"/>
              <w:jc w:val="right"/>
              <w:rPr>
                <w:rFonts w:ascii="Arial" w:hAnsi="Arial" w:cs="Arial"/>
                <w:b/>
                <w:bCs/>
                <w:color w:val="000000"/>
                <w:sz w:val="18"/>
                <w:szCs w:val="18"/>
              </w:rPr>
            </w:pPr>
            <w:r w:rsidRPr="0070327C">
              <w:rPr>
                <w:rFonts w:ascii="Arial" w:hAnsi="Arial" w:cs="Arial"/>
                <w:b/>
                <w:bCs/>
                <w:color w:val="000000"/>
                <w:sz w:val="18"/>
                <w:szCs w:val="18"/>
              </w:rPr>
              <w:t>$ 62,258,000.00</w:t>
            </w:r>
          </w:p>
        </w:tc>
      </w:tr>
      <w:tr w:rsidR="00BE1BD9" w:rsidRPr="0070327C" w14:paraId="363470AA" w14:textId="77777777" w:rsidTr="00173421">
        <w:trPr>
          <w:trHeight w:val="296"/>
          <w:jc w:val="center"/>
        </w:trPr>
        <w:tc>
          <w:tcPr>
            <w:tcW w:w="44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3F0624A7" w14:textId="2109567C" w:rsidR="00BE1BD9" w:rsidRPr="0070327C" w:rsidRDefault="00BE1BD9" w:rsidP="00BE1BD9">
            <w:pPr>
              <w:spacing w:line="276" w:lineRule="auto"/>
              <w:jc w:val="center"/>
              <w:rPr>
                <w:rFonts w:ascii="Arial" w:hAnsi="Arial" w:cs="Arial"/>
                <w:b/>
                <w:sz w:val="18"/>
                <w:szCs w:val="18"/>
              </w:rPr>
            </w:pPr>
            <w:r>
              <w:rPr>
                <w:rFonts w:ascii="Arial" w:hAnsi="Arial" w:cs="Arial"/>
                <w:b/>
                <w:sz w:val="18"/>
                <w:szCs w:val="18"/>
              </w:rPr>
              <w:t>Diferencia Presupuestal</w:t>
            </w:r>
          </w:p>
        </w:tc>
        <w:tc>
          <w:tcPr>
            <w:tcW w:w="349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tcPr>
          <w:p w14:paraId="7727354B" w14:textId="4ACA90A7" w:rsidR="00BE1BD9" w:rsidRPr="0070327C" w:rsidRDefault="00BE1BD9" w:rsidP="00BE1BD9">
            <w:pPr>
              <w:spacing w:line="276" w:lineRule="auto"/>
              <w:jc w:val="center"/>
              <w:rPr>
                <w:rFonts w:ascii="Arial" w:hAnsi="Arial" w:cs="Arial"/>
                <w:b/>
                <w:bCs/>
                <w:color w:val="000000"/>
                <w:sz w:val="18"/>
                <w:szCs w:val="18"/>
              </w:rPr>
            </w:pPr>
            <w:r>
              <w:rPr>
                <w:rFonts w:ascii="Arial" w:hAnsi="Arial" w:cs="Arial"/>
                <w:b/>
                <w:bCs/>
                <w:color w:val="000000"/>
                <w:sz w:val="18"/>
                <w:szCs w:val="18"/>
              </w:rPr>
              <w:t>$ 27,258,000.00</w:t>
            </w:r>
          </w:p>
        </w:tc>
      </w:tr>
      <w:tr w:rsidR="00BE1BD9" w:rsidRPr="0070327C" w14:paraId="22CD4D22" w14:textId="77777777" w:rsidTr="00BE1BD9">
        <w:trPr>
          <w:trHeight w:val="216"/>
          <w:jc w:val="center"/>
        </w:trPr>
        <w:tc>
          <w:tcPr>
            <w:tcW w:w="7911" w:type="dxa"/>
            <w:gridSpan w:val="4"/>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255AADE1" w14:textId="72825930" w:rsidR="00BE1BD9" w:rsidRPr="00EE20A5" w:rsidRDefault="00BE1BD9" w:rsidP="00BE1BD9">
            <w:pPr>
              <w:spacing w:line="276" w:lineRule="auto"/>
              <w:jc w:val="both"/>
              <w:rPr>
                <w:rFonts w:ascii="Arial" w:hAnsi="Arial" w:cs="Arial"/>
                <w:sz w:val="16"/>
                <w:szCs w:val="20"/>
              </w:rPr>
            </w:pPr>
            <w:r w:rsidRPr="001109F9">
              <w:rPr>
                <w:rFonts w:ascii="Arial" w:hAnsi="Arial" w:cs="Arial"/>
                <w:b/>
                <w:color w:val="000000"/>
                <w:sz w:val="14"/>
                <w:szCs w:val="20"/>
              </w:rPr>
              <w:t>Fuente:</w:t>
            </w:r>
            <w:r w:rsidRPr="001109F9">
              <w:rPr>
                <w:rFonts w:ascii="Arial" w:hAnsi="Arial" w:cs="Arial"/>
                <w:color w:val="000000"/>
                <w:sz w:val="14"/>
                <w:szCs w:val="20"/>
              </w:rPr>
              <w:t xml:space="preserve"> </w:t>
            </w:r>
            <w:r w:rsidRPr="001109F9">
              <w:rPr>
                <w:rFonts w:ascii="Arial" w:hAnsi="Arial" w:cs="Arial"/>
                <w:sz w:val="14"/>
                <w:szCs w:val="20"/>
              </w:rPr>
              <w:t xml:space="preserve">Elaborado por la ASEQROO </w:t>
            </w:r>
            <w:r>
              <w:rPr>
                <w:rFonts w:ascii="Arial" w:hAnsi="Arial" w:cs="Arial"/>
                <w:sz w:val="14"/>
                <w:szCs w:val="20"/>
              </w:rPr>
              <w:t>de acuerdo con datos del Tomo V</w:t>
            </w:r>
            <w:r w:rsidRPr="001109F9">
              <w:rPr>
                <w:rFonts w:ascii="Arial" w:hAnsi="Arial" w:cs="Arial"/>
                <w:sz w:val="14"/>
                <w:szCs w:val="20"/>
              </w:rPr>
              <w:t xml:space="preserve"> de la Cuent</w:t>
            </w:r>
            <w:r>
              <w:rPr>
                <w:rFonts w:ascii="Arial" w:hAnsi="Arial" w:cs="Arial"/>
                <w:sz w:val="14"/>
                <w:szCs w:val="20"/>
              </w:rPr>
              <w:t>a Pública 2019, publicada por</w:t>
            </w:r>
            <w:r w:rsidRPr="001109F9">
              <w:rPr>
                <w:rFonts w:ascii="Arial" w:hAnsi="Arial" w:cs="Arial"/>
                <w:sz w:val="14"/>
                <w:szCs w:val="20"/>
              </w:rPr>
              <w:t xml:space="preserve"> SEFIPLAN.</w:t>
            </w:r>
          </w:p>
        </w:tc>
      </w:tr>
    </w:tbl>
    <w:p w14:paraId="190E86B5" w14:textId="02801A8C" w:rsidR="001440E9" w:rsidRDefault="001440E9" w:rsidP="00505C26">
      <w:pPr>
        <w:pStyle w:val="Prrafodelista"/>
        <w:autoSpaceDE w:val="0"/>
        <w:autoSpaceDN w:val="0"/>
        <w:adjustRightInd w:val="0"/>
        <w:spacing w:line="276" w:lineRule="auto"/>
        <w:ind w:left="0"/>
        <w:jc w:val="both"/>
        <w:rPr>
          <w:rFonts w:ascii="Arial" w:hAnsi="Arial" w:cs="Arial"/>
          <w:color w:val="000000" w:themeColor="text1"/>
        </w:rPr>
      </w:pPr>
    </w:p>
    <w:p w14:paraId="3D8AE98F" w14:textId="088901A4" w:rsidR="00BE1BD9" w:rsidRPr="00505C26" w:rsidRDefault="00BE1BD9" w:rsidP="00505C26">
      <w:pPr>
        <w:pStyle w:val="Prrafodelista"/>
        <w:autoSpaceDE w:val="0"/>
        <w:autoSpaceDN w:val="0"/>
        <w:adjustRightInd w:val="0"/>
        <w:spacing w:line="276" w:lineRule="auto"/>
        <w:ind w:left="0"/>
        <w:jc w:val="both"/>
        <w:rPr>
          <w:rFonts w:ascii="Arial" w:hAnsi="Arial" w:cs="Arial"/>
          <w:b/>
          <w:color w:val="000000" w:themeColor="text1"/>
        </w:rPr>
      </w:pPr>
    </w:p>
    <w:p w14:paraId="5D527AB6" w14:textId="77777777" w:rsidR="001440E9" w:rsidRPr="00505C26" w:rsidRDefault="001440E9" w:rsidP="00505C26">
      <w:pPr>
        <w:autoSpaceDE w:val="0"/>
        <w:autoSpaceDN w:val="0"/>
        <w:adjustRightInd w:val="0"/>
        <w:spacing w:line="276" w:lineRule="auto"/>
        <w:jc w:val="both"/>
        <w:rPr>
          <w:rFonts w:ascii="Arial" w:hAnsi="Arial" w:cs="Arial"/>
          <w:b/>
          <w:color w:val="000000" w:themeColor="text1"/>
        </w:rPr>
      </w:pPr>
      <w:r w:rsidRPr="00505C26">
        <w:rPr>
          <w:rFonts w:ascii="Arial" w:hAnsi="Arial" w:cs="Arial"/>
          <w:b/>
          <w:color w:val="000000" w:themeColor="text1"/>
        </w:rPr>
        <w:t>2.</w:t>
      </w:r>
      <w:r w:rsidRPr="00505C26">
        <w:rPr>
          <w:rFonts w:ascii="Arial" w:hAnsi="Arial" w:cs="Arial"/>
          <w:b/>
          <w:color w:val="000000" w:themeColor="text1"/>
        </w:rPr>
        <w:tab/>
      </w:r>
      <w:r w:rsidRPr="00505C26">
        <w:rPr>
          <w:rFonts w:ascii="Arial" w:hAnsi="Arial" w:cs="Arial"/>
          <w:color w:val="000000" w:themeColor="text1"/>
        </w:rPr>
        <w:t>Del análisis a las Matrices de Indicadores para Resultados se pudo comprobar lo siguiente:</w:t>
      </w:r>
    </w:p>
    <w:p w14:paraId="403A715B" w14:textId="77777777" w:rsidR="001440E9" w:rsidRPr="00505C26" w:rsidRDefault="001440E9" w:rsidP="00505C26">
      <w:pPr>
        <w:autoSpaceDE w:val="0"/>
        <w:autoSpaceDN w:val="0"/>
        <w:adjustRightInd w:val="0"/>
        <w:spacing w:line="276" w:lineRule="auto"/>
        <w:jc w:val="both"/>
        <w:rPr>
          <w:rFonts w:ascii="Arial" w:hAnsi="Arial" w:cs="Arial"/>
          <w:b/>
          <w:color w:val="000000" w:themeColor="text1"/>
        </w:rPr>
      </w:pPr>
    </w:p>
    <w:p w14:paraId="1D1B96B6" w14:textId="77777777" w:rsidR="001440E9" w:rsidRPr="00154E06" w:rsidRDefault="001440E9" w:rsidP="00154E06">
      <w:pPr>
        <w:pStyle w:val="Prrafodelista"/>
        <w:numPr>
          <w:ilvl w:val="0"/>
          <w:numId w:val="28"/>
        </w:numPr>
        <w:autoSpaceDE w:val="0"/>
        <w:autoSpaceDN w:val="0"/>
        <w:adjustRightInd w:val="0"/>
        <w:spacing w:line="276" w:lineRule="auto"/>
        <w:ind w:hanging="720"/>
        <w:jc w:val="both"/>
        <w:rPr>
          <w:rFonts w:ascii="Arial" w:hAnsi="Arial" w:cs="Arial"/>
          <w:b/>
          <w:color w:val="000000" w:themeColor="text1"/>
        </w:rPr>
      </w:pPr>
      <w:r w:rsidRPr="00154E06">
        <w:rPr>
          <w:rFonts w:ascii="Arial" w:hAnsi="Arial" w:cs="Arial"/>
          <w:b/>
          <w:color w:val="000000" w:themeColor="text1"/>
        </w:rPr>
        <w:t xml:space="preserve">Respecto a la Lógica Vertical </w:t>
      </w:r>
    </w:p>
    <w:p w14:paraId="4671981D" w14:textId="77777777" w:rsidR="001440E9" w:rsidRPr="00505C26"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color w:val="000000" w:themeColor="text1"/>
        </w:rPr>
        <w:t>En general, la relación causa efecto que se encuentra en los niveles de la Matriz de Indicadores para Resultados tienen relación, ya que los objetivos de las actividades contribuyen a los de los componentes, los objetivos de los componentes contribuyen al propósito, y los objetivos de los propósitos contribuyen a los fines.</w:t>
      </w:r>
    </w:p>
    <w:p w14:paraId="0EE55BC4" w14:textId="77777777" w:rsidR="001440E9" w:rsidRPr="00505C26" w:rsidRDefault="001440E9" w:rsidP="00154E06">
      <w:pPr>
        <w:autoSpaceDE w:val="0"/>
        <w:autoSpaceDN w:val="0"/>
        <w:adjustRightInd w:val="0"/>
        <w:spacing w:line="276" w:lineRule="auto"/>
        <w:ind w:left="709"/>
        <w:jc w:val="both"/>
        <w:rPr>
          <w:rFonts w:ascii="Arial" w:hAnsi="Arial" w:cs="Arial"/>
          <w:b/>
          <w:color w:val="000000" w:themeColor="text1"/>
        </w:rPr>
      </w:pPr>
    </w:p>
    <w:p w14:paraId="0FFE2FC5" w14:textId="196C8C2E" w:rsidR="001440E9" w:rsidRDefault="008E7CAE" w:rsidP="00154E06">
      <w:pPr>
        <w:autoSpaceDE w:val="0"/>
        <w:autoSpaceDN w:val="0"/>
        <w:adjustRightInd w:val="0"/>
        <w:spacing w:line="276" w:lineRule="auto"/>
        <w:ind w:left="709"/>
        <w:jc w:val="both"/>
        <w:rPr>
          <w:rFonts w:ascii="Arial" w:hAnsi="Arial" w:cs="Arial"/>
          <w:color w:val="000000" w:themeColor="text1"/>
        </w:rPr>
      </w:pPr>
      <w:r>
        <w:rPr>
          <w:rFonts w:ascii="Arial" w:hAnsi="Arial" w:cs="Arial"/>
          <w:color w:val="000000" w:themeColor="text1"/>
        </w:rPr>
        <w:t>S</w:t>
      </w:r>
      <w:r w:rsidR="001440E9" w:rsidRPr="00505C26">
        <w:rPr>
          <w:rFonts w:ascii="Arial" w:hAnsi="Arial" w:cs="Arial"/>
          <w:color w:val="000000" w:themeColor="text1"/>
        </w:rPr>
        <w:t>e observó que en el Resumen Narrativo el 60% de los objetivos cumplieron con la sintaxis recomendada para cada nivel (Fines, propósitos, componentes y actividades). Si bien lo antes señalado indica un porcentaje de cumplimiento, se hace la mención de que las inconsistencias se debieron a que un 40% de los objetivos no cumplen con la sintaxis establecida, se presenta en los siguientes aspectos:</w:t>
      </w:r>
    </w:p>
    <w:p w14:paraId="46F75A88" w14:textId="77777777" w:rsidR="008E7CAE" w:rsidRPr="00505C26" w:rsidRDefault="008E7CAE" w:rsidP="00154E06">
      <w:pPr>
        <w:autoSpaceDE w:val="0"/>
        <w:autoSpaceDN w:val="0"/>
        <w:adjustRightInd w:val="0"/>
        <w:spacing w:line="276" w:lineRule="auto"/>
        <w:ind w:left="709"/>
        <w:jc w:val="both"/>
        <w:rPr>
          <w:rFonts w:ascii="Arial" w:hAnsi="Arial" w:cs="Arial"/>
          <w:color w:val="000000" w:themeColor="text1"/>
        </w:rPr>
      </w:pPr>
    </w:p>
    <w:p w14:paraId="257B4992" w14:textId="5CDE2E7F" w:rsidR="001440E9"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b/>
          <w:color w:val="000000" w:themeColor="text1"/>
        </w:rPr>
        <w:t>A nivel Fin</w:t>
      </w:r>
      <w:r w:rsidRPr="00505C26">
        <w:rPr>
          <w:rFonts w:ascii="Arial" w:hAnsi="Arial" w:cs="Arial"/>
          <w:color w:val="000000" w:themeColor="text1"/>
        </w:rPr>
        <w:t xml:space="preserve"> el objetivo presentado del Programa E149 no es claro y no cumple con la sintaxis recomendada en la Metodología del Marco Lógico, ya que no menciona cuál es la contribución del programa al logro de un objetivo superior, por lo que, no se encuentra alineado al Plan Estatal de Desarrollo.</w:t>
      </w:r>
    </w:p>
    <w:p w14:paraId="52AAB45F" w14:textId="77777777" w:rsidR="00D40F8B" w:rsidRPr="00505C26" w:rsidRDefault="00D40F8B" w:rsidP="00154E06">
      <w:pPr>
        <w:autoSpaceDE w:val="0"/>
        <w:autoSpaceDN w:val="0"/>
        <w:adjustRightInd w:val="0"/>
        <w:spacing w:line="276" w:lineRule="auto"/>
        <w:ind w:left="709"/>
        <w:jc w:val="both"/>
        <w:rPr>
          <w:rFonts w:ascii="Arial" w:hAnsi="Arial" w:cs="Arial"/>
          <w:color w:val="000000" w:themeColor="text1"/>
        </w:rPr>
      </w:pPr>
    </w:p>
    <w:p w14:paraId="05C237F1" w14:textId="0F2EB394" w:rsidR="001440E9"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b/>
          <w:color w:val="000000" w:themeColor="text1"/>
        </w:rPr>
        <w:lastRenderedPageBreak/>
        <w:t>A nivel Propósito</w:t>
      </w:r>
      <w:r w:rsidRPr="00505C26">
        <w:rPr>
          <w:rFonts w:ascii="Arial" w:hAnsi="Arial" w:cs="Arial"/>
          <w:color w:val="000000" w:themeColor="text1"/>
        </w:rPr>
        <w:t xml:space="preserve"> el objetivo del Programa E149 no es claro, debido que no cuenta con un Programa Institucional, el cual muestre el resultado que se pretende lograr en la población objetivo, por otro lado, “La ciudadanía percibe los beneficios de la rendición de cuentas a través de los Sistemas de Acceso a la Información” no es el producto final o la razón de ser del Tribunal de Justicia Administrativa.</w:t>
      </w:r>
    </w:p>
    <w:p w14:paraId="0DABFA9A" w14:textId="77777777" w:rsidR="00D40F8B" w:rsidRPr="00505C26" w:rsidRDefault="00D40F8B" w:rsidP="00154E06">
      <w:pPr>
        <w:autoSpaceDE w:val="0"/>
        <w:autoSpaceDN w:val="0"/>
        <w:adjustRightInd w:val="0"/>
        <w:spacing w:line="276" w:lineRule="auto"/>
        <w:ind w:left="709"/>
        <w:jc w:val="both"/>
        <w:rPr>
          <w:rFonts w:ascii="Arial" w:hAnsi="Arial" w:cs="Arial"/>
          <w:color w:val="000000" w:themeColor="text1"/>
        </w:rPr>
      </w:pPr>
    </w:p>
    <w:p w14:paraId="06E8BA1F" w14:textId="3765BA21" w:rsidR="001440E9"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b/>
          <w:color w:val="000000" w:themeColor="text1"/>
        </w:rPr>
        <w:t>A nivel</w:t>
      </w:r>
      <w:r w:rsidRPr="00505C26">
        <w:rPr>
          <w:rFonts w:ascii="Arial" w:hAnsi="Arial" w:cs="Arial"/>
          <w:color w:val="000000" w:themeColor="text1"/>
        </w:rPr>
        <w:t xml:space="preserve"> </w:t>
      </w:r>
      <w:r w:rsidRPr="00505C26">
        <w:rPr>
          <w:rFonts w:ascii="Arial" w:hAnsi="Arial" w:cs="Arial"/>
          <w:b/>
          <w:color w:val="000000" w:themeColor="text1"/>
        </w:rPr>
        <w:t>Componente</w:t>
      </w:r>
      <w:r w:rsidRPr="00505C26">
        <w:rPr>
          <w:rFonts w:ascii="Arial" w:hAnsi="Arial" w:cs="Arial"/>
          <w:color w:val="000000" w:themeColor="text1"/>
        </w:rPr>
        <w:t xml:space="preserve"> la mayoría de los objetivos son claros, ya que contribuyen al logro del nivel superior, sin embargo, en el Programa E149, el Componente C01, no es claro, es decir, no cumple con la sintaxis recomendada.</w:t>
      </w:r>
    </w:p>
    <w:p w14:paraId="54A24626" w14:textId="77777777" w:rsidR="00D40F8B" w:rsidRPr="00505C26" w:rsidRDefault="00D40F8B" w:rsidP="00154E06">
      <w:pPr>
        <w:autoSpaceDE w:val="0"/>
        <w:autoSpaceDN w:val="0"/>
        <w:adjustRightInd w:val="0"/>
        <w:spacing w:line="276" w:lineRule="auto"/>
        <w:ind w:left="709"/>
        <w:jc w:val="both"/>
        <w:rPr>
          <w:rFonts w:ascii="Arial" w:hAnsi="Arial" w:cs="Arial"/>
          <w:color w:val="000000" w:themeColor="text1"/>
        </w:rPr>
      </w:pPr>
    </w:p>
    <w:p w14:paraId="2938F920" w14:textId="53FBC79D" w:rsidR="001440E9"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b/>
          <w:color w:val="000000" w:themeColor="text1"/>
        </w:rPr>
        <w:t>A nivel Actividad</w:t>
      </w:r>
      <w:r w:rsidRPr="00505C26">
        <w:rPr>
          <w:rFonts w:ascii="Arial" w:hAnsi="Arial" w:cs="Arial"/>
          <w:color w:val="000000" w:themeColor="text1"/>
        </w:rPr>
        <w:t xml:space="preserve"> la mayoría de los objetivos contribuyen al logro del nivel superior y son consecuencia directa para los componentes, sin embargo, 3 actividades no cumplen con la sintaxis recomendada y de las mismas 1 actividad no tiene un indicador adecuado para este nivel, por lo tanto, no es clara con respecto a lo que aporta al siguiente nivel.</w:t>
      </w:r>
    </w:p>
    <w:p w14:paraId="7D25B610" w14:textId="77777777" w:rsidR="00DE622E" w:rsidRPr="00505C26" w:rsidRDefault="00DE622E" w:rsidP="00154E06">
      <w:pPr>
        <w:autoSpaceDE w:val="0"/>
        <w:autoSpaceDN w:val="0"/>
        <w:adjustRightInd w:val="0"/>
        <w:spacing w:line="276" w:lineRule="auto"/>
        <w:ind w:left="709"/>
        <w:jc w:val="both"/>
        <w:rPr>
          <w:rFonts w:ascii="Arial" w:hAnsi="Arial" w:cs="Arial"/>
          <w:color w:val="000000" w:themeColor="text1"/>
        </w:rPr>
      </w:pPr>
    </w:p>
    <w:p w14:paraId="41A4CF47" w14:textId="77777777" w:rsidR="001440E9" w:rsidRPr="00154E06" w:rsidRDefault="001440E9" w:rsidP="00154E06">
      <w:pPr>
        <w:pStyle w:val="Prrafodelista"/>
        <w:numPr>
          <w:ilvl w:val="0"/>
          <w:numId w:val="28"/>
        </w:numPr>
        <w:autoSpaceDE w:val="0"/>
        <w:autoSpaceDN w:val="0"/>
        <w:adjustRightInd w:val="0"/>
        <w:spacing w:line="276" w:lineRule="auto"/>
        <w:ind w:hanging="720"/>
        <w:jc w:val="both"/>
        <w:rPr>
          <w:rFonts w:ascii="Arial" w:hAnsi="Arial" w:cs="Arial"/>
          <w:b/>
          <w:color w:val="000000" w:themeColor="text1"/>
        </w:rPr>
      </w:pPr>
      <w:r w:rsidRPr="00154E06">
        <w:rPr>
          <w:rFonts w:ascii="Arial" w:hAnsi="Arial" w:cs="Arial"/>
          <w:b/>
          <w:color w:val="000000" w:themeColor="text1"/>
        </w:rPr>
        <w:t xml:space="preserve">Respecto a la Lógica Horizontal </w:t>
      </w:r>
    </w:p>
    <w:p w14:paraId="6AB0A038" w14:textId="77777777" w:rsidR="001440E9" w:rsidRPr="00505C26"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color w:val="000000" w:themeColor="text1"/>
        </w:rPr>
        <w:t>Los programas cuentan con la estructura necesaria establecida en la Metodología del Marco Lógico, sin embargo, no están bien diseñados debido a que los elementos que los integran no permiten dar un seguimiento lógico y claro de izquierda a derecha de la MIR y a los resultados obtenidos de la implementación de los programas.</w:t>
      </w:r>
    </w:p>
    <w:p w14:paraId="14FF84D9" w14:textId="77777777" w:rsidR="001440E9" w:rsidRPr="00505C26" w:rsidRDefault="001440E9" w:rsidP="00154E06">
      <w:pPr>
        <w:autoSpaceDE w:val="0"/>
        <w:autoSpaceDN w:val="0"/>
        <w:adjustRightInd w:val="0"/>
        <w:spacing w:line="276" w:lineRule="auto"/>
        <w:ind w:left="709"/>
        <w:jc w:val="both"/>
        <w:rPr>
          <w:rFonts w:ascii="Arial" w:hAnsi="Arial" w:cs="Arial"/>
          <w:color w:val="000000" w:themeColor="text1"/>
        </w:rPr>
      </w:pPr>
    </w:p>
    <w:p w14:paraId="29984004" w14:textId="77777777" w:rsidR="001440E9" w:rsidRPr="00505C26" w:rsidRDefault="001440E9" w:rsidP="00154E06">
      <w:pPr>
        <w:spacing w:line="276" w:lineRule="auto"/>
        <w:ind w:left="709"/>
        <w:jc w:val="both"/>
        <w:rPr>
          <w:rFonts w:ascii="Arial" w:hAnsi="Arial" w:cs="Arial"/>
          <w:color w:val="000000" w:themeColor="text1"/>
        </w:rPr>
      </w:pPr>
      <w:r w:rsidRPr="00505C26">
        <w:rPr>
          <w:rFonts w:ascii="Arial" w:hAnsi="Arial" w:cs="Arial"/>
          <w:b/>
          <w:color w:val="000000" w:themeColor="text1"/>
        </w:rPr>
        <w:t xml:space="preserve">Supuestos: </w:t>
      </w:r>
      <w:r w:rsidRPr="00505C26">
        <w:rPr>
          <w:rFonts w:ascii="Arial" w:hAnsi="Arial" w:cs="Arial"/>
          <w:color w:val="000000" w:themeColor="text1"/>
        </w:rPr>
        <w:t>Se identificaron Supuestos para cada nivel de la Matriz de Indicadores para Resultados, un 100% de los supuestos fueron externos y estaban relacionados con el programa, asimismo eran condición para el cumplimiento de los objetivos planteados, sin embargo, estaban redactados como un riesgo al anteponer la palabra “QUE”, es decir, faltó formularlos como condición positiva y convertir el verbo a presente indicativo.</w:t>
      </w:r>
    </w:p>
    <w:p w14:paraId="50DCA25C" w14:textId="77777777" w:rsidR="001440E9" w:rsidRPr="00505C26" w:rsidRDefault="001440E9" w:rsidP="00154E06">
      <w:pPr>
        <w:autoSpaceDE w:val="0"/>
        <w:autoSpaceDN w:val="0"/>
        <w:adjustRightInd w:val="0"/>
        <w:spacing w:line="276" w:lineRule="auto"/>
        <w:ind w:left="709"/>
        <w:jc w:val="both"/>
        <w:rPr>
          <w:rFonts w:ascii="Arial" w:hAnsi="Arial" w:cs="Arial"/>
          <w:b/>
          <w:color w:val="000000" w:themeColor="text1"/>
        </w:rPr>
      </w:pPr>
    </w:p>
    <w:p w14:paraId="3B4D7325" w14:textId="77777777" w:rsidR="001440E9" w:rsidRPr="00505C26" w:rsidRDefault="001440E9" w:rsidP="00154E06">
      <w:pPr>
        <w:autoSpaceDE w:val="0"/>
        <w:autoSpaceDN w:val="0"/>
        <w:adjustRightInd w:val="0"/>
        <w:spacing w:line="276" w:lineRule="auto"/>
        <w:ind w:left="709"/>
        <w:jc w:val="both"/>
        <w:rPr>
          <w:rFonts w:ascii="Arial" w:hAnsi="Arial" w:cs="Arial"/>
          <w:b/>
          <w:color w:val="000000" w:themeColor="text1"/>
        </w:rPr>
      </w:pPr>
      <w:r w:rsidRPr="00505C26">
        <w:rPr>
          <w:rFonts w:ascii="Arial" w:hAnsi="Arial" w:cs="Arial"/>
          <w:b/>
          <w:color w:val="000000" w:themeColor="text1"/>
        </w:rPr>
        <w:lastRenderedPageBreak/>
        <w:t xml:space="preserve">Medios de Verificación: </w:t>
      </w:r>
      <w:r w:rsidRPr="00505C26">
        <w:rPr>
          <w:rFonts w:ascii="Arial" w:hAnsi="Arial" w:cs="Arial"/>
          <w:color w:val="000000" w:themeColor="text1"/>
        </w:rPr>
        <w:t>Se identificaron medios de verificación para cada nivel de la Matriz de Indicadores para Resultados, sin embargo, el 100% de estos no son suficientes, debido a que no mencionan el nombre completo del documento, el nombre del área que genera o publica la información, la periodicidad de la misma, la liga de la página en la que se obtiene la información, igualmente, en algunos casos hacen uso de siglas sin describir su significado.</w:t>
      </w:r>
    </w:p>
    <w:p w14:paraId="25473679" w14:textId="77777777" w:rsidR="001440E9" w:rsidRPr="00505C26" w:rsidRDefault="001440E9" w:rsidP="00154E06">
      <w:pPr>
        <w:autoSpaceDE w:val="0"/>
        <w:autoSpaceDN w:val="0"/>
        <w:adjustRightInd w:val="0"/>
        <w:spacing w:line="276" w:lineRule="auto"/>
        <w:ind w:left="709"/>
        <w:jc w:val="both"/>
        <w:rPr>
          <w:rFonts w:ascii="Arial" w:hAnsi="Arial" w:cs="Arial"/>
          <w:b/>
          <w:color w:val="000000" w:themeColor="text1"/>
        </w:rPr>
      </w:pPr>
    </w:p>
    <w:p w14:paraId="3D1AB725" w14:textId="6B712E75" w:rsidR="00BE1BD9" w:rsidRPr="00DE622E"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b/>
          <w:color w:val="000000" w:themeColor="text1"/>
        </w:rPr>
        <w:t xml:space="preserve">Indicadores: </w:t>
      </w:r>
      <w:r w:rsidRPr="00505C26">
        <w:rPr>
          <w:rFonts w:ascii="Arial" w:hAnsi="Arial" w:cs="Arial"/>
          <w:color w:val="000000" w:themeColor="text1"/>
        </w:rPr>
        <w:t>En la Matriz de Indicadores para Resultados de cada Programa presupuestario del Tribunal se identificaron indicadores para cada nivel (Fin, Propósito, Componentes y Actividades) y el nombre de los indicadores tienen relación con los objetivos de cada nivel, sin embargo el 26.66% de ellos fueron inadecuados, ya que no están planteados con una unidad de medida y no contienen las variables (factores relevantes) que permiten medir el cumplimiento de los objetivos y metas establecidas, por lo que el 73.33% de los indicadores fueron adecuados al cumplir con las características necesarias.</w:t>
      </w:r>
    </w:p>
    <w:p w14:paraId="08FF453F" w14:textId="77777777" w:rsidR="00BE1BD9" w:rsidRDefault="00BE1BD9" w:rsidP="00154E06">
      <w:pPr>
        <w:autoSpaceDE w:val="0"/>
        <w:autoSpaceDN w:val="0"/>
        <w:adjustRightInd w:val="0"/>
        <w:spacing w:line="276" w:lineRule="auto"/>
        <w:ind w:left="709"/>
        <w:jc w:val="both"/>
        <w:rPr>
          <w:rFonts w:ascii="Arial" w:hAnsi="Arial" w:cs="Arial"/>
          <w:b/>
          <w:color w:val="000000" w:themeColor="text1"/>
        </w:rPr>
      </w:pPr>
    </w:p>
    <w:p w14:paraId="4B0BF495" w14:textId="22BEB3AA" w:rsidR="001440E9" w:rsidRPr="00154E06" w:rsidRDefault="001440E9" w:rsidP="00154E06">
      <w:pPr>
        <w:pStyle w:val="Prrafodelista"/>
        <w:numPr>
          <w:ilvl w:val="0"/>
          <w:numId w:val="28"/>
        </w:numPr>
        <w:autoSpaceDE w:val="0"/>
        <w:autoSpaceDN w:val="0"/>
        <w:adjustRightInd w:val="0"/>
        <w:spacing w:line="276" w:lineRule="auto"/>
        <w:ind w:hanging="720"/>
        <w:jc w:val="both"/>
        <w:rPr>
          <w:rFonts w:ascii="Arial" w:hAnsi="Arial" w:cs="Arial"/>
          <w:b/>
          <w:color w:val="000000" w:themeColor="text1"/>
        </w:rPr>
      </w:pPr>
      <w:r w:rsidRPr="00154E06">
        <w:rPr>
          <w:rFonts w:ascii="Arial" w:hAnsi="Arial" w:cs="Arial"/>
          <w:b/>
          <w:color w:val="000000" w:themeColor="text1"/>
        </w:rPr>
        <w:t>Respecto a las Fichas Técnicas de los Indicadores</w:t>
      </w:r>
    </w:p>
    <w:p w14:paraId="24B2D7AA" w14:textId="10A2C1FA" w:rsidR="001440E9" w:rsidRDefault="001440E9" w:rsidP="00154E06">
      <w:pPr>
        <w:autoSpaceDE w:val="0"/>
        <w:autoSpaceDN w:val="0"/>
        <w:adjustRightInd w:val="0"/>
        <w:spacing w:line="276" w:lineRule="auto"/>
        <w:ind w:left="709"/>
        <w:jc w:val="both"/>
        <w:rPr>
          <w:rFonts w:ascii="Arial" w:hAnsi="Arial" w:cs="Arial"/>
          <w:color w:val="000000" w:themeColor="text1"/>
        </w:rPr>
      </w:pPr>
      <w:r w:rsidRPr="00505C26">
        <w:rPr>
          <w:rFonts w:ascii="Arial" w:hAnsi="Arial" w:cs="Arial"/>
          <w:color w:val="000000" w:themeColor="text1"/>
        </w:rPr>
        <w:t>Se constató que el Tribunal de Justicia Administrativa cuenta con fichas técnicas de indicadores elaboradas, y en el análisis de su integración se obtuvieron los siguientes hallazgos:</w:t>
      </w:r>
    </w:p>
    <w:p w14:paraId="4EF840DA" w14:textId="77777777" w:rsidR="00482C12" w:rsidRPr="00505C26" w:rsidRDefault="00482C12" w:rsidP="00154E06">
      <w:pPr>
        <w:autoSpaceDE w:val="0"/>
        <w:autoSpaceDN w:val="0"/>
        <w:adjustRightInd w:val="0"/>
        <w:spacing w:line="276" w:lineRule="auto"/>
        <w:ind w:left="709"/>
        <w:jc w:val="both"/>
        <w:rPr>
          <w:rFonts w:ascii="Arial" w:hAnsi="Arial" w:cs="Arial"/>
          <w:b/>
          <w:color w:val="000000" w:themeColor="text1"/>
        </w:rPr>
      </w:pPr>
    </w:p>
    <w:p w14:paraId="26CDF8CE" w14:textId="77777777" w:rsidR="00482C12" w:rsidRDefault="001440E9" w:rsidP="00C83A17">
      <w:pPr>
        <w:numPr>
          <w:ilvl w:val="0"/>
          <w:numId w:val="18"/>
        </w:numPr>
        <w:autoSpaceDE w:val="0"/>
        <w:autoSpaceDN w:val="0"/>
        <w:adjustRightInd w:val="0"/>
        <w:spacing w:line="276" w:lineRule="auto"/>
        <w:ind w:left="1418" w:hanging="425"/>
        <w:jc w:val="both"/>
        <w:rPr>
          <w:rFonts w:ascii="Arial" w:hAnsi="Arial" w:cs="Arial"/>
          <w:color w:val="000000" w:themeColor="text1"/>
        </w:rPr>
      </w:pPr>
      <w:r w:rsidRPr="00482C12">
        <w:rPr>
          <w:rFonts w:ascii="Arial" w:hAnsi="Arial" w:cs="Arial"/>
          <w:color w:val="000000" w:themeColor="text1"/>
        </w:rPr>
        <w:t>El 20% de los indicadores son insuficientes, considerando que el Método de Cálculo no especificaba la unidad de medida u omitieron escribir símbolos matemáticos en las expresiones aritméticas.</w:t>
      </w:r>
      <w:r w:rsidR="00482C12" w:rsidRPr="00482C12">
        <w:rPr>
          <w:rFonts w:ascii="Arial" w:hAnsi="Arial" w:cs="Arial"/>
          <w:color w:val="000000" w:themeColor="text1"/>
        </w:rPr>
        <w:t xml:space="preserve"> </w:t>
      </w:r>
    </w:p>
    <w:p w14:paraId="6BC4E4ED" w14:textId="01BF668E" w:rsidR="001440E9" w:rsidRPr="00482C12" w:rsidRDefault="001440E9" w:rsidP="00C83A17">
      <w:pPr>
        <w:numPr>
          <w:ilvl w:val="0"/>
          <w:numId w:val="18"/>
        </w:numPr>
        <w:autoSpaceDE w:val="0"/>
        <w:autoSpaceDN w:val="0"/>
        <w:adjustRightInd w:val="0"/>
        <w:spacing w:line="276" w:lineRule="auto"/>
        <w:ind w:left="1418" w:hanging="425"/>
        <w:jc w:val="both"/>
        <w:rPr>
          <w:rFonts w:ascii="Arial" w:hAnsi="Arial" w:cs="Arial"/>
          <w:color w:val="000000" w:themeColor="text1"/>
        </w:rPr>
      </w:pPr>
      <w:r w:rsidRPr="00482C12">
        <w:rPr>
          <w:rFonts w:ascii="Arial" w:hAnsi="Arial" w:cs="Arial"/>
          <w:color w:val="000000" w:themeColor="text1"/>
        </w:rPr>
        <w:t xml:space="preserve">La periodicidad es inadecuada </w:t>
      </w:r>
      <w:r w:rsidRPr="00482C12">
        <w:rPr>
          <w:rFonts w:ascii="Arial" w:hAnsi="Arial" w:cs="Arial"/>
          <w:color w:val="000000" w:themeColor="text1"/>
          <w:lang w:val="es-ES"/>
        </w:rPr>
        <w:t>en la Actividad 1 del Componente 3 del Programa E149</w:t>
      </w:r>
      <w:r w:rsidR="00482C12" w:rsidRPr="00482C12">
        <w:rPr>
          <w:rFonts w:ascii="Arial" w:hAnsi="Arial" w:cs="Arial"/>
          <w:color w:val="000000" w:themeColor="text1"/>
          <w:lang w:val="es-ES"/>
        </w:rPr>
        <w:t>,</w:t>
      </w:r>
      <w:r w:rsidRPr="00482C12">
        <w:rPr>
          <w:rFonts w:ascii="Arial" w:hAnsi="Arial" w:cs="Arial"/>
          <w:color w:val="000000" w:themeColor="text1"/>
          <w:lang w:val="es-ES"/>
        </w:rPr>
        <w:t xml:space="preserve"> </w:t>
      </w:r>
      <w:r w:rsidR="00482C12" w:rsidRPr="00482C12">
        <w:rPr>
          <w:rFonts w:ascii="Arial" w:hAnsi="Arial" w:cs="Arial"/>
          <w:color w:val="000000" w:themeColor="text1"/>
          <w:lang w:val="es-ES"/>
        </w:rPr>
        <w:t xml:space="preserve">en virtud que </w:t>
      </w:r>
      <w:r w:rsidRPr="00482C12">
        <w:rPr>
          <w:rFonts w:ascii="Arial" w:hAnsi="Arial" w:cs="Arial"/>
          <w:color w:val="000000" w:themeColor="text1"/>
          <w:lang w:val="es-ES"/>
        </w:rPr>
        <w:t>establece un periodo de medición anual, siendo que para este nivel la medición recomendada es mensual, trimestral y semestral.</w:t>
      </w:r>
    </w:p>
    <w:p w14:paraId="61D6A356" w14:textId="31B5B9C0" w:rsidR="00FA5106" w:rsidRDefault="00FA5106" w:rsidP="00505C26">
      <w:pPr>
        <w:spacing w:line="276" w:lineRule="auto"/>
        <w:jc w:val="both"/>
        <w:rPr>
          <w:rFonts w:ascii="Arial" w:hAnsi="Arial" w:cs="Arial"/>
          <w:lang w:val="es-ES"/>
        </w:rPr>
      </w:pPr>
    </w:p>
    <w:p w14:paraId="23A3BE6A" w14:textId="77777777" w:rsidR="00D40F8B" w:rsidRPr="00505C26" w:rsidRDefault="00D40F8B" w:rsidP="00505C26">
      <w:pPr>
        <w:spacing w:line="276" w:lineRule="auto"/>
        <w:jc w:val="both"/>
        <w:rPr>
          <w:rFonts w:ascii="Arial" w:hAnsi="Arial" w:cs="Arial"/>
          <w:lang w:val="es-ES"/>
        </w:rPr>
      </w:pPr>
    </w:p>
    <w:p w14:paraId="2B2C9365" w14:textId="77777777" w:rsidR="003E48D7" w:rsidRPr="00505C26" w:rsidRDefault="003E48D7" w:rsidP="00505C26">
      <w:pPr>
        <w:spacing w:line="276" w:lineRule="auto"/>
        <w:jc w:val="both"/>
        <w:rPr>
          <w:rFonts w:ascii="Arial" w:hAnsi="Arial" w:cs="Arial"/>
        </w:rPr>
      </w:pPr>
    </w:p>
    <w:p w14:paraId="2EBA411F" w14:textId="77777777" w:rsidR="00C83A17" w:rsidRDefault="00C83A17" w:rsidP="00505C26">
      <w:pPr>
        <w:spacing w:line="276" w:lineRule="auto"/>
        <w:jc w:val="both"/>
        <w:rPr>
          <w:rFonts w:ascii="Arial" w:hAnsi="Arial" w:cs="Arial"/>
          <w:b/>
          <w:color w:val="000000" w:themeColor="text1"/>
        </w:rPr>
      </w:pPr>
    </w:p>
    <w:p w14:paraId="6EE56F26" w14:textId="02812021" w:rsidR="001440E9" w:rsidRPr="00505C26" w:rsidRDefault="0068796E" w:rsidP="00505C26">
      <w:pPr>
        <w:spacing w:line="276" w:lineRule="auto"/>
        <w:jc w:val="both"/>
        <w:rPr>
          <w:rFonts w:ascii="Arial" w:hAnsi="Arial" w:cs="Arial"/>
          <w:b/>
          <w:color w:val="000000" w:themeColor="text1"/>
        </w:rPr>
      </w:pPr>
      <w:r w:rsidRPr="00505C26">
        <w:rPr>
          <w:rFonts w:ascii="Arial" w:hAnsi="Arial" w:cs="Arial"/>
          <w:b/>
          <w:color w:val="000000" w:themeColor="text1"/>
        </w:rPr>
        <w:t>Normatividad Relacionada con las Observaciones</w:t>
      </w:r>
      <w:r w:rsidR="001440E9" w:rsidRPr="00505C26">
        <w:rPr>
          <w:rFonts w:ascii="Arial" w:hAnsi="Arial" w:cs="Arial"/>
          <w:b/>
          <w:color w:val="000000" w:themeColor="text1"/>
        </w:rPr>
        <w:t>.</w:t>
      </w:r>
    </w:p>
    <w:p w14:paraId="0D60967B" w14:textId="77777777" w:rsidR="001440E9" w:rsidRPr="00505C26" w:rsidRDefault="001440E9" w:rsidP="00505C26">
      <w:pPr>
        <w:spacing w:line="276" w:lineRule="auto"/>
        <w:jc w:val="both"/>
        <w:rPr>
          <w:rFonts w:ascii="Arial" w:hAnsi="Arial" w:cs="Arial"/>
          <w:b/>
          <w:color w:val="000000" w:themeColor="text1"/>
        </w:rPr>
      </w:pPr>
    </w:p>
    <w:p w14:paraId="44F65CC4" w14:textId="77777777" w:rsidR="001440E9" w:rsidRPr="00505C26" w:rsidRDefault="001440E9" w:rsidP="00505C26">
      <w:pPr>
        <w:spacing w:line="276" w:lineRule="auto"/>
        <w:jc w:val="both"/>
        <w:rPr>
          <w:rFonts w:ascii="Arial" w:hAnsi="Arial" w:cs="Arial"/>
        </w:rPr>
      </w:pPr>
      <w:r w:rsidRPr="00505C26">
        <w:rPr>
          <w:rFonts w:ascii="Arial" w:hAnsi="Arial" w:cs="Arial"/>
        </w:rPr>
        <w:t>Constitución Política de los Estados Unidos Mexicanos, artículo 134.</w:t>
      </w:r>
    </w:p>
    <w:p w14:paraId="3DD47C8F" w14:textId="30868C5A" w:rsidR="001440E9" w:rsidRPr="00505C26" w:rsidRDefault="001440E9" w:rsidP="00505C26">
      <w:pPr>
        <w:spacing w:line="276" w:lineRule="auto"/>
        <w:jc w:val="both"/>
        <w:rPr>
          <w:rFonts w:ascii="Arial" w:hAnsi="Arial" w:cs="Arial"/>
        </w:rPr>
      </w:pPr>
      <w:r w:rsidRPr="00505C26">
        <w:rPr>
          <w:rFonts w:ascii="Arial" w:hAnsi="Arial" w:cs="Arial"/>
        </w:rPr>
        <w:t>Ley de Disciplina Financiera de las Entidades Federativ</w:t>
      </w:r>
      <w:r w:rsidR="00FA5106">
        <w:rPr>
          <w:rFonts w:ascii="Arial" w:hAnsi="Arial" w:cs="Arial"/>
        </w:rPr>
        <w:t>as y los Municipios, artículo 5</w:t>
      </w:r>
      <w:r w:rsidRPr="00505C26">
        <w:rPr>
          <w:rFonts w:ascii="Arial" w:hAnsi="Arial" w:cs="Arial"/>
        </w:rPr>
        <w:t xml:space="preserve"> fracción I.</w:t>
      </w:r>
    </w:p>
    <w:p w14:paraId="798DA074" w14:textId="241776AA" w:rsidR="001440E9" w:rsidRPr="00505C26" w:rsidRDefault="001440E9" w:rsidP="00505C26">
      <w:pPr>
        <w:spacing w:line="276" w:lineRule="auto"/>
        <w:jc w:val="both"/>
        <w:rPr>
          <w:rFonts w:ascii="Arial" w:hAnsi="Arial" w:cs="Arial"/>
        </w:rPr>
      </w:pPr>
      <w:r w:rsidRPr="00505C26">
        <w:rPr>
          <w:rFonts w:ascii="Arial" w:hAnsi="Arial" w:cs="Arial"/>
        </w:rPr>
        <w:t>Ley General de Contabili</w:t>
      </w:r>
      <w:r w:rsidR="00FA5106">
        <w:rPr>
          <w:rFonts w:ascii="Arial" w:hAnsi="Arial" w:cs="Arial"/>
        </w:rPr>
        <w:t>dad Gubernamental, artículos 46 fracción III</w:t>
      </w:r>
      <w:r w:rsidRPr="00505C26">
        <w:rPr>
          <w:rFonts w:ascii="Arial" w:hAnsi="Arial" w:cs="Arial"/>
        </w:rPr>
        <w:t xml:space="preserve"> inciso a y c, 54, 61 fracción II y 79.</w:t>
      </w:r>
    </w:p>
    <w:p w14:paraId="547E58AF" w14:textId="6CB08467" w:rsidR="001440E9" w:rsidRPr="00505C26" w:rsidRDefault="001440E9" w:rsidP="00505C26">
      <w:pPr>
        <w:spacing w:line="276" w:lineRule="auto"/>
        <w:jc w:val="both"/>
        <w:rPr>
          <w:rFonts w:ascii="Arial" w:hAnsi="Arial" w:cs="Arial"/>
          <w:bCs/>
        </w:rPr>
      </w:pPr>
      <w:r w:rsidRPr="00505C26">
        <w:rPr>
          <w:rFonts w:ascii="Arial" w:hAnsi="Arial" w:cs="Arial"/>
          <w:bCs/>
        </w:rPr>
        <w:t>Ley General de Responsabilidades Administrativas, artículo 7 incisos I y V.</w:t>
      </w:r>
    </w:p>
    <w:p w14:paraId="0CA1C3CB" w14:textId="77777777" w:rsidR="001440E9" w:rsidRPr="00505C26" w:rsidRDefault="001440E9" w:rsidP="00505C26">
      <w:pPr>
        <w:spacing w:line="276" w:lineRule="auto"/>
        <w:jc w:val="both"/>
        <w:rPr>
          <w:rFonts w:ascii="Arial" w:hAnsi="Arial" w:cs="Arial"/>
        </w:rPr>
      </w:pPr>
      <w:r w:rsidRPr="00505C26">
        <w:rPr>
          <w:rFonts w:ascii="Arial" w:hAnsi="Arial" w:cs="Arial"/>
        </w:rPr>
        <w:t>Constitución Política del Estado Libre y Soberano de Quintana Roo, artículo 166.</w:t>
      </w:r>
    </w:p>
    <w:p w14:paraId="36808CCD" w14:textId="77777777" w:rsidR="001440E9" w:rsidRPr="00505C26" w:rsidRDefault="001440E9" w:rsidP="00505C26">
      <w:pPr>
        <w:spacing w:line="276" w:lineRule="auto"/>
        <w:jc w:val="both"/>
        <w:rPr>
          <w:rFonts w:ascii="Arial" w:hAnsi="Arial" w:cs="Arial"/>
        </w:rPr>
      </w:pPr>
      <w:r w:rsidRPr="00505C26">
        <w:rPr>
          <w:rFonts w:ascii="Arial" w:hAnsi="Arial" w:cs="Arial"/>
        </w:rPr>
        <w:t>Ley de Presupuesto y Gasto Público del Estado de Quintana Roo, artículos 16, 17, 18 y 63.</w:t>
      </w:r>
    </w:p>
    <w:p w14:paraId="16367802" w14:textId="03B3C96C" w:rsidR="001440E9" w:rsidRPr="00505C26" w:rsidRDefault="001440E9" w:rsidP="00505C26">
      <w:pPr>
        <w:spacing w:line="276" w:lineRule="auto"/>
        <w:jc w:val="both"/>
        <w:rPr>
          <w:rFonts w:ascii="Arial" w:hAnsi="Arial" w:cs="Arial"/>
        </w:rPr>
      </w:pPr>
      <w:r w:rsidRPr="00505C26">
        <w:rPr>
          <w:rFonts w:ascii="Arial" w:hAnsi="Arial" w:cs="Arial"/>
        </w:rPr>
        <w:t xml:space="preserve">Código de Justicia Administrativa del Estado de Quintana Roo, </w:t>
      </w:r>
      <w:r w:rsidR="00FA5106">
        <w:rPr>
          <w:rFonts w:ascii="Arial" w:hAnsi="Arial" w:cs="Arial"/>
        </w:rPr>
        <w:t>artículos 184 fracciones I, II, II y IV, 200 apartado A fracciones II y X, 236</w:t>
      </w:r>
      <w:r w:rsidRPr="00505C26">
        <w:rPr>
          <w:rFonts w:ascii="Arial" w:hAnsi="Arial" w:cs="Arial"/>
        </w:rPr>
        <w:t xml:space="preserve"> fracciones II, III, IV y VI y 250 fracciones V, IX y XV. </w:t>
      </w:r>
    </w:p>
    <w:p w14:paraId="0C2414D3" w14:textId="5BBFE549" w:rsidR="001440E9" w:rsidRPr="00505C26" w:rsidRDefault="001440E9" w:rsidP="00505C26">
      <w:pPr>
        <w:spacing w:line="276" w:lineRule="auto"/>
        <w:jc w:val="both"/>
        <w:rPr>
          <w:rFonts w:ascii="Arial" w:hAnsi="Arial" w:cs="Arial"/>
        </w:rPr>
      </w:pPr>
      <w:r w:rsidRPr="00505C26">
        <w:rPr>
          <w:rFonts w:ascii="Arial" w:hAnsi="Arial" w:cs="Arial"/>
        </w:rPr>
        <w:t>Reglamento Interno del Tribunal de Justicia Administrativa del Estad</w:t>
      </w:r>
      <w:r w:rsidR="00FA5106">
        <w:rPr>
          <w:rFonts w:ascii="Arial" w:hAnsi="Arial" w:cs="Arial"/>
        </w:rPr>
        <w:t>o de Quintana Roo, artículos 99</w:t>
      </w:r>
      <w:r w:rsidRPr="00505C26">
        <w:rPr>
          <w:rFonts w:ascii="Arial" w:hAnsi="Arial" w:cs="Arial"/>
        </w:rPr>
        <w:t xml:space="preserve"> fracción III, 111 fracción XI, 114 fracciones VI, VIII, XI, XII, XIII, XVI, XVII, XVIII, XIX, XXI y XXIV y 144 fracciones XII, XIII. </w:t>
      </w:r>
    </w:p>
    <w:p w14:paraId="13B0B2D2" w14:textId="550A1D9A" w:rsidR="0068796E" w:rsidRPr="00022100" w:rsidRDefault="001440E9" w:rsidP="00505C26">
      <w:pPr>
        <w:spacing w:line="276" w:lineRule="auto"/>
        <w:jc w:val="both"/>
        <w:rPr>
          <w:rFonts w:ascii="Arial" w:hAnsi="Arial" w:cs="Arial"/>
          <w:bCs/>
        </w:rPr>
      </w:pPr>
      <w:r w:rsidRPr="00505C26">
        <w:rPr>
          <w:rFonts w:ascii="Arial" w:hAnsi="Arial" w:cs="Arial"/>
          <w:bCs/>
        </w:rPr>
        <w:t>Plan Estatal de Desarrollo 2016-2022, Eje 3, Programa 17 L</w:t>
      </w:r>
      <w:r w:rsidR="00FA5106">
        <w:rPr>
          <w:rFonts w:ascii="Arial" w:hAnsi="Arial" w:cs="Arial"/>
          <w:bCs/>
        </w:rPr>
        <w:t>ínea de acción 12 y Programa 19</w:t>
      </w:r>
      <w:r w:rsidRPr="00505C26">
        <w:rPr>
          <w:rFonts w:ascii="Arial" w:hAnsi="Arial" w:cs="Arial"/>
          <w:bCs/>
        </w:rPr>
        <w:t xml:space="preserve"> Línea de acción 2, 14 y 16. </w:t>
      </w:r>
    </w:p>
    <w:p w14:paraId="223A266E" w14:textId="27098DB5" w:rsidR="000518A1" w:rsidRDefault="000518A1" w:rsidP="00505C26">
      <w:pPr>
        <w:spacing w:line="276" w:lineRule="auto"/>
        <w:jc w:val="both"/>
        <w:rPr>
          <w:rFonts w:ascii="Arial" w:hAnsi="Arial" w:cs="Arial"/>
          <w:color w:val="000000" w:themeColor="text1"/>
        </w:rPr>
      </w:pPr>
    </w:p>
    <w:p w14:paraId="348E1ED0" w14:textId="77777777" w:rsidR="00CA39CB" w:rsidRPr="00505C26" w:rsidRDefault="00CA39CB" w:rsidP="00505C26">
      <w:pPr>
        <w:spacing w:line="276" w:lineRule="auto"/>
        <w:jc w:val="both"/>
        <w:rPr>
          <w:rFonts w:ascii="Arial" w:hAnsi="Arial" w:cs="Arial"/>
          <w:color w:val="000000" w:themeColor="text1"/>
        </w:rPr>
      </w:pPr>
    </w:p>
    <w:p w14:paraId="7C233108" w14:textId="77777777" w:rsidR="00121688" w:rsidRPr="00505C26" w:rsidRDefault="00121688" w:rsidP="00505C26">
      <w:pPr>
        <w:spacing w:line="276" w:lineRule="auto"/>
        <w:jc w:val="both"/>
        <w:outlineLvl w:val="0"/>
        <w:rPr>
          <w:rFonts w:ascii="Arial" w:eastAsia="Calibri" w:hAnsi="Arial" w:cs="Arial"/>
          <w:bCs/>
          <w:lang w:eastAsia="en-US"/>
        </w:rPr>
      </w:pPr>
      <w:bookmarkStart w:id="28" w:name="_Toc51083024"/>
      <w:bookmarkStart w:id="29" w:name="_Toc535405186"/>
      <w:r w:rsidRPr="00505C26">
        <w:rPr>
          <w:rFonts w:ascii="Arial" w:eastAsia="Calibri" w:hAnsi="Arial" w:cs="Arial"/>
          <w:b/>
          <w:bCs/>
          <w:lang w:eastAsia="en-US"/>
        </w:rPr>
        <w:t>Acción Promovida:</w:t>
      </w:r>
      <w:r w:rsidRPr="00505C26">
        <w:rPr>
          <w:rFonts w:ascii="Arial" w:eastAsia="Calibri" w:hAnsi="Arial" w:cs="Arial"/>
          <w:bCs/>
          <w:lang w:eastAsia="en-US"/>
        </w:rPr>
        <w:t xml:space="preserve">   Recomendación al Desempeño</w:t>
      </w:r>
      <w:bookmarkEnd w:id="28"/>
    </w:p>
    <w:p w14:paraId="6D1D02F4" w14:textId="77777777" w:rsidR="00121688" w:rsidRPr="00505C26" w:rsidRDefault="00121688" w:rsidP="00505C26">
      <w:pPr>
        <w:spacing w:line="276" w:lineRule="auto"/>
        <w:jc w:val="both"/>
        <w:outlineLvl w:val="0"/>
        <w:rPr>
          <w:rFonts w:ascii="Arial" w:eastAsia="Calibri" w:hAnsi="Arial" w:cs="Arial"/>
          <w:bCs/>
          <w:lang w:eastAsia="en-US"/>
        </w:rPr>
      </w:pPr>
    </w:p>
    <w:p w14:paraId="0D073F02" w14:textId="732E32A4" w:rsidR="00121688" w:rsidRDefault="00121688" w:rsidP="00505C26">
      <w:pPr>
        <w:spacing w:line="276" w:lineRule="auto"/>
        <w:jc w:val="both"/>
        <w:outlineLvl w:val="0"/>
        <w:rPr>
          <w:rFonts w:ascii="Arial" w:eastAsia="Calibri" w:hAnsi="Arial" w:cs="Arial"/>
          <w:bCs/>
          <w:lang w:eastAsia="en-US"/>
        </w:rPr>
      </w:pPr>
      <w:r w:rsidRPr="00505C26">
        <w:rPr>
          <w:rFonts w:ascii="Arial" w:eastAsia="Calibri" w:hAnsi="Arial" w:cs="Arial"/>
          <w:bCs/>
          <w:lang w:eastAsia="en-US"/>
        </w:rPr>
        <w:t xml:space="preserve">La Auditoría Superior del Estado de Quintana Roo recomienda al </w:t>
      </w:r>
      <w:r w:rsidRPr="00505C26">
        <w:rPr>
          <w:rFonts w:ascii="Arial" w:eastAsia="Calibri" w:hAnsi="Arial" w:cs="Arial"/>
          <w:b/>
          <w:bCs/>
          <w:lang w:eastAsia="en-US"/>
        </w:rPr>
        <w:t>Tribunal</w:t>
      </w:r>
      <w:r w:rsidRPr="00505C26">
        <w:rPr>
          <w:rFonts w:ascii="Arial" w:hAnsi="Arial" w:cs="Arial"/>
          <w:b/>
          <w:bCs/>
        </w:rPr>
        <w:t xml:space="preserve"> de Justicia Administrativa del Estado de Quintana Roo</w:t>
      </w:r>
      <w:r w:rsidRPr="00505C26">
        <w:rPr>
          <w:rFonts w:ascii="Arial" w:eastAsia="Calibri" w:hAnsi="Arial" w:cs="Arial"/>
          <w:bCs/>
          <w:lang w:eastAsia="en-US"/>
        </w:rPr>
        <w:t>, lo siguiente:</w:t>
      </w:r>
    </w:p>
    <w:p w14:paraId="4E59A9D9" w14:textId="47054476" w:rsidR="000767E8" w:rsidRDefault="000767E8" w:rsidP="00505C26">
      <w:pPr>
        <w:spacing w:line="276" w:lineRule="auto"/>
        <w:jc w:val="both"/>
        <w:outlineLvl w:val="0"/>
        <w:rPr>
          <w:rFonts w:ascii="Arial" w:eastAsia="Calibri" w:hAnsi="Arial" w:cs="Arial"/>
          <w:bCs/>
          <w:lang w:eastAsia="en-US"/>
        </w:rPr>
      </w:pPr>
    </w:p>
    <w:p w14:paraId="1A87AA9A" w14:textId="19ACC5E9" w:rsidR="000767E8" w:rsidRDefault="000767E8" w:rsidP="000767E8">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Pr>
          <w:rFonts w:ascii="Arial" w:eastAsia="Calibri" w:hAnsi="Arial" w:cs="Arial"/>
          <w:b/>
          <w:bCs/>
          <w:szCs w:val="20"/>
          <w:lang w:eastAsia="en-US"/>
        </w:rPr>
        <w:t>1</w:t>
      </w:r>
    </w:p>
    <w:p w14:paraId="6A08E6A6" w14:textId="77777777" w:rsidR="00121688" w:rsidRPr="00505C26" w:rsidRDefault="00121688" w:rsidP="00505C26">
      <w:pPr>
        <w:spacing w:line="276" w:lineRule="auto"/>
        <w:jc w:val="both"/>
        <w:rPr>
          <w:rFonts w:ascii="Arial" w:hAnsi="Arial" w:cs="Arial"/>
          <w:b/>
        </w:rPr>
      </w:pPr>
    </w:p>
    <w:p w14:paraId="72854D9C" w14:textId="7EF071F5" w:rsidR="00121688" w:rsidRPr="00505C26" w:rsidRDefault="00121688" w:rsidP="000767E8">
      <w:pPr>
        <w:spacing w:after="160" w:line="276" w:lineRule="auto"/>
        <w:contextualSpacing/>
        <w:jc w:val="both"/>
        <w:rPr>
          <w:rFonts w:ascii="Arial" w:eastAsia="Calibri" w:hAnsi="Arial" w:cs="Arial"/>
          <w:lang w:eastAsia="en-US"/>
        </w:rPr>
      </w:pPr>
      <w:r w:rsidRPr="00505C26">
        <w:rPr>
          <w:rFonts w:ascii="Arial" w:eastAsia="Calibri" w:hAnsi="Arial" w:cs="Arial"/>
          <w:lang w:eastAsia="en-US"/>
        </w:rPr>
        <w:t xml:space="preserve">La entidad deberá presentar un documento válido y oficial en el que se indiquen las ampliaciones presupuestales realizadas o en su caso un análisis del presupuesto aprobado, ejercido y devengado por </w:t>
      </w:r>
      <w:r w:rsidR="00B45A41">
        <w:rPr>
          <w:rFonts w:ascii="Arial" w:eastAsia="Calibri" w:hAnsi="Arial" w:cs="Arial"/>
          <w:lang w:eastAsia="en-US"/>
        </w:rPr>
        <w:t>p</w:t>
      </w:r>
      <w:r w:rsidRPr="00505C26">
        <w:rPr>
          <w:rFonts w:ascii="Arial" w:eastAsia="Calibri" w:hAnsi="Arial" w:cs="Arial"/>
          <w:lang w:eastAsia="en-US"/>
        </w:rPr>
        <w:t>rogramas presupuestarios y por clasificación del objeto de gasto del ejercicio fiscal 2019</w:t>
      </w:r>
      <w:r w:rsidR="00B45A41">
        <w:rPr>
          <w:rFonts w:ascii="Arial" w:eastAsia="Calibri" w:hAnsi="Arial" w:cs="Arial"/>
          <w:lang w:eastAsia="en-US"/>
        </w:rPr>
        <w:t>,</w:t>
      </w:r>
      <w:r w:rsidRPr="00505C26">
        <w:rPr>
          <w:rFonts w:ascii="Arial" w:eastAsia="Calibri" w:hAnsi="Arial" w:cs="Arial"/>
          <w:lang w:eastAsia="en-US"/>
        </w:rPr>
        <w:t xml:space="preserve"> con las reasignaciones finales el </w:t>
      </w:r>
      <w:r w:rsidRPr="00505C26">
        <w:rPr>
          <w:rFonts w:ascii="Arial" w:eastAsia="Calibri" w:hAnsi="Arial" w:cs="Arial"/>
          <w:lang w:eastAsia="en-US"/>
        </w:rPr>
        <w:lastRenderedPageBreak/>
        <w:t>recurso</w:t>
      </w:r>
      <w:r w:rsidR="00B45A41">
        <w:rPr>
          <w:rFonts w:ascii="Arial" w:eastAsia="Calibri" w:hAnsi="Arial" w:cs="Arial"/>
          <w:lang w:eastAsia="en-US"/>
        </w:rPr>
        <w:t>,</w:t>
      </w:r>
      <w:r w:rsidRPr="00505C26">
        <w:rPr>
          <w:rFonts w:ascii="Arial" w:eastAsia="Calibri" w:hAnsi="Arial" w:cs="Arial"/>
          <w:lang w:eastAsia="en-US"/>
        </w:rPr>
        <w:t xml:space="preserve"> para esclarecer las diferencias de las ampliaciones en los montos del presupuesto del Tribunal, haciendo énfasis en </w:t>
      </w:r>
      <w:r w:rsidR="00546A88">
        <w:rPr>
          <w:rFonts w:ascii="Arial" w:eastAsia="Calibri" w:hAnsi="Arial" w:cs="Arial"/>
          <w:lang w:eastAsia="en-US"/>
        </w:rPr>
        <w:t>la falta de asignación de recursos al</w:t>
      </w:r>
      <w:r w:rsidRPr="00505C26">
        <w:rPr>
          <w:rFonts w:ascii="Arial" w:eastAsia="Calibri" w:hAnsi="Arial" w:cs="Arial"/>
          <w:lang w:eastAsia="en-US"/>
        </w:rPr>
        <w:t xml:space="preserve"> </w:t>
      </w:r>
      <w:r w:rsidR="00546A88">
        <w:rPr>
          <w:rFonts w:ascii="Arial" w:eastAsia="Calibri" w:hAnsi="Arial" w:cs="Arial"/>
          <w:lang w:eastAsia="en-US"/>
        </w:rPr>
        <w:t>p</w:t>
      </w:r>
      <w:r w:rsidRPr="00505C26">
        <w:rPr>
          <w:rFonts w:ascii="Arial" w:eastAsia="Calibri" w:hAnsi="Arial" w:cs="Arial"/>
          <w:lang w:eastAsia="en-US"/>
        </w:rPr>
        <w:t xml:space="preserve">rograma </w:t>
      </w:r>
      <w:r w:rsidR="00546A88">
        <w:rPr>
          <w:rFonts w:ascii="Arial" w:eastAsia="Calibri" w:hAnsi="Arial" w:cs="Arial"/>
          <w:lang w:eastAsia="en-US"/>
        </w:rPr>
        <w:t>p</w:t>
      </w:r>
      <w:r w:rsidRPr="00505C26">
        <w:rPr>
          <w:rFonts w:ascii="Arial" w:eastAsia="Calibri" w:hAnsi="Arial" w:cs="Arial"/>
          <w:lang w:eastAsia="en-US"/>
        </w:rPr>
        <w:t>resupuestario M001</w:t>
      </w:r>
      <w:r w:rsidR="00546A88">
        <w:rPr>
          <w:rFonts w:ascii="Arial" w:eastAsia="Calibri" w:hAnsi="Arial" w:cs="Arial"/>
          <w:lang w:eastAsia="en-US"/>
        </w:rPr>
        <w:t xml:space="preserve"> – Gestión y apoyo institucional</w:t>
      </w:r>
      <w:r w:rsidRPr="00505C26">
        <w:rPr>
          <w:rFonts w:ascii="Arial" w:eastAsia="Calibri" w:hAnsi="Arial" w:cs="Arial"/>
          <w:lang w:eastAsia="en-US"/>
        </w:rPr>
        <w:t xml:space="preserve">. </w:t>
      </w:r>
    </w:p>
    <w:p w14:paraId="21CD8A67" w14:textId="6543505B" w:rsidR="00B51A0B" w:rsidRDefault="00B51A0B" w:rsidP="00B51A0B">
      <w:pPr>
        <w:spacing w:line="276" w:lineRule="auto"/>
        <w:contextualSpacing/>
        <w:jc w:val="both"/>
        <w:rPr>
          <w:rFonts w:ascii="Arial" w:eastAsia="Calibri" w:hAnsi="Arial" w:cs="Arial"/>
          <w:b/>
          <w:lang w:eastAsia="en-US"/>
        </w:rPr>
      </w:pPr>
    </w:p>
    <w:p w14:paraId="3F009C1C" w14:textId="07A04E67" w:rsidR="00327194" w:rsidRDefault="00327194" w:rsidP="004F1358">
      <w:pPr>
        <w:spacing w:after="160" w:line="276" w:lineRule="auto"/>
        <w:contextualSpacing/>
        <w:jc w:val="both"/>
        <w:rPr>
          <w:rFonts w:ascii="Arial" w:eastAsia="Calibri" w:hAnsi="Arial" w:cs="Arial"/>
          <w:lang w:eastAsia="en-US"/>
        </w:rPr>
      </w:pPr>
      <w:r w:rsidRPr="004F1358">
        <w:rPr>
          <w:rFonts w:ascii="Arial" w:eastAsia="Calibri" w:hAnsi="Arial" w:cs="Arial"/>
          <w:lang w:eastAsia="en-US"/>
        </w:rPr>
        <w:t xml:space="preserve">Con motivo de la reunión de trabajo efectuada para la presentación de resultados finales de auditoría y observaciones preliminares, mediante oficio número TJA/DA/0131/IX/2020 de fecha 28 de septiembre de 2020, el Tribunal de Justicia Administrativa del Estado de Quintana Roo manifiesta que, en atención a la distribución del gasto por </w:t>
      </w:r>
      <w:r w:rsidR="004F1358">
        <w:rPr>
          <w:rFonts w:ascii="Arial" w:eastAsia="Calibri" w:hAnsi="Arial" w:cs="Arial"/>
          <w:lang w:eastAsia="en-US"/>
        </w:rPr>
        <w:t>p</w:t>
      </w:r>
      <w:r w:rsidRPr="004F1358">
        <w:rPr>
          <w:rFonts w:ascii="Arial" w:eastAsia="Calibri" w:hAnsi="Arial" w:cs="Arial"/>
          <w:lang w:eastAsia="en-US"/>
        </w:rPr>
        <w:t xml:space="preserve">rograma presupuestario, se determinó por practicidad y derivado de la urgencia de la distribución del presupuesto dentro del Sistema de Integración Programática y Presupuestal (SIPRES), previa anuencia de la Secretaría de Finanzas y Planeación (SEFIPLAN), que el recurso se </w:t>
      </w:r>
      <w:r w:rsidR="00546A88">
        <w:rPr>
          <w:rFonts w:ascii="Arial" w:eastAsia="Calibri" w:hAnsi="Arial" w:cs="Arial"/>
          <w:lang w:eastAsia="en-US"/>
        </w:rPr>
        <w:t>aplicará</w:t>
      </w:r>
      <w:r w:rsidRPr="004F1358">
        <w:rPr>
          <w:rFonts w:ascii="Arial" w:eastAsia="Calibri" w:hAnsi="Arial" w:cs="Arial"/>
          <w:lang w:eastAsia="en-US"/>
        </w:rPr>
        <w:t xml:space="preserve"> de forma global y en un solo </w:t>
      </w:r>
      <w:r w:rsidR="004F1358">
        <w:rPr>
          <w:rFonts w:ascii="Arial" w:eastAsia="Calibri" w:hAnsi="Arial" w:cs="Arial"/>
          <w:lang w:eastAsia="en-US"/>
        </w:rPr>
        <w:t>p</w:t>
      </w:r>
      <w:r w:rsidRPr="004F1358">
        <w:rPr>
          <w:rFonts w:ascii="Arial" w:eastAsia="Calibri" w:hAnsi="Arial" w:cs="Arial"/>
          <w:lang w:eastAsia="en-US"/>
        </w:rPr>
        <w:t xml:space="preserve">rograma presupuestal para el ejercicio fiscal 2019. No obstante, para el ejercicio fiscal 2020, se asignaron recursos para ambos Programas presupuestarios, como son el E149-Impartición de Justicia Administrativa y M001-Gestión y Apoyo Institucional, tal y como se presenta en el </w:t>
      </w:r>
      <w:r w:rsidR="00546A88">
        <w:rPr>
          <w:rFonts w:ascii="Arial" w:eastAsia="Calibri" w:hAnsi="Arial" w:cs="Arial"/>
          <w:lang w:eastAsia="en-US"/>
        </w:rPr>
        <w:t>r</w:t>
      </w:r>
      <w:r w:rsidRPr="004F1358">
        <w:rPr>
          <w:rFonts w:ascii="Arial" w:eastAsia="Calibri" w:hAnsi="Arial" w:cs="Arial"/>
          <w:lang w:eastAsia="en-US"/>
        </w:rPr>
        <w:t xml:space="preserve">eporte de </w:t>
      </w:r>
      <w:r w:rsidR="00546A88">
        <w:rPr>
          <w:rFonts w:ascii="Arial" w:eastAsia="Calibri" w:hAnsi="Arial" w:cs="Arial"/>
          <w:lang w:eastAsia="en-US"/>
        </w:rPr>
        <w:t>p</w:t>
      </w:r>
      <w:r w:rsidRPr="004F1358">
        <w:rPr>
          <w:rFonts w:ascii="Arial" w:eastAsia="Calibri" w:hAnsi="Arial" w:cs="Arial"/>
          <w:lang w:eastAsia="en-US"/>
        </w:rPr>
        <w:t xml:space="preserve">resupuesto por </w:t>
      </w:r>
      <w:r w:rsidR="00546A88">
        <w:rPr>
          <w:rFonts w:ascii="Arial" w:eastAsia="Calibri" w:hAnsi="Arial" w:cs="Arial"/>
          <w:lang w:eastAsia="en-US"/>
        </w:rPr>
        <w:t>c</w:t>
      </w:r>
      <w:r w:rsidRPr="004F1358">
        <w:rPr>
          <w:rFonts w:ascii="Arial" w:eastAsia="Calibri" w:hAnsi="Arial" w:cs="Arial"/>
          <w:lang w:eastAsia="en-US"/>
        </w:rPr>
        <w:t xml:space="preserve">lasificación </w:t>
      </w:r>
      <w:r w:rsidR="00546A88">
        <w:rPr>
          <w:rFonts w:ascii="Arial" w:eastAsia="Calibri" w:hAnsi="Arial" w:cs="Arial"/>
          <w:lang w:eastAsia="en-US"/>
        </w:rPr>
        <w:t>f</w:t>
      </w:r>
      <w:r w:rsidRPr="004F1358">
        <w:rPr>
          <w:rFonts w:ascii="Arial" w:eastAsia="Calibri" w:hAnsi="Arial" w:cs="Arial"/>
          <w:lang w:eastAsia="en-US"/>
        </w:rPr>
        <w:t>uncional-</w:t>
      </w:r>
      <w:r w:rsidR="00546A88">
        <w:rPr>
          <w:rFonts w:ascii="Arial" w:eastAsia="Calibri" w:hAnsi="Arial" w:cs="Arial"/>
          <w:lang w:eastAsia="en-US"/>
        </w:rPr>
        <w:t>p</w:t>
      </w:r>
      <w:r w:rsidRPr="004F1358">
        <w:rPr>
          <w:rFonts w:ascii="Arial" w:eastAsia="Calibri" w:hAnsi="Arial" w:cs="Arial"/>
          <w:lang w:eastAsia="en-US"/>
        </w:rPr>
        <w:t xml:space="preserve">rogramática.  </w:t>
      </w:r>
    </w:p>
    <w:p w14:paraId="3183DE59" w14:textId="77777777" w:rsidR="004F1358" w:rsidRPr="004F1358" w:rsidRDefault="004F1358" w:rsidP="004F1358">
      <w:pPr>
        <w:spacing w:after="160" w:line="276" w:lineRule="auto"/>
        <w:contextualSpacing/>
        <w:jc w:val="both"/>
        <w:rPr>
          <w:rFonts w:ascii="Arial" w:eastAsia="Calibri" w:hAnsi="Arial" w:cs="Arial"/>
          <w:lang w:eastAsia="en-US"/>
        </w:rPr>
      </w:pPr>
    </w:p>
    <w:p w14:paraId="1571C4D4" w14:textId="40CCE321" w:rsidR="00327194" w:rsidRPr="004F1358" w:rsidRDefault="00327194" w:rsidP="004F1358">
      <w:pPr>
        <w:spacing w:after="160" w:line="276" w:lineRule="auto"/>
        <w:contextualSpacing/>
        <w:jc w:val="both"/>
        <w:rPr>
          <w:rFonts w:ascii="Arial" w:eastAsia="Calibri" w:hAnsi="Arial" w:cs="Arial"/>
          <w:lang w:eastAsia="en-US"/>
        </w:rPr>
      </w:pPr>
      <w:r w:rsidRPr="004F1358">
        <w:rPr>
          <w:rFonts w:ascii="Arial" w:eastAsia="Calibri" w:hAnsi="Arial" w:cs="Arial"/>
          <w:lang w:eastAsia="en-US"/>
        </w:rPr>
        <w:t>Por otra parte,</w:t>
      </w:r>
      <w:r w:rsidR="00B45A41">
        <w:rPr>
          <w:rFonts w:ascii="Arial" w:eastAsia="Calibri" w:hAnsi="Arial" w:cs="Arial"/>
          <w:lang w:eastAsia="en-US"/>
        </w:rPr>
        <w:t xml:space="preserve"> el Tribunal de Justicia Administrativa</w:t>
      </w:r>
      <w:r w:rsidRPr="004F1358">
        <w:rPr>
          <w:rFonts w:ascii="Arial" w:eastAsia="Calibri" w:hAnsi="Arial" w:cs="Arial"/>
          <w:lang w:eastAsia="en-US"/>
        </w:rPr>
        <w:t xml:space="preserve"> </w:t>
      </w:r>
      <w:r w:rsidR="00B45A41" w:rsidRPr="00E15CFD">
        <w:rPr>
          <w:rFonts w:ascii="Arial" w:hAnsi="Arial" w:cs="Arial"/>
        </w:rPr>
        <w:t>manifiesta que la Secretaría de Finanzas y Planeación autorizó la ampliación presupuestal para el ejercicio fiscal 2019</w:t>
      </w:r>
      <w:r w:rsidRPr="004F1358">
        <w:rPr>
          <w:rFonts w:ascii="Arial" w:eastAsia="Calibri" w:hAnsi="Arial" w:cs="Arial"/>
          <w:lang w:eastAsia="en-US"/>
        </w:rPr>
        <w:t xml:space="preserve">, </w:t>
      </w:r>
      <w:r w:rsidR="00B45A41">
        <w:rPr>
          <w:rFonts w:ascii="Arial" w:eastAsia="Calibri" w:hAnsi="Arial" w:cs="Arial"/>
          <w:lang w:eastAsia="en-US"/>
        </w:rPr>
        <w:t>presentando</w:t>
      </w:r>
      <w:r w:rsidRPr="004F1358">
        <w:rPr>
          <w:rFonts w:ascii="Arial" w:eastAsia="Calibri" w:hAnsi="Arial" w:cs="Arial"/>
          <w:lang w:eastAsia="en-US"/>
        </w:rPr>
        <w:t xml:space="preserve"> copias de los oficios números SEFIPLAN/SSPHCP/DPP/DPPSECSMAG/0073/II/2019, de fecha 08 de febrero de 2019, SEFIPLAN/SSPHCP/DPPP/DPPSECSMAG/842/VIII/2019, de fecha 15 de agosto de 2019 y SEFIPLAN/SSPHCP/DCPSP/DSPSPPA/0680/IX/2019, de fecha 11 de septiembre de 2019.</w:t>
      </w:r>
      <w:r w:rsidR="00B45A41">
        <w:rPr>
          <w:rFonts w:ascii="Arial" w:eastAsia="Calibri" w:hAnsi="Arial" w:cs="Arial"/>
          <w:lang w:eastAsia="en-US"/>
        </w:rPr>
        <w:t xml:space="preserve"> Una vez constatada la información</w:t>
      </w:r>
      <w:r w:rsidRPr="004F1358">
        <w:rPr>
          <w:rFonts w:ascii="Arial" w:eastAsia="Calibri" w:hAnsi="Arial" w:cs="Arial"/>
          <w:lang w:eastAsia="en-US"/>
        </w:rPr>
        <w:t>, se da por atendida la observación.</w:t>
      </w:r>
    </w:p>
    <w:p w14:paraId="4FAEC850" w14:textId="53C9BFF0" w:rsidR="00FA5106" w:rsidRDefault="00FA5106" w:rsidP="00B51A0B">
      <w:pPr>
        <w:spacing w:line="276" w:lineRule="auto"/>
        <w:contextualSpacing/>
        <w:jc w:val="both"/>
        <w:rPr>
          <w:rFonts w:ascii="Arial" w:eastAsia="Calibri" w:hAnsi="Arial" w:cs="Arial"/>
          <w:b/>
          <w:lang w:eastAsia="en-US"/>
        </w:rPr>
      </w:pPr>
    </w:p>
    <w:p w14:paraId="7DD539CB" w14:textId="77777777" w:rsidR="00CA39CB" w:rsidRDefault="00CA39CB" w:rsidP="00B51A0B">
      <w:pPr>
        <w:spacing w:line="276" w:lineRule="auto"/>
        <w:contextualSpacing/>
        <w:jc w:val="both"/>
        <w:rPr>
          <w:rFonts w:ascii="Arial" w:eastAsia="Calibri" w:hAnsi="Arial" w:cs="Arial"/>
          <w:b/>
          <w:lang w:eastAsia="en-US"/>
        </w:rPr>
      </w:pPr>
    </w:p>
    <w:p w14:paraId="5A38681C" w14:textId="0DBEAA3F" w:rsidR="00B51A0B" w:rsidRDefault="00B51A0B" w:rsidP="00B51A0B">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Pr="00287FE3">
        <w:rPr>
          <w:rFonts w:ascii="Arial" w:eastAsia="Calibri" w:hAnsi="Arial" w:cs="Arial"/>
          <w:b/>
          <w:bCs/>
          <w:szCs w:val="20"/>
          <w:lang w:eastAsia="en-US"/>
        </w:rPr>
        <w:t xml:space="preserve"> la Observación </w:t>
      </w:r>
      <w:r>
        <w:rPr>
          <w:rFonts w:ascii="Arial" w:eastAsia="Calibri" w:hAnsi="Arial" w:cs="Arial"/>
          <w:b/>
          <w:bCs/>
          <w:szCs w:val="20"/>
          <w:lang w:eastAsia="en-US"/>
        </w:rPr>
        <w:t>2</w:t>
      </w:r>
    </w:p>
    <w:p w14:paraId="5BAB6B18" w14:textId="77777777" w:rsidR="00B51A0B" w:rsidRPr="00505C26" w:rsidRDefault="00B51A0B" w:rsidP="00B51A0B">
      <w:pPr>
        <w:spacing w:line="276" w:lineRule="auto"/>
        <w:contextualSpacing/>
        <w:jc w:val="both"/>
        <w:rPr>
          <w:rFonts w:ascii="Arial" w:eastAsia="Calibri" w:hAnsi="Arial" w:cs="Arial"/>
          <w:b/>
          <w:lang w:eastAsia="en-US"/>
        </w:rPr>
      </w:pPr>
    </w:p>
    <w:p w14:paraId="56694B12" w14:textId="43AED7D2" w:rsidR="00121688" w:rsidRDefault="00121688" w:rsidP="00327194">
      <w:pPr>
        <w:spacing w:line="276" w:lineRule="auto"/>
        <w:jc w:val="both"/>
        <w:rPr>
          <w:rFonts w:ascii="Arial" w:hAnsi="Arial" w:cs="Arial"/>
        </w:rPr>
      </w:pPr>
      <w:r w:rsidRPr="00505C26">
        <w:rPr>
          <w:rFonts w:ascii="Arial" w:hAnsi="Arial" w:cs="Arial"/>
        </w:rPr>
        <w:t>El Tribunal de Justicia Administrativa deberá adecuar las Matrices de Indicadores</w:t>
      </w:r>
      <w:r w:rsidR="00B51A0B">
        <w:rPr>
          <w:rFonts w:ascii="Arial" w:hAnsi="Arial" w:cs="Arial"/>
        </w:rPr>
        <w:t xml:space="preserve"> </w:t>
      </w:r>
      <w:r w:rsidRPr="00505C26">
        <w:rPr>
          <w:rFonts w:ascii="Arial" w:hAnsi="Arial" w:cs="Arial"/>
        </w:rPr>
        <w:t xml:space="preserve">para Resultados (MIR) de los programas presupuestarios que se aplicarán en el ejercicio 2021, atendiendo los detalles de la observación 2 de esta auditoría y de </w:t>
      </w:r>
      <w:r w:rsidRPr="00505C26">
        <w:rPr>
          <w:rFonts w:ascii="Arial" w:hAnsi="Arial" w:cs="Arial"/>
        </w:rPr>
        <w:lastRenderedPageBreak/>
        <w:t>acuerdo con la Metodología del Marco Lógico (MML), con la finalidad de contar con matrices que tengan una estructura que cumpla con la Lógica Vertical y la Lógica Horizontal.</w:t>
      </w:r>
      <w:r w:rsidR="00327194">
        <w:rPr>
          <w:rFonts w:ascii="Arial" w:hAnsi="Arial" w:cs="Arial"/>
        </w:rPr>
        <w:t xml:space="preserve"> </w:t>
      </w:r>
      <w:r w:rsidRPr="00505C26">
        <w:rPr>
          <w:rFonts w:ascii="Arial" w:hAnsi="Arial" w:cs="Arial"/>
        </w:rPr>
        <w:t>De igual forma, deberá atender las adecuaciones correspondientes a sus fichas técnicas, de manera que éstas cuenten con los elementos necesarios para una correcta evaluación de su desempeño y seguimiento del cumplimiento de los objetivos establecidos.</w:t>
      </w:r>
    </w:p>
    <w:p w14:paraId="259A7752" w14:textId="31E04B13" w:rsidR="004F1358" w:rsidRDefault="004F1358" w:rsidP="00327194">
      <w:pPr>
        <w:spacing w:line="276" w:lineRule="auto"/>
        <w:jc w:val="both"/>
        <w:rPr>
          <w:rFonts w:ascii="Arial" w:hAnsi="Arial" w:cs="Arial"/>
        </w:rPr>
      </w:pPr>
    </w:p>
    <w:p w14:paraId="5CC074C3" w14:textId="0A46C4D2" w:rsidR="0001177A" w:rsidRPr="0001177A" w:rsidRDefault="0001177A" w:rsidP="0001177A">
      <w:pPr>
        <w:spacing w:line="276" w:lineRule="auto"/>
        <w:jc w:val="both"/>
        <w:rPr>
          <w:rFonts w:ascii="Arial" w:hAnsi="Arial" w:cs="Arial"/>
        </w:rPr>
      </w:pPr>
      <w:r w:rsidRPr="0001177A">
        <w:rPr>
          <w:rFonts w:ascii="Arial" w:hAnsi="Arial" w:cs="Arial"/>
        </w:rPr>
        <w:t xml:space="preserve">Con motivo de la reunión de trabajo efectuada para la presentación de resultados finales de auditoría y observaciones preliminares, mediante oficio número TJA/DA/0131/IX/2020 de fecha 28 de septiembre de 2020, el Tribunal de Justicia Administrativa del Estado de Quintana Roo, informa que la elaboración del Programa Institucional del Tribunal de Justicia Administrativa del Estado de Quintana Roo surtirá sus efectos en la Matriz de Indicadores para Resultados y en Fichas Técnicas de los Indicadores, para ejercicio fiscal 2021, por consiguiente, se estableció la fecha compromiso para presentar la Matriz de Indicadores </w:t>
      </w:r>
      <w:r w:rsidR="00B45A41">
        <w:rPr>
          <w:rFonts w:ascii="Arial" w:hAnsi="Arial" w:cs="Arial"/>
        </w:rPr>
        <w:t>para</w:t>
      </w:r>
      <w:r w:rsidRPr="0001177A">
        <w:rPr>
          <w:rFonts w:ascii="Arial" w:hAnsi="Arial" w:cs="Arial"/>
        </w:rPr>
        <w:t xml:space="preserve"> Resultados y sus fichas técnicas, correspondientes al ejercicio 2021, a más tardar el 31 de marzo de 2021, por lo que, la observación persiste hasta su atención.</w:t>
      </w:r>
    </w:p>
    <w:p w14:paraId="0AEF3512" w14:textId="1C542C55" w:rsidR="004563C3" w:rsidRDefault="004563C3" w:rsidP="00505C26">
      <w:pPr>
        <w:spacing w:line="276" w:lineRule="auto"/>
        <w:rPr>
          <w:rFonts w:ascii="Arial" w:hAnsi="Arial" w:cs="Arial"/>
        </w:rPr>
      </w:pPr>
    </w:p>
    <w:p w14:paraId="643573D8" w14:textId="77777777" w:rsidR="00CA39CB" w:rsidRPr="00505C26" w:rsidRDefault="00CA39CB" w:rsidP="00505C26">
      <w:pPr>
        <w:spacing w:line="276" w:lineRule="auto"/>
        <w:rPr>
          <w:rFonts w:ascii="Arial" w:hAnsi="Arial" w:cs="Arial"/>
        </w:rPr>
      </w:pPr>
    </w:p>
    <w:p w14:paraId="15D39B54" w14:textId="400C52A0" w:rsidR="00C16679" w:rsidRPr="00505C26" w:rsidRDefault="000A2E52" w:rsidP="00505C26">
      <w:pPr>
        <w:pStyle w:val="Ttulo2"/>
        <w:numPr>
          <w:ilvl w:val="0"/>
          <w:numId w:val="12"/>
        </w:numPr>
        <w:spacing w:line="276" w:lineRule="auto"/>
        <w:ind w:left="426" w:hanging="142"/>
        <w:rPr>
          <w:rFonts w:cs="Arial"/>
          <w:bCs/>
          <w:szCs w:val="24"/>
        </w:rPr>
      </w:pPr>
      <w:bookmarkStart w:id="30" w:name="_Toc51083027"/>
      <w:r w:rsidRPr="00505C26">
        <w:rPr>
          <w:rFonts w:cs="Arial"/>
          <w:bCs/>
          <w:szCs w:val="24"/>
        </w:rPr>
        <w:t>COMENTARIOS DE LA ENTIDAD FISCALIZADA</w:t>
      </w:r>
      <w:bookmarkEnd w:id="29"/>
      <w:bookmarkEnd w:id="30"/>
    </w:p>
    <w:p w14:paraId="71FAAA4C" w14:textId="77777777" w:rsidR="00C16679" w:rsidRPr="00505C26" w:rsidRDefault="00C16679" w:rsidP="00505C26">
      <w:pPr>
        <w:spacing w:line="276" w:lineRule="auto"/>
        <w:rPr>
          <w:rFonts w:ascii="Arial" w:hAnsi="Arial" w:cs="Arial"/>
        </w:rPr>
      </w:pPr>
    </w:p>
    <w:p w14:paraId="38641C12" w14:textId="1021EC52" w:rsidR="00C16679" w:rsidRDefault="00C16679" w:rsidP="00505C26">
      <w:pPr>
        <w:spacing w:line="276" w:lineRule="auto"/>
        <w:jc w:val="both"/>
        <w:rPr>
          <w:rFonts w:ascii="Arial" w:hAnsi="Arial" w:cs="Arial"/>
          <w:bCs/>
        </w:rPr>
      </w:pPr>
      <w:r w:rsidRPr="00505C26">
        <w:rPr>
          <w:rFonts w:ascii="Arial" w:hAnsi="Arial" w:cs="Arial"/>
        </w:rPr>
        <w:t xml:space="preserve">Es importante señalar que la documentación proporcionada por </w:t>
      </w:r>
      <w:r w:rsidR="00FA5106">
        <w:rPr>
          <w:rFonts w:ascii="Arial" w:hAnsi="Arial" w:cs="Arial"/>
        </w:rPr>
        <w:t>la entidad fiscalizada</w:t>
      </w:r>
      <w:r w:rsidRPr="00505C26">
        <w:rPr>
          <w:rFonts w:ascii="Arial" w:hAnsi="Arial" w:cs="Arial"/>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505C26">
        <w:rPr>
          <w:rFonts w:ascii="Arial" w:hAnsi="Arial" w:cs="Arial"/>
          <w:bCs/>
        </w:rPr>
        <w:t xml:space="preserve"> </w:t>
      </w:r>
    </w:p>
    <w:p w14:paraId="0073CBDA" w14:textId="611CFEE9" w:rsidR="00C83A17" w:rsidRDefault="00C83A17" w:rsidP="00505C26">
      <w:pPr>
        <w:spacing w:line="276" w:lineRule="auto"/>
        <w:jc w:val="both"/>
        <w:rPr>
          <w:rFonts w:ascii="Arial" w:hAnsi="Arial" w:cs="Arial"/>
          <w:bCs/>
        </w:rPr>
      </w:pPr>
    </w:p>
    <w:p w14:paraId="306C1D38" w14:textId="0B2ADC93" w:rsidR="00C83A17" w:rsidRDefault="00C83A17" w:rsidP="00505C26">
      <w:pPr>
        <w:spacing w:line="276" w:lineRule="auto"/>
        <w:jc w:val="both"/>
        <w:rPr>
          <w:rFonts w:ascii="Arial" w:hAnsi="Arial" w:cs="Arial"/>
          <w:bCs/>
        </w:rPr>
      </w:pPr>
    </w:p>
    <w:p w14:paraId="065CA6CF" w14:textId="77777777" w:rsidR="00C83A17" w:rsidRPr="00505C26" w:rsidRDefault="00C83A17" w:rsidP="00505C26">
      <w:pPr>
        <w:spacing w:line="276" w:lineRule="auto"/>
        <w:jc w:val="both"/>
        <w:rPr>
          <w:rFonts w:ascii="Arial" w:hAnsi="Arial" w:cs="Arial"/>
          <w:bCs/>
        </w:rPr>
      </w:pPr>
    </w:p>
    <w:p w14:paraId="7395BF1E" w14:textId="1021470F" w:rsidR="00C16679" w:rsidRDefault="00C16679" w:rsidP="00505C26">
      <w:pPr>
        <w:spacing w:line="276" w:lineRule="auto"/>
        <w:jc w:val="both"/>
        <w:rPr>
          <w:rFonts w:ascii="Arial" w:hAnsi="Arial" w:cs="Arial"/>
          <w:b/>
          <w:bCs/>
        </w:rPr>
      </w:pPr>
    </w:p>
    <w:p w14:paraId="59A22831" w14:textId="1120A49F" w:rsidR="00C16679" w:rsidRPr="00505C26" w:rsidRDefault="000A2E52" w:rsidP="00505C26">
      <w:pPr>
        <w:pStyle w:val="Ttulo2"/>
        <w:numPr>
          <w:ilvl w:val="0"/>
          <w:numId w:val="12"/>
        </w:numPr>
        <w:spacing w:line="276" w:lineRule="auto"/>
        <w:ind w:left="426" w:hanging="142"/>
        <w:rPr>
          <w:rFonts w:cs="Arial"/>
          <w:szCs w:val="24"/>
        </w:rPr>
      </w:pPr>
      <w:bookmarkStart w:id="31" w:name="_Toc535405187"/>
      <w:bookmarkStart w:id="32" w:name="_Toc51083028"/>
      <w:r w:rsidRPr="00505C26">
        <w:rPr>
          <w:rFonts w:cs="Arial"/>
          <w:szCs w:val="24"/>
        </w:rPr>
        <w:lastRenderedPageBreak/>
        <w:t>TABLA DE JUSTIFICACIONES Y ACLARACIONES DE LOS RESULTADOS</w:t>
      </w:r>
      <w:bookmarkEnd w:id="31"/>
      <w:bookmarkEnd w:id="32"/>
    </w:p>
    <w:p w14:paraId="3CECCFBF" w14:textId="77777777" w:rsidR="00C16679" w:rsidRPr="00505C26" w:rsidRDefault="00C16679" w:rsidP="00505C26">
      <w:pPr>
        <w:spacing w:line="276" w:lineRule="auto"/>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505C26" w14:paraId="76F1679E" w14:textId="77777777" w:rsidTr="002E28B2">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505C26" w:rsidRDefault="00C16679" w:rsidP="00505C26">
            <w:pPr>
              <w:spacing w:line="276" w:lineRule="auto"/>
              <w:jc w:val="center"/>
              <w:rPr>
                <w:rFonts w:ascii="Arial" w:hAnsi="Arial" w:cs="Arial"/>
                <w:b/>
                <w:bCs/>
                <w:sz w:val="18"/>
                <w:szCs w:val="18"/>
                <w:lang w:val="es-ES"/>
              </w:rPr>
            </w:pPr>
            <w:r w:rsidRPr="00505C26">
              <w:rPr>
                <w:rFonts w:ascii="Arial" w:hAnsi="Arial" w:cs="Arial"/>
                <w:b/>
                <w:bCs/>
                <w:sz w:val="18"/>
                <w:szCs w:val="18"/>
                <w:lang w:val="es-ES"/>
              </w:rPr>
              <w:t>Concepto</w:t>
            </w:r>
          </w:p>
        </w:tc>
        <w:tc>
          <w:tcPr>
            <w:tcW w:w="2421" w:type="dxa"/>
            <w:shd w:val="clear" w:color="000000" w:fill="D9D9D9"/>
            <w:noWrap/>
            <w:vAlign w:val="center"/>
            <w:hideMark/>
          </w:tcPr>
          <w:p w14:paraId="39406863" w14:textId="77777777" w:rsidR="00C16679" w:rsidRPr="00505C26" w:rsidRDefault="00C16679" w:rsidP="00505C26">
            <w:pPr>
              <w:spacing w:line="276" w:lineRule="auto"/>
              <w:jc w:val="center"/>
              <w:rPr>
                <w:rFonts w:ascii="Arial" w:hAnsi="Arial" w:cs="Arial"/>
                <w:b/>
                <w:bCs/>
                <w:sz w:val="18"/>
                <w:szCs w:val="18"/>
                <w:lang w:val="es-ES"/>
              </w:rPr>
            </w:pPr>
            <w:r w:rsidRPr="00505C26">
              <w:rPr>
                <w:rFonts w:ascii="Arial" w:hAnsi="Arial" w:cs="Arial"/>
                <w:b/>
                <w:bCs/>
                <w:sz w:val="18"/>
                <w:szCs w:val="18"/>
                <w:lang w:val="es-ES"/>
              </w:rPr>
              <w:t>Atención</w:t>
            </w:r>
          </w:p>
        </w:tc>
      </w:tr>
      <w:tr w:rsidR="00C16679" w:rsidRPr="00505C26" w14:paraId="6CE99691" w14:textId="77777777" w:rsidTr="002E28B2">
        <w:trPr>
          <w:trHeight w:val="269"/>
          <w:jc w:val="center"/>
        </w:trPr>
        <w:tc>
          <w:tcPr>
            <w:tcW w:w="6374" w:type="dxa"/>
            <w:tcBorders>
              <w:right w:val="nil"/>
            </w:tcBorders>
            <w:shd w:val="clear" w:color="000000" w:fill="D9D9D9"/>
            <w:noWrap/>
            <w:vAlign w:val="center"/>
          </w:tcPr>
          <w:p w14:paraId="26210772" w14:textId="0BEAE7F7" w:rsidR="00C16679" w:rsidRPr="00505C26" w:rsidRDefault="00B17337" w:rsidP="000D5B34">
            <w:pPr>
              <w:spacing w:line="276" w:lineRule="auto"/>
              <w:jc w:val="both"/>
              <w:rPr>
                <w:rFonts w:ascii="Arial" w:hAnsi="Arial" w:cs="Arial"/>
                <w:b/>
                <w:bCs/>
                <w:sz w:val="18"/>
                <w:szCs w:val="18"/>
                <w:lang w:val="es-ES"/>
              </w:rPr>
            </w:pPr>
            <w:r w:rsidRPr="00505C26">
              <w:rPr>
                <w:rFonts w:ascii="Arial" w:hAnsi="Arial" w:cs="Arial"/>
                <w:b/>
                <w:sz w:val="18"/>
                <w:szCs w:val="18"/>
              </w:rPr>
              <w:t xml:space="preserve">Auditoría de Desempeño a los Programas Presupuestarios, Análisis de Matriz de Indicadores </w:t>
            </w:r>
            <w:r w:rsidR="000D5B34">
              <w:rPr>
                <w:rFonts w:ascii="Arial" w:hAnsi="Arial" w:cs="Arial"/>
                <w:b/>
                <w:sz w:val="18"/>
                <w:szCs w:val="18"/>
              </w:rPr>
              <w:t>de</w:t>
            </w:r>
            <w:r w:rsidRPr="00505C26">
              <w:rPr>
                <w:rFonts w:ascii="Arial" w:hAnsi="Arial" w:cs="Arial"/>
                <w:b/>
                <w:sz w:val="18"/>
                <w:szCs w:val="18"/>
              </w:rPr>
              <w:t xml:space="preserve"> Resultados y revisión del Cumplimiento de los Objetivos, Metas e Indicadores</w:t>
            </w:r>
          </w:p>
        </w:tc>
        <w:tc>
          <w:tcPr>
            <w:tcW w:w="2421" w:type="dxa"/>
            <w:tcBorders>
              <w:left w:val="nil"/>
            </w:tcBorders>
            <w:shd w:val="clear" w:color="000000" w:fill="D9D9D9"/>
            <w:noWrap/>
            <w:vAlign w:val="center"/>
          </w:tcPr>
          <w:p w14:paraId="5C275B62" w14:textId="77777777" w:rsidR="00C16679" w:rsidRPr="00505C26" w:rsidRDefault="00C16679" w:rsidP="00505C26">
            <w:pPr>
              <w:spacing w:line="276" w:lineRule="auto"/>
              <w:jc w:val="both"/>
              <w:rPr>
                <w:rFonts w:ascii="Arial" w:hAnsi="Arial" w:cs="Arial"/>
                <w:b/>
                <w:bCs/>
                <w:sz w:val="18"/>
                <w:szCs w:val="18"/>
                <w:lang w:val="es-ES"/>
              </w:rPr>
            </w:pPr>
          </w:p>
        </w:tc>
      </w:tr>
      <w:tr w:rsidR="00C16679" w:rsidRPr="00505C26" w14:paraId="1487889D" w14:textId="77777777" w:rsidTr="002E28B2">
        <w:trPr>
          <w:trHeight w:val="269"/>
          <w:jc w:val="center"/>
        </w:trPr>
        <w:tc>
          <w:tcPr>
            <w:tcW w:w="6374" w:type="dxa"/>
            <w:shd w:val="clear" w:color="auto" w:fill="auto"/>
            <w:vAlign w:val="center"/>
          </w:tcPr>
          <w:p w14:paraId="58421BF4" w14:textId="77777777" w:rsidR="00C16679" w:rsidRPr="00505C26" w:rsidRDefault="004563C3" w:rsidP="00505C26">
            <w:pPr>
              <w:spacing w:line="276" w:lineRule="auto"/>
              <w:jc w:val="both"/>
              <w:rPr>
                <w:rFonts w:ascii="Arial" w:hAnsi="Arial" w:cs="Arial"/>
                <w:sz w:val="18"/>
                <w:szCs w:val="18"/>
                <w:lang w:val="es-ES"/>
              </w:rPr>
            </w:pPr>
            <w:r w:rsidRPr="00505C26">
              <w:rPr>
                <w:rFonts w:ascii="Arial" w:hAnsi="Arial" w:cs="Arial"/>
                <w:sz w:val="18"/>
                <w:szCs w:val="18"/>
              </w:rPr>
              <w:t>Control Interno/Ambiente de Control</w:t>
            </w:r>
          </w:p>
        </w:tc>
        <w:tc>
          <w:tcPr>
            <w:tcW w:w="2421" w:type="dxa"/>
            <w:shd w:val="clear" w:color="auto" w:fill="auto"/>
            <w:vAlign w:val="center"/>
          </w:tcPr>
          <w:p w14:paraId="7B375367" w14:textId="77777777" w:rsidR="00C16679" w:rsidRPr="00505C26" w:rsidRDefault="00C16679" w:rsidP="00505C26">
            <w:pPr>
              <w:spacing w:line="276" w:lineRule="auto"/>
              <w:jc w:val="center"/>
              <w:rPr>
                <w:rFonts w:ascii="Arial" w:hAnsi="Arial" w:cs="Arial"/>
                <w:sz w:val="18"/>
                <w:szCs w:val="18"/>
                <w:lang w:val="es-ES"/>
              </w:rPr>
            </w:pPr>
            <w:r w:rsidRPr="00505C26">
              <w:rPr>
                <w:rFonts w:ascii="Arial" w:hAnsi="Arial" w:cs="Arial"/>
                <w:sz w:val="18"/>
                <w:szCs w:val="18"/>
                <w:lang w:val="es-ES"/>
              </w:rPr>
              <w:t>Seguimiento</w:t>
            </w:r>
          </w:p>
        </w:tc>
      </w:tr>
      <w:tr w:rsidR="004563C3" w:rsidRPr="00505C26" w14:paraId="5ACDCEC9" w14:textId="77777777" w:rsidTr="002E28B2">
        <w:trPr>
          <w:trHeight w:val="269"/>
          <w:jc w:val="center"/>
        </w:trPr>
        <w:tc>
          <w:tcPr>
            <w:tcW w:w="6374" w:type="dxa"/>
            <w:shd w:val="clear" w:color="auto" w:fill="auto"/>
            <w:vAlign w:val="center"/>
          </w:tcPr>
          <w:p w14:paraId="2E909B9E" w14:textId="77777777" w:rsidR="004563C3" w:rsidRPr="00505C26" w:rsidRDefault="004563C3" w:rsidP="00505C26">
            <w:pPr>
              <w:spacing w:line="276" w:lineRule="auto"/>
              <w:jc w:val="both"/>
              <w:rPr>
                <w:rFonts w:ascii="Arial" w:hAnsi="Arial" w:cs="Arial"/>
                <w:sz w:val="18"/>
                <w:szCs w:val="18"/>
                <w:lang w:val="es-ES"/>
              </w:rPr>
            </w:pPr>
            <w:r w:rsidRPr="00505C26">
              <w:rPr>
                <w:rFonts w:ascii="Arial" w:hAnsi="Arial" w:cs="Arial"/>
                <w:sz w:val="18"/>
                <w:szCs w:val="18"/>
                <w:lang w:val="es-ES"/>
              </w:rPr>
              <w:t>Matriz de Indicadores para Resultados</w:t>
            </w:r>
          </w:p>
        </w:tc>
        <w:tc>
          <w:tcPr>
            <w:tcW w:w="2421" w:type="dxa"/>
            <w:shd w:val="clear" w:color="auto" w:fill="auto"/>
            <w:vAlign w:val="center"/>
          </w:tcPr>
          <w:p w14:paraId="7CAED928" w14:textId="77777777" w:rsidR="004563C3" w:rsidRPr="00505C26" w:rsidRDefault="004563C3" w:rsidP="00505C26">
            <w:pPr>
              <w:spacing w:line="276" w:lineRule="auto"/>
              <w:jc w:val="center"/>
              <w:rPr>
                <w:rFonts w:ascii="Arial" w:hAnsi="Arial" w:cs="Arial"/>
                <w:sz w:val="18"/>
                <w:szCs w:val="18"/>
                <w:lang w:val="es-ES"/>
              </w:rPr>
            </w:pPr>
            <w:r w:rsidRPr="00505C26">
              <w:rPr>
                <w:rFonts w:ascii="Arial" w:hAnsi="Arial" w:cs="Arial"/>
                <w:sz w:val="18"/>
                <w:szCs w:val="18"/>
                <w:lang w:val="es-ES"/>
              </w:rPr>
              <w:t>Seguimiento</w:t>
            </w:r>
          </w:p>
        </w:tc>
      </w:tr>
      <w:tr w:rsidR="004563C3" w:rsidRPr="00505C26" w14:paraId="4DE12A92" w14:textId="77777777" w:rsidTr="002E28B2">
        <w:trPr>
          <w:trHeight w:val="269"/>
          <w:jc w:val="center"/>
        </w:trPr>
        <w:tc>
          <w:tcPr>
            <w:tcW w:w="8795" w:type="dxa"/>
            <w:gridSpan w:val="2"/>
            <w:shd w:val="clear" w:color="auto" w:fill="auto"/>
            <w:vAlign w:val="center"/>
          </w:tcPr>
          <w:p w14:paraId="2482ED95" w14:textId="77777777" w:rsidR="004563C3" w:rsidRPr="00505C26" w:rsidRDefault="004563C3" w:rsidP="00505C26">
            <w:pPr>
              <w:spacing w:line="276" w:lineRule="auto"/>
              <w:jc w:val="both"/>
              <w:rPr>
                <w:rFonts w:ascii="Arial" w:hAnsi="Arial" w:cs="Arial"/>
                <w:sz w:val="18"/>
                <w:szCs w:val="18"/>
                <w:lang w:val="es-ES"/>
              </w:rPr>
            </w:pPr>
            <w:r w:rsidRPr="00505C26">
              <w:rPr>
                <w:rFonts w:ascii="Arial" w:hAnsi="Arial" w:cs="Arial"/>
                <w:b/>
                <w:bCs/>
                <w:sz w:val="18"/>
                <w:szCs w:val="18"/>
                <w:lang w:val="es-ES"/>
              </w:rPr>
              <w:t>Recomendación al Desempeño:</w:t>
            </w:r>
            <w:r w:rsidRPr="00505C26">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505C26"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505C26" w:rsidRDefault="00C16679" w:rsidP="00505C26">
            <w:pPr>
              <w:spacing w:line="276" w:lineRule="auto"/>
              <w:jc w:val="both"/>
              <w:rPr>
                <w:rFonts w:ascii="Arial" w:hAnsi="Arial" w:cs="Arial"/>
                <w:sz w:val="18"/>
                <w:szCs w:val="18"/>
                <w:lang w:val="es-ES"/>
              </w:rPr>
            </w:pPr>
            <w:r w:rsidRPr="00505C26">
              <w:rPr>
                <w:rFonts w:ascii="Arial" w:hAnsi="Arial" w:cs="Arial"/>
                <w:b/>
                <w:bCs/>
                <w:sz w:val="18"/>
                <w:szCs w:val="18"/>
                <w:lang w:val="es-ES"/>
              </w:rPr>
              <w:t>Atendid</w:t>
            </w:r>
            <w:r w:rsidR="004563C3" w:rsidRPr="00505C26">
              <w:rPr>
                <w:rFonts w:ascii="Arial" w:hAnsi="Arial" w:cs="Arial"/>
                <w:b/>
                <w:bCs/>
                <w:sz w:val="18"/>
                <w:szCs w:val="18"/>
                <w:lang w:val="es-ES"/>
              </w:rPr>
              <w:t>o</w:t>
            </w:r>
            <w:r w:rsidR="00454B25" w:rsidRPr="00505C26">
              <w:rPr>
                <w:rFonts w:ascii="Arial" w:hAnsi="Arial" w:cs="Arial"/>
                <w:sz w:val="18"/>
                <w:szCs w:val="18"/>
                <w:lang w:val="es-ES"/>
              </w:rPr>
              <w:t xml:space="preserve">: Información remitida por la </w:t>
            </w:r>
            <w:r w:rsidR="004563C3" w:rsidRPr="00505C26">
              <w:rPr>
                <w:rFonts w:ascii="Arial" w:hAnsi="Arial" w:cs="Arial"/>
                <w:sz w:val="18"/>
                <w:szCs w:val="18"/>
                <w:lang w:val="es-ES"/>
              </w:rPr>
              <w:t xml:space="preserve">Entidad Fiscalizada </w:t>
            </w:r>
            <w:r w:rsidRPr="00505C26">
              <w:rPr>
                <w:rFonts w:ascii="Arial" w:hAnsi="Arial" w:cs="Arial"/>
                <w:sz w:val="18"/>
                <w:szCs w:val="18"/>
                <w:lang w:val="es-ES"/>
              </w:rPr>
              <w:t>en atención</w:t>
            </w:r>
            <w:r w:rsidR="004563C3" w:rsidRPr="00505C26">
              <w:rPr>
                <w:rFonts w:ascii="Arial" w:hAnsi="Arial" w:cs="Arial"/>
                <w:sz w:val="18"/>
                <w:szCs w:val="18"/>
                <w:lang w:val="es-ES"/>
              </w:rPr>
              <w:t xml:space="preserve"> a los resultados preliminares.</w:t>
            </w:r>
          </w:p>
        </w:tc>
      </w:tr>
      <w:tr w:rsidR="00C16679" w:rsidRPr="00505C26"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505C26" w:rsidRDefault="00C16679" w:rsidP="00505C26">
            <w:pPr>
              <w:spacing w:line="276" w:lineRule="auto"/>
              <w:jc w:val="both"/>
              <w:rPr>
                <w:rFonts w:ascii="Arial" w:hAnsi="Arial" w:cs="Arial"/>
                <w:sz w:val="18"/>
                <w:szCs w:val="18"/>
                <w:lang w:val="es-ES"/>
              </w:rPr>
            </w:pPr>
            <w:r w:rsidRPr="00505C26">
              <w:rPr>
                <w:rFonts w:ascii="Arial" w:hAnsi="Arial" w:cs="Arial"/>
                <w:b/>
                <w:bCs/>
                <w:sz w:val="18"/>
                <w:szCs w:val="18"/>
                <w:lang w:val="es-ES"/>
              </w:rPr>
              <w:t>No atendid</w:t>
            </w:r>
            <w:r w:rsidR="004563C3" w:rsidRPr="00505C26">
              <w:rPr>
                <w:rFonts w:ascii="Arial" w:hAnsi="Arial" w:cs="Arial"/>
                <w:b/>
                <w:bCs/>
                <w:sz w:val="18"/>
                <w:szCs w:val="18"/>
                <w:lang w:val="es-ES"/>
              </w:rPr>
              <w:t>o</w:t>
            </w:r>
            <w:r w:rsidRPr="00505C26">
              <w:rPr>
                <w:rFonts w:ascii="Arial" w:hAnsi="Arial" w:cs="Arial"/>
                <w:sz w:val="18"/>
                <w:szCs w:val="18"/>
                <w:lang w:val="es-ES"/>
              </w:rPr>
              <w:t xml:space="preserve">: Las observaciones que no se atendieron en la reunión de trabajo de </w:t>
            </w:r>
            <w:r w:rsidR="00454B25" w:rsidRPr="00505C26">
              <w:rPr>
                <w:rFonts w:ascii="Arial" w:hAnsi="Arial" w:cs="Arial"/>
                <w:sz w:val="18"/>
                <w:szCs w:val="18"/>
                <w:lang w:val="es-ES"/>
              </w:rPr>
              <w:t xml:space="preserve">resultados preliminares por la </w:t>
            </w:r>
            <w:r w:rsidR="004563C3" w:rsidRPr="00505C26">
              <w:rPr>
                <w:rFonts w:ascii="Arial" w:hAnsi="Arial" w:cs="Arial"/>
                <w:sz w:val="18"/>
                <w:szCs w:val="18"/>
                <w:lang w:val="es-ES"/>
              </w:rPr>
              <w:t>Entidad Fiscalizada.</w:t>
            </w:r>
          </w:p>
        </w:tc>
      </w:tr>
      <w:tr w:rsidR="00C16679" w:rsidRPr="00505C26"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505C26" w:rsidRDefault="00C16679" w:rsidP="00505C26">
            <w:pPr>
              <w:spacing w:line="276" w:lineRule="auto"/>
              <w:jc w:val="both"/>
              <w:rPr>
                <w:rFonts w:ascii="Arial" w:hAnsi="Arial" w:cs="Arial"/>
                <w:b/>
                <w:bCs/>
                <w:sz w:val="18"/>
                <w:szCs w:val="18"/>
                <w:lang w:val="es-ES"/>
              </w:rPr>
            </w:pPr>
            <w:r w:rsidRPr="00505C26">
              <w:rPr>
                <w:rFonts w:ascii="Arial" w:hAnsi="Arial" w:cs="Arial"/>
                <w:b/>
                <w:bCs/>
                <w:sz w:val="18"/>
                <w:szCs w:val="18"/>
                <w:lang w:val="es-ES"/>
              </w:rPr>
              <w:t>Seguimiento de las Recomendaciones</w:t>
            </w:r>
            <w:r w:rsidRPr="00505C26">
              <w:rPr>
                <w:rFonts w:ascii="Arial" w:hAnsi="Arial" w:cs="Arial"/>
                <w:sz w:val="18"/>
                <w:szCs w:val="18"/>
                <w:lang w:val="es-ES"/>
              </w:rPr>
              <w:t>: Las observaciones en las que se estableció una fe</w:t>
            </w:r>
            <w:r w:rsidR="00454B25" w:rsidRPr="00505C26">
              <w:rPr>
                <w:rFonts w:ascii="Arial" w:hAnsi="Arial" w:cs="Arial"/>
                <w:sz w:val="18"/>
                <w:szCs w:val="18"/>
                <w:lang w:val="es-ES"/>
              </w:rPr>
              <w:t xml:space="preserve">cha compromiso por parte de la </w:t>
            </w:r>
            <w:r w:rsidR="004563C3" w:rsidRPr="00505C26">
              <w:rPr>
                <w:rFonts w:ascii="Arial" w:hAnsi="Arial" w:cs="Arial"/>
                <w:sz w:val="18"/>
                <w:szCs w:val="18"/>
                <w:lang w:val="es-ES"/>
              </w:rPr>
              <w:t xml:space="preserve">Entidad Fiscalizada </w:t>
            </w:r>
            <w:r w:rsidRPr="00505C26">
              <w:rPr>
                <w:rFonts w:ascii="Arial" w:hAnsi="Arial" w:cs="Arial"/>
                <w:sz w:val="18"/>
                <w:szCs w:val="18"/>
                <w:lang w:val="es-ES"/>
              </w:rPr>
              <w:t>para su atención en la mejora e implementación de las recomendaciones.</w:t>
            </w:r>
          </w:p>
        </w:tc>
      </w:tr>
    </w:tbl>
    <w:p w14:paraId="561C860B" w14:textId="20FCD026" w:rsidR="00C16679" w:rsidRDefault="00C16679" w:rsidP="00505C26">
      <w:pPr>
        <w:spacing w:line="276" w:lineRule="auto"/>
        <w:jc w:val="both"/>
        <w:rPr>
          <w:rFonts w:ascii="Arial" w:hAnsi="Arial" w:cs="Arial"/>
          <w:b/>
          <w:bCs/>
        </w:rPr>
      </w:pPr>
    </w:p>
    <w:p w14:paraId="1DC9F4C2" w14:textId="194BBEEF" w:rsidR="00C83A17" w:rsidRDefault="00C83A17" w:rsidP="00505C26">
      <w:pPr>
        <w:spacing w:line="276" w:lineRule="auto"/>
        <w:jc w:val="both"/>
        <w:rPr>
          <w:rFonts w:ascii="Arial" w:hAnsi="Arial" w:cs="Arial"/>
          <w:b/>
          <w:bCs/>
        </w:rPr>
      </w:pPr>
    </w:p>
    <w:p w14:paraId="0D3AA9A3" w14:textId="1C88CC63" w:rsidR="00C16679" w:rsidRPr="00505C26" w:rsidRDefault="00C16679" w:rsidP="00505C26">
      <w:pPr>
        <w:pStyle w:val="Ttulo2"/>
        <w:numPr>
          <w:ilvl w:val="0"/>
          <w:numId w:val="12"/>
        </w:numPr>
        <w:spacing w:line="276" w:lineRule="auto"/>
        <w:ind w:left="567" w:hanging="283"/>
        <w:rPr>
          <w:rFonts w:cs="Arial"/>
          <w:szCs w:val="24"/>
        </w:rPr>
      </w:pPr>
      <w:bookmarkStart w:id="33" w:name="_Toc535405188"/>
      <w:bookmarkStart w:id="34" w:name="_Toc51083029"/>
      <w:r w:rsidRPr="00505C26">
        <w:rPr>
          <w:rFonts w:cs="Arial"/>
          <w:szCs w:val="24"/>
        </w:rPr>
        <w:t>DICTAMEN</w:t>
      </w:r>
      <w:bookmarkEnd w:id="33"/>
      <w:bookmarkEnd w:id="34"/>
    </w:p>
    <w:p w14:paraId="1E8A88B1" w14:textId="77777777" w:rsidR="00C16679" w:rsidRPr="00505C26" w:rsidRDefault="00C16679" w:rsidP="00505C26">
      <w:pPr>
        <w:spacing w:line="276" w:lineRule="auto"/>
        <w:ind w:right="190"/>
        <w:jc w:val="both"/>
        <w:rPr>
          <w:rFonts w:ascii="Arial" w:hAnsi="Arial" w:cs="Arial"/>
          <w:b/>
        </w:rPr>
      </w:pPr>
    </w:p>
    <w:p w14:paraId="536FE058" w14:textId="543DBC84" w:rsidR="00760A6E" w:rsidRDefault="00B13690" w:rsidP="00760A6E">
      <w:pPr>
        <w:spacing w:line="276" w:lineRule="auto"/>
        <w:jc w:val="both"/>
        <w:rPr>
          <w:rFonts w:ascii="Arial" w:hAnsi="Arial" w:cs="Arial"/>
        </w:rPr>
      </w:pPr>
      <w:r w:rsidRPr="0016491F">
        <w:rPr>
          <w:rFonts w:ascii="Arial" w:hAnsi="Arial" w:cs="Arial"/>
        </w:rPr>
        <w:t xml:space="preserve">El presente dictamen se emite con fecha </w:t>
      </w:r>
      <w:r>
        <w:rPr>
          <w:rFonts w:ascii="Arial" w:hAnsi="Arial" w:cs="Arial"/>
        </w:rPr>
        <w:t>13</w:t>
      </w:r>
      <w:r w:rsidRPr="0016491F">
        <w:rPr>
          <w:rFonts w:ascii="Arial" w:hAnsi="Arial" w:cs="Arial"/>
        </w:rPr>
        <w:t xml:space="preserve"> de octubre de 20</w:t>
      </w:r>
      <w:r>
        <w:rPr>
          <w:rFonts w:ascii="Arial" w:hAnsi="Arial" w:cs="Arial"/>
        </w:rPr>
        <w:t>20</w:t>
      </w:r>
      <w:r w:rsidRPr="0016491F">
        <w:rPr>
          <w:rFonts w:ascii="Arial" w:hAnsi="Arial" w:cs="Arial"/>
        </w:rPr>
        <w:t>, fecha de conclusión de los</w:t>
      </w:r>
      <w:r>
        <w:rPr>
          <w:rFonts w:ascii="Arial" w:hAnsi="Arial" w:cs="Arial"/>
        </w:rPr>
        <w:t xml:space="preserve"> </w:t>
      </w:r>
      <w:r w:rsidRPr="0016491F">
        <w:rPr>
          <w:rFonts w:ascii="Arial" w:hAnsi="Arial" w:cs="Arial"/>
        </w:rPr>
        <w:t>trabajos de auditoría, la cual se practicó sobre la información proporcionada por la entidad</w:t>
      </w:r>
      <w:r>
        <w:rPr>
          <w:rFonts w:ascii="Arial" w:hAnsi="Arial" w:cs="Arial"/>
        </w:rPr>
        <w:t xml:space="preserve"> </w:t>
      </w:r>
      <w:r w:rsidRPr="0016491F">
        <w:rPr>
          <w:rFonts w:ascii="Arial" w:hAnsi="Arial" w:cs="Arial"/>
        </w:rPr>
        <w:t>fiscalizada de cuya veracidad es responsable; fue planeada y desarrollada de acuerdo con</w:t>
      </w:r>
      <w:r>
        <w:rPr>
          <w:rFonts w:ascii="Arial" w:hAnsi="Arial" w:cs="Arial"/>
        </w:rPr>
        <w:t xml:space="preserve"> </w:t>
      </w:r>
      <w:r w:rsidRPr="0016491F">
        <w:rPr>
          <w:rFonts w:ascii="Arial" w:hAnsi="Arial" w:cs="Arial"/>
        </w:rPr>
        <w:t xml:space="preserve">el alcance y objetivo para </w:t>
      </w:r>
      <w:r w:rsidRPr="00D86262">
        <w:rPr>
          <w:rFonts w:ascii="Arial" w:hAnsi="Arial" w:cs="Arial"/>
        </w:rPr>
        <w:t xml:space="preserve">el </w:t>
      </w:r>
      <w:r>
        <w:rPr>
          <w:rFonts w:ascii="Arial" w:hAnsi="Arial" w:cs="Arial"/>
        </w:rPr>
        <w:t>a</w:t>
      </w:r>
      <w:r w:rsidRPr="00D86262">
        <w:rPr>
          <w:rFonts w:ascii="Arial" w:hAnsi="Arial" w:cs="Arial"/>
        </w:rPr>
        <w:t xml:space="preserve">nálisis y revisión </w:t>
      </w:r>
      <w:r w:rsidRPr="00CF2FC2">
        <w:rPr>
          <w:rFonts w:ascii="Arial" w:hAnsi="Arial" w:cs="Arial"/>
        </w:rPr>
        <w:t>de la normativa de mediano plazo y Matriz de Indicadores para Resultados de los programas aprobados</w:t>
      </w:r>
      <w:r w:rsidR="00760A6E" w:rsidRPr="006A1822">
        <w:rPr>
          <w:rFonts w:ascii="Arial" w:hAnsi="Arial"/>
        </w:rPr>
        <w:t xml:space="preserve"> del Tribunal </w:t>
      </w:r>
      <w:r w:rsidR="00760A6E">
        <w:rPr>
          <w:rFonts w:ascii="Arial" w:hAnsi="Arial"/>
        </w:rPr>
        <w:t xml:space="preserve">de Justicia Administrativa </w:t>
      </w:r>
      <w:r w:rsidR="00760A6E" w:rsidRPr="006A1822">
        <w:rPr>
          <w:rFonts w:ascii="Arial" w:hAnsi="Arial"/>
        </w:rPr>
        <w:t xml:space="preserve">de Quintana Roo, </w:t>
      </w:r>
      <w:r w:rsidR="002A2C44" w:rsidRPr="00CF2FC2">
        <w:rPr>
          <w:rFonts w:ascii="Arial" w:hAnsi="Arial" w:cs="Arial"/>
        </w:rPr>
        <w:t>con el fin de verificar la homologación de la normativa</w:t>
      </w:r>
      <w:r w:rsidR="002A2C44">
        <w:rPr>
          <w:rFonts w:ascii="Arial" w:hAnsi="Arial" w:cs="Arial"/>
        </w:rPr>
        <w:t xml:space="preserve"> y </w:t>
      </w:r>
      <w:r w:rsidR="002A2C44" w:rsidRPr="00F8581B">
        <w:rPr>
          <w:rFonts w:ascii="Arial" w:hAnsi="Arial" w:cs="Arial"/>
        </w:rPr>
        <w:t xml:space="preserve">el cumplimiento de las disposiciones señaladas en la Metodología de Marco Lógico </w:t>
      </w:r>
      <w:r w:rsidR="002A2C44">
        <w:rPr>
          <w:rFonts w:ascii="Arial" w:hAnsi="Arial" w:cs="Arial"/>
        </w:rPr>
        <w:t>para</w:t>
      </w:r>
      <w:r w:rsidR="002A2C44" w:rsidRPr="00F8581B">
        <w:rPr>
          <w:rFonts w:ascii="Arial" w:hAnsi="Arial" w:cs="Arial"/>
        </w:rPr>
        <w:t xml:space="preserve"> la elaboración de las Matrices de Indicadores para Resultados, así como corroborar el cumplimiento de los objetivos y metas de los indicadores establecidos en el presupuesto de egresos. Se aplicaron los procedimientos y las pruebas selectivas que se consideraron necesarios; en consecuencia, existe una base razonable para sustentar el presente dictamen.</w:t>
      </w:r>
    </w:p>
    <w:p w14:paraId="5F75F0B6" w14:textId="77777777" w:rsidR="002A2C44" w:rsidRPr="006A1822" w:rsidRDefault="002A2C44" w:rsidP="00760A6E">
      <w:pPr>
        <w:spacing w:line="276" w:lineRule="auto"/>
        <w:jc w:val="both"/>
        <w:rPr>
          <w:rFonts w:ascii="Arial" w:hAnsi="Arial"/>
        </w:rPr>
      </w:pPr>
    </w:p>
    <w:p w14:paraId="05FE677D" w14:textId="77777777" w:rsidR="00760A6E" w:rsidRDefault="00760A6E" w:rsidP="00760A6E">
      <w:pPr>
        <w:spacing w:line="276" w:lineRule="auto"/>
        <w:jc w:val="both"/>
        <w:rPr>
          <w:rFonts w:ascii="Arial" w:hAnsi="Arial"/>
        </w:rPr>
      </w:pPr>
      <w:r w:rsidRPr="006A1822">
        <w:rPr>
          <w:rFonts w:ascii="Arial" w:hAnsi="Arial"/>
        </w:rPr>
        <w:lastRenderedPageBreak/>
        <w:t>En opinión de la Auditoría Superior del Estado de Quintana Roo se identificaron oportunidades, áreas de mejora, fortalezas y debilidades que se deberán atender como parte de las recomendaciones emitidas.</w:t>
      </w:r>
    </w:p>
    <w:p w14:paraId="0BD4DFE2" w14:textId="77777777" w:rsidR="00760A6E" w:rsidRDefault="00760A6E" w:rsidP="00760A6E">
      <w:pPr>
        <w:spacing w:line="276" w:lineRule="auto"/>
        <w:jc w:val="both"/>
        <w:rPr>
          <w:rFonts w:ascii="Arial" w:hAnsi="Arial"/>
        </w:rPr>
      </w:pPr>
    </w:p>
    <w:p w14:paraId="009DA0CB" w14:textId="77777777" w:rsidR="00760A6E" w:rsidRDefault="00760A6E" w:rsidP="00760A6E">
      <w:pPr>
        <w:spacing w:line="276" w:lineRule="auto"/>
        <w:jc w:val="both"/>
        <w:rPr>
          <w:rFonts w:ascii="Arial" w:hAnsi="Arial" w:cs="Arial"/>
        </w:rPr>
      </w:pPr>
      <w:r>
        <w:rPr>
          <w:rFonts w:ascii="Arial" w:hAnsi="Arial" w:cs="Arial"/>
        </w:rPr>
        <w:t>En materia de control interno, se identificaron aspectos que requieren ajustes en el marco normativo interno, por lo que deberán continuar con su actualización y fortalecimiento, hasta lograr gestionar su autorización y publicación correspondiente en el Periódico Oficial del Estado de Quintana Roo.</w:t>
      </w:r>
    </w:p>
    <w:p w14:paraId="3A2E4E5C" w14:textId="77777777" w:rsidR="00760A6E" w:rsidRDefault="00760A6E" w:rsidP="00760A6E">
      <w:pPr>
        <w:tabs>
          <w:tab w:val="left" w:pos="3465"/>
        </w:tabs>
        <w:spacing w:line="276" w:lineRule="auto"/>
        <w:jc w:val="both"/>
        <w:rPr>
          <w:rFonts w:ascii="Arial" w:hAnsi="Arial"/>
        </w:rPr>
      </w:pPr>
    </w:p>
    <w:p w14:paraId="1D80E542" w14:textId="36391B9E" w:rsidR="00760A6E" w:rsidRPr="00E828F5" w:rsidRDefault="00760A6E" w:rsidP="00760A6E">
      <w:pPr>
        <w:spacing w:line="276" w:lineRule="auto"/>
        <w:jc w:val="both"/>
        <w:rPr>
          <w:rFonts w:ascii="Arial" w:hAnsi="Arial"/>
        </w:rPr>
      </w:pPr>
      <w:r>
        <w:rPr>
          <w:rFonts w:ascii="Arial" w:hAnsi="Arial"/>
        </w:rPr>
        <w:t>El presupuesto autorizado para el Tribunal de Justicia administrativa de Quintana Roo tuvo ampliaciones presupuestales y fue asignado a un solo programa presupuestario para el ejercicio fiscal 2019,</w:t>
      </w:r>
      <w:r>
        <w:rPr>
          <w:rFonts w:ascii="Arial" w:hAnsi="Arial" w:cs="Arial"/>
        </w:rPr>
        <w:t xml:space="preserve"> </w:t>
      </w:r>
      <w:r>
        <w:rPr>
          <w:rFonts w:ascii="Arial" w:hAnsi="Arial"/>
        </w:rPr>
        <w:t xml:space="preserve">la </w:t>
      </w:r>
      <w:r>
        <w:rPr>
          <w:rFonts w:ascii="Arial" w:hAnsi="Arial" w:cs="Arial"/>
        </w:rPr>
        <w:t xml:space="preserve">Matriz de Indicadores para Resultados de los programas presupuestarios presentó deficiencias en la redacción de sus elementos evitando establecer la relación causa-efecto en su lógica horizontal y vertical, y en el avance del cumplimiento de los objetivos y metas de los programas aprobados en el presupuesto de egresos del Estado, el Tribunal </w:t>
      </w:r>
      <w:r w:rsidR="00B45A41">
        <w:rPr>
          <w:rFonts w:ascii="Arial" w:hAnsi="Arial" w:cs="Arial"/>
        </w:rPr>
        <w:t>de Justicia Administrativa</w:t>
      </w:r>
      <w:r>
        <w:rPr>
          <w:rFonts w:ascii="Arial" w:hAnsi="Arial" w:cs="Arial"/>
        </w:rPr>
        <w:t xml:space="preserve"> de Quintana Roo logró alcanzar sus metas establecidas</w:t>
      </w:r>
      <w:r>
        <w:rPr>
          <w:rFonts w:ascii="Arial" w:hAnsi="Arial"/>
        </w:rPr>
        <w:t xml:space="preserve">. </w:t>
      </w:r>
    </w:p>
    <w:p w14:paraId="74E7DF01" w14:textId="77777777" w:rsidR="00760A6E" w:rsidRPr="006A1822" w:rsidRDefault="00760A6E" w:rsidP="00760A6E">
      <w:pPr>
        <w:spacing w:line="276" w:lineRule="auto"/>
        <w:jc w:val="both"/>
        <w:rPr>
          <w:rFonts w:ascii="Arial" w:hAnsi="Arial"/>
        </w:rPr>
      </w:pPr>
    </w:p>
    <w:p w14:paraId="1D285026" w14:textId="0F703F52" w:rsidR="00C83A17" w:rsidRPr="00505C26" w:rsidRDefault="00760A6E" w:rsidP="00C83A17">
      <w:pPr>
        <w:tabs>
          <w:tab w:val="left" w:pos="3975"/>
        </w:tabs>
        <w:spacing w:line="276" w:lineRule="auto"/>
        <w:jc w:val="both"/>
        <w:rPr>
          <w:rFonts w:ascii="Arial" w:hAnsi="Arial" w:cs="Arial"/>
        </w:rPr>
      </w:pPr>
      <w:r>
        <w:rPr>
          <w:rFonts w:ascii="Arial" w:hAnsi="Arial" w:cs="Arial"/>
        </w:rPr>
        <w:t xml:space="preserve">Con la fiscalización y la atención de las recomendaciones al desempeño se contribuirá a que el </w:t>
      </w:r>
      <w:r>
        <w:rPr>
          <w:rFonts w:ascii="Arial" w:hAnsi="Arial" w:cs="Arial"/>
          <w:b/>
        </w:rPr>
        <w:t>Tribunal de Justicia Administrativa de Quintana Roo</w:t>
      </w:r>
      <w:r>
        <w:rPr>
          <w:rFonts w:ascii="Arial" w:hAnsi="Arial" w:cs="Arial"/>
        </w:rPr>
        <w:t>, subsane las debilidades detectadas en la integración de su normativa, así como en la planeación, formulación y contenido de las Matrices de Indicadores para Resultados, lo que le permitirá tener una mejor estructura y contar con normas e indicadores que midan y coadyuven a proporcionar sus servicios con eficiencia, eficacia y economía a su población objetivo.</w:t>
      </w:r>
    </w:p>
    <w:p w14:paraId="1DF67844" w14:textId="77777777" w:rsidR="00A77B43" w:rsidRPr="00505C26" w:rsidRDefault="00A77B43" w:rsidP="00505C26">
      <w:pPr>
        <w:spacing w:line="276" w:lineRule="auto"/>
        <w:jc w:val="both"/>
        <w:rPr>
          <w:rFonts w:ascii="Arial" w:hAnsi="Arial" w:cs="Arial"/>
        </w:rPr>
      </w:pPr>
    </w:p>
    <w:p w14:paraId="137088B2" w14:textId="77777777" w:rsidR="00354B93" w:rsidRPr="00505C26" w:rsidRDefault="00354B93" w:rsidP="00505C26">
      <w:pPr>
        <w:pStyle w:val="Ttulo6"/>
        <w:spacing w:line="276" w:lineRule="auto"/>
        <w:jc w:val="center"/>
        <w:rPr>
          <w:rFonts w:ascii="Arial" w:hAnsi="Arial" w:cs="Arial"/>
          <w:sz w:val="24"/>
          <w:szCs w:val="24"/>
        </w:rPr>
      </w:pPr>
      <w:r w:rsidRPr="00505C26">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505C26" w14:paraId="47AA58F7" w14:textId="77777777" w:rsidTr="006531A5">
        <w:trPr>
          <w:cantSplit/>
          <w:trHeight w:val="1609"/>
          <w:jc w:val="center"/>
        </w:trPr>
        <w:tc>
          <w:tcPr>
            <w:tcW w:w="5000" w:type="pct"/>
          </w:tcPr>
          <w:p w14:paraId="5F38CCC9" w14:textId="77777777" w:rsidR="00354B93" w:rsidRPr="00505C26" w:rsidRDefault="00354B93" w:rsidP="00505C26">
            <w:pPr>
              <w:spacing w:line="276" w:lineRule="auto"/>
              <w:jc w:val="both"/>
              <w:rPr>
                <w:rFonts w:ascii="Arial" w:hAnsi="Arial" w:cs="Arial"/>
                <w:b/>
              </w:rPr>
            </w:pPr>
          </w:p>
          <w:p w14:paraId="211516BC" w14:textId="77777777" w:rsidR="00B940C3" w:rsidRPr="00505C26" w:rsidRDefault="00B940C3" w:rsidP="00505C26">
            <w:pPr>
              <w:spacing w:line="276" w:lineRule="auto"/>
              <w:jc w:val="both"/>
              <w:rPr>
                <w:rFonts w:ascii="Arial" w:hAnsi="Arial" w:cs="Arial"/>
                <w:b/>
              </w:rPr>
            </w:pPr>
          </w:p>
          <w:p w14:paraId="4115EA5C" w14:textId="77777777" w:rsidR="00354B93" w:rsidRPr="00505C26" w:rsidRDefault="00354B93" w:rsidP="00505C26">
            <w:pPr>
              <w:spacing w:line="276" w:lineRule="auto"/>
              <w:jc w:val="both"/>
              <w:rPr>
                <w:rFonts w:ascii="Arial" w:hAnsi="Arial" w:cs="Arial"/>
                <w:b/>
              </w:rPr>
            </w:pPr>
          </w:p>
          <w:p w14:paraId="00CCB0E1" w14:textId="77777777" w:rsidR="00354B93" w:rsidRPr="00505C26" w:rsidRDefault="006531A5" w:rsidP="00505C26">
            <w:pPr>
              <w:pStyle w:val="Ttulo5"/>
              <w:spacing w:line="276" w:lineRule="auto"/>
              <w:rPr>
                <w:rFonts w:ascii="Arial" w:hAnsi="Arial" w:cs="Arial"/>
                <w:sz w:val="24"/>
                <w:szCs w:val="24"/>
              </w:rPr>
            </w:pPr>
            <w:r w:rsidRPr="00505C26">
              <w:rPr>
                <w:rFonts w:ascii="Arial" w:hAnsi="Arial" w:cs="Arial"/>
                <w:sz w:val="24"/>
                <w:szCs w:val="24"/>
              </w:rPr>
              <w:t>L.C.C. MANUEL PALACIOS HERRERA</w:t>
            </w:r>
          </w:p>
        </w:tc>
      </w:tr>
    </w:tbl>
    <w:p w14:paraId="6D23E288" w14:textId="77777777" w:rsidR="00F54CB4" w:rsidRPr="00505C26" w:rsidRDefault="00F54CB4" w:rsidP="00C83A17">
      <w:pPr>
        <w:pStyle w:val="Ttulo1"/>
        <w:spacing w:line="276" w:lineRule="auto"/>
        <w:rPr>
          <w:rFonts w:cs="Arial"/>
          <w:szCs w:val="24"/>
        </w:rPr>
      </w:pPr>
      <w:bookmarkStart w:id="35" w:name="_Toc520277598"/>
      <w:bookmarkEnd w:id="35"/>
    </w:p>
    <w:sectPr w:rsidR="00F54CB4" w:rsidRPr="00505C26" w:rsidSect="000945EC">
      <w:headerReference w:type="even" r:id="rId8"/>
      <w:headerReference w:type="default" r:id="rId9"/>
      <w:footerReference w:type="default" r:id="rId10"/>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706D" w14:textId="77777777" w:rsidR="00263DB3" w:rsidRDefault="00263DB3" w:rsidP="00354B93">
      <w:r>
        <w:separator/>
      </w:r>
    </w:p>
  </w:endnote>
  <w:endnote w:type="continuationSeparator" w:id="0">
    <w:p w14:paraId="16F9B23E" w14:textId="77777777" w:rsidR="00263DB3" w:rsidRDefault="00263DB3"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263DB3"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263DB3" w:rsidRPr="008718C5" w:rsidRDefault="00263DB3"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320FC648" w:rsidR="00263DB3" w:rsidRPr="000945EC" w:rsidRDefault="00263DB3"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05059A">
            <w:rPr>
              <w:rFonts w:ascii="Arial Narrow" w:hAnsi="Arial Narrow"/>
              <w:noProof/>
              <w:sz w:val="18"/>
              <w:szCs w:val="18"/>
            </w:rPr>
            <w:t>4</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05059A">
            <w:rPr>
              <w:rFonts w:ascii="Arial Narrow" w:hAnsi="Arial Narrow"/>
              <w:noProof/>
              <w:sz w:val="18"/>
              <w:szCs w:val="18"/>
            </w:rPr>
            <w:t>24</w:t>
          </w:r>
          <w:r w:rsidRPr="000945EC">
            <w:rPr>
              <w:rFonts w:ascii="Arial Narrow" w:hAnsi="Arial Narrow"/>
              <w:noProof/>
              <w:sz w:val="18"/>
              <w:szCs w:val="18"/>
            </w:rPr>
            <w:fldChar w:fldCharType="end"/>
          </w:r>
        </w:p>
      </w:tc>
    </w:tr>
  </w:tbl>
  <w:p w14:paraId="1EA9190F" w14:textId="77777777" w:rsidR="00263DB3" w:rsidRDefault="00263DB3"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2B67" w14:textId="77777777" w:rsidR="00263DB3" w:rsidRDefault="00263DB3" w:rsidP="00354B93">
      <w:r>
        <w:separator/>
      </w:r>
    </w:p>
  </w:footnote>
  <w:footnote w:type="continuationSeparator" w:id="0">
    <w:p w14:paraId="507FC07E" w14:textId="77777777" w:rsidR="00263DB3" w:rsidRDefault="00263DB3"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263DB3" w:rsidRDefault="00263DB3">
    <w:pPr>
      <w:pStyle w:val="Encabezado"/>
    </w:pPr>
  </w:p>
  <w:p w14:paraId="438B1695" w14:textId="77777777" w:rsidR="00263DB3" w:rsidRDefault="00263DB3"/>
  <w:p w14:paraId="49EE31D0" w14:textId="77777777" w:rsidR="00263DB3" w:rsidRDefault="00263DB3"/>
  <w:p w14:paraId="51F9D0AD" w14:textId="77777777" w:rsidR="00263DB3" w:rsidRDefault="00263D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63DB3" w14:paraId="2CB55E5D" w14:textId="77777777" w:rsidTr="00263DB3">
      <w:trPr>
        <w:cantSplit/>
        <w:jc w:val="center"/>
      </w:trPr>
      <w:tc>
        <w:tcPr>
          <w:tcW w:w="2234" w:type="dxa"/>
        </w:tcPr>
        <w:p w14:paraId="38D64743" w14:textId="77777777" w:rsidR="00263DB3" w:rsidRDefault="00263DB3"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263DB3" w:rsidRDefault="00263DB3"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263DB3" w:rsidRDefault="00263DB3"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263DB3" w:rsidRPr="00131350" w:rsidRDefault="00263DB3"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263DB3" w:rsidRDefault="00263DB3" w:rsidP="006C1DD1">
          <w:pPr>
            <w:pStyle w:val="Encabezado"/>
            <w:jc w:val="center"/>
          </w:pPr>
        </w:p>
      </w:tc>
    </w:tr>
    <w:tr w:rsidR="00263DB3" w14:paraId="016F1EBB" w14:textId="77777777" w:rsidTr="00263DB3">
      <w:trPr>
        <w:cantSplit/>
        <w:jc w:val="center"/>
      </w:trPr>
      <w:tc>
        <w:tcPr>
          <w:tcW w:w="2234" w:type="dxa"/>
          <w:tcBorders>
            <w:bottom w:val="thinThickSmallGap" w:sz="24" w:space="0" w:color="auto"/>
          </w:tcBorders>
        </w:tcPr>
        <w:p w14:paraId="44F1DFAA" w14:textId="77777777" w:rsidR="00263DB3" w:rsidRDefault="00263DB3" w:rsidP="006C1DD1">
          <w:pPr>
            <w:pStyle w:val="Encabezado"/>
            <w:jc w:val="center"/>
            <w:rPr>
              <w:sz w:val="10"/>
            </w:rPr>
          </w:pPr>
        </w:p>
      </w:tc>
      <w:tc>
        <w:tcPr>
          <w:tcW w:w="4592" w:type="dxa"/>
          <w:tcBorders>
            <w:bottom w:val="thinThickSmallGap" w:sz="24" w:space="0" w:color="auto"/>
          </w:tcBorders>
        </w:tcPr>
        <w:p w14:paraId="0E1E5A59" w14:textId="77777777" w:rsidR="00263DB3" w:rsidRDefault="00263DB3" w:rsidP="006C1DD1">
          <w:pPr>
            <w:pStyle w:val="Encabezado"/>
            <w:rPr>
              <w:sz w:val="10"/>
            </w:rPr>
          </w:pPr>
        </w:p>
      </w:tc>
      <w:tc>
        <w:tcPr>
          <w:tcW w:w="2336" w:type="dxa"/>
          <w:tcBorders>
            <w:bottom w:val="thinThickSmallGap" w:sz="24" w:space="0" w:color="auto"/>
          </w:tcBorders>
        </w:tcPr>
        <w:p w14:paraId="3D7CB6CA" w14:textId="77777777" w:rsidR="00263DB3" w:rsidRDefault="00263DB3" w:rsidP="006C1DD1">
          <w:pPr>
            <w:pStyle w:val="Encabezado"/>
            <w:jc w:val="center"/>
            <w:rPr>
              <w:sz w:val="10"/>
            </w:rPr>
          </w:pPr>
        </w:p>
      </w:tc>
      <w:tc>
        <w:tcPr>
          <w:tcW w:w="359" w:type="dxa"/>
          <w:tcBorders>
            <w:bottom w:val="thinThickSmallGap" w:sz="24" w:space="0" w:color="auto"/>
          </w:tcBorders>
        </w:tcPr>
        <w:p w14:paraId="747D2E88" w14:textId="77777777" w:rsidR="00263DB3" w:rsidRDefault="00263DB3" w:rsidP="006C1DD1">
          <w:pPr>
            <w:pStyle w:val="Encabezado"/>
            <w:jc w:val="center"/>
            <w:rPr>
              <w:sz w:val="10"/>
            </w:rPr>
          </w:pPr>
        </w:p>
      </w:tc>
    </w:tr>
  </w:tbl>
  <w:p w14:paraId="1EFAA136" w14:textId="77777777" w:rsidR="00263DB3" w:rsidRPr="004A658E" w:rsidRDefault="00263DB3"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7826"/>
    <w:multiLevelType w:val="hybridMultilevel"/>
    <w:tmpl w:val="4DD2D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3830CBB"/>
    <w:multiLevelType w:val="hybridMultilevel"/>
    <w:tmpl w:val="DE920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0215C3"/>
    <w:multiLevelType w:val="hybridMultilevel"/>
    <w:tmpl w:val="0C34AB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35A36BEF"/>
    <w:multiLevelType w:val="multilevel"/>
    <w:tmpl w:val="967CAEAA"/>
    <w:lvl w:ilvl="0">
      <w:start w:val="1"/>
      <w:numFmt w:val="decimal"/>
      <w:lvlText w:val="%1."/>
      <w:lvlJc w:val="right"/>
      <w:pPr>
        <w:ind w:left="720" w:hanging="360"/>
      </w:pPr>
      <w:rPr>
        <w:rFonts w:hint="default"/>
        <w:b/>
        <w:sz w:val="24"/>
        <w:szCs w:val="24"/>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367E2E18"/>
    <w:multiLevelType w:val="hybridMultilevel"/>
    <w:tmpl w:val="F732C3B6"/>
    <w:lvl w:ilvl="0" w:tplc="1BFAA6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BC17AE"/>
    <w:multiLevelType w:val="hybridMultilevel"/>
    <w:tmpl w:val="8F82D66E"/>
    <w:lvl w:ilvl="0" w:tplc="E0B63DB4">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5537E"/>
    <w:multiLevelType w:val="hybridMultilevel"/>
    <w:tmpl w:val="F70E7172"/>
    <w:lvl w:ilvl="0" w:tplc="080A0001">
      <w:start w:val="1"/>
      <w:numFmt w:val="bullet"/>
      <w:lvlText w:val=""/>
      <w:lvlJc w:val="left"/>
      <w:pPr>
        <w:ind w:left="1362" w:hanging="720"/>
      </w:pPr>
      <w:rPr>
        <w:rFonts w:ascii="Symbol" w:hAnsi="Symbol" w:hint="default"/>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1" w15:restartNumberingAfterBreak="0">
    <w:nsid w:val="3C8F010A"/>
    <w:multiLevelType w:val="hybridMultilevel"/>
    <w:tmpl w:val="583C8A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7A962A7"/>
    <w:multiLevelType w:val="hybridMultilevel"/>
    <w:tmpl w:val="FA64666A"/>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B57B5D"/>
    <w:multiLevelType w:val="hybridMultilevel"/>
    <w:tmpl w:val="E3221F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498C5406"/>
    <w:multiLevelType w:val="hybridMultilevel"/>
    <w:tmpl w:val="67E650EA"/>
    <w:lvl w:ilvl="0" w:tplc="132CDD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951572"/>
    <w:multiLevelType w:val="hybridMultilevel"/>
    <w:tmpl w:val="BFA81C74"/>
    <w:lvl w:ilvl="0" w:tplc="24BA39FA">
      <w:start w:val="2"/>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D37004"/>
    <w:multiLevelType w:val="hybridMultilevel"/>
    <w:tmpl w:val="4C34DC70"/>
    <w:lvl w:ilvl="0" w:tplc="6E52A39C">
      <w:start w:val="1"/>
      <w:numFmt w:val="lowerLetter"/>
      <w:lvlText w:val="%1)"/>
      <w:lvlJc w:val="left"/>
      <w:pPr>
        <w:ind w:left="720" w:hanging="360"/>
      </w:pPr>
      <w:rPr>
        <w:b w:val="0"/>
      </w:rPr>
    </w:lvl>
    <w:lvl w:ilvl="1" w:tplc="42EEF726">
      <w:start w:val="1"/>
      <w:numFmt w:val="upperRoman"/>
      <w:lvlText w:val="%2."/>
      <w:lvlJc w:val="left"/>
      <w:pPr>
        <w:ind w:left="1845" w:hanging="76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FC74CA"/>
    <w:multiLevelType w:val="hybridMultilevel"/>
    <w:tmpl w:val="632894BE"/>
    <w:lvl w:ilvl="0" w:tplc="D556BC8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217FF3"/>
    <w:multiLevelType w:val="hybridMultilevel"/>
    <w:tmpl w:val="88720F66"/>
    <w:lvl w:ilvl="0" w:tplc="92901E9C">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70656E"/>
    <w:multiLevelType w:val="hybridMultilevel"/>
    <w:tmpl w:val="47E2F790"/>
    <w:lvl w:ilvl="0" w:tplc="E70441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5068B3"/>
    <w:multiLevelType w:val="hybridMultilevel"/>
    <w:tmpl w:val="F0E2940C"/>
    <w:lvl w:ilvl="0" w:tplc="3B8CE77C">
      <w:start w:val="3"/>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87401D"/>
    <w:multiLevelType w:val="hybridMultilevel"/>
    <w:tmpl w:val="1AC4155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40530D"/>
    <w:multiLevelType w:val="hybridMultilevel"/>
    <w:tmpl w:val="D3448F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393A99"/>
    <w:multiLevelType w:val="hybridMultilevel"/>
    <w:tmpl w:val="8514D868"/>
    <w:lvl w:ilvl="0" w:tplc="080A0001">
      <w:start w:val="1"/>
      <w:numFmt w:val="bullet"/>
      <w:lvlText w:val=""/>
      <w:lvlJc w:val="left"/>
      <w:pPr>
        <w:ind w:left="1002" w:hanging="360"/>
      </w:pPr>
      <w:rPr>
        <w:rFonts w:ascii="Symbol" w:hAnsi="Symbol" w:hint="default"/>
      </w:rPr>
    </w:lvl>
    <w:lvl w:ilvl="1" w:tplc="080A0003" w:tentative="1">
      <w:start w:val="1"/>
      <w:numFmt w:val="bullet"/>
      <w:lvlText w:val="o"/>
      <w:lvlJc w:val="left"/>
      <w:pPr>
        <w:ind w:left="1722" w:hanging="360"/>
      </w:pPr>
      <w:rPr>
        <w:rFonts w:ascii="Courier New" w:hAnsi="Courier New" w:cs="Courier New" w:hint="default"/>
      </w:rPr>
    </w:lvl>
    <w:lvl w:ilvl="2" w:tplc="080A0005" w:tentative="1">
      <w:start w:val="1"/>
      <w:numFmt w:val="bullet"/>
      <w:lvlText w:val=""/>
      <w:lvlJc w:val="left"/>
      <w:pPr>
        <w:ind w:left="2442" w:hanging="360"/>
      </w:pPr>
      <w:rPr>
        <w:rFonts w:ascii="Wingdings" w:hAnsi="Wingdings" w:hint="default"/>
      </w:rPr>
    </w:lvl>
    <w:lvl w:ilvl="3" w:tplc="080A0001" w:tentative="1">
      <w:start w:val="1"/>
      <w:numFmt w:val="bullet"/>
      <w:lvlText w:val=""/>
      <w:lvlJc w:val="left"/>
      <w:pPr>
        <w:ind w:left="3162" w:hanging="360"/>
      </w:pPr>
      <w:rPr>
        <w:rFonts w:ascii="Symbol" w:hAnsi="Symbol" w:hint="default"/>
      </w:rPr>
    </w:lvl>
    <w:lvl w:ilvl="4" w:tplc="080A0003" w:tentative="1">
      <w:start w:val="1"/>
      <w:numFmt w:val="bullet"/>
      <w:lvlText w:val="o"/>
      <w:lvlJc w:val="left"/>
      <w:pPr>
        <w:ind w:left="3882" w:hanging="360"/>
      </w:pPr>
      <w:rPr>
        <w:rFonts w:ascii="Courier New" w:hAnsi="Courier New" w:cs="Courier New" w:hint="default"/>
      </w:rPr>
    </w:lvl>
    <w:lvl w:ilvl="5" w:tplc="080A0005" w:tentative="1">
      <w:start w:val="1"/>
      <w:numFmt w:val="bullet"/>
      <w:lvlText w:val=""/>
      <w:lvlJc w:val="left"/>
      <w:pPr>
        <w:ind w:left="4602" w:hanging="360"/>
      </w:pPr>
      <w:rPr>
        <w:rFonts w:ascii="Wingdings" w:hAnsi="Wingdings" w:hint="default"/>
      </w:rPr>
    </w:lvl>
    <w:lvl w:ilvl="6" w:tplc="080A0001" w:tentative="1">
      <w:start w:val="1"/>
      <w:numFmt w:val="bullet"/>
      <w:lvlText w:val=""/>
      <w:lvlJc w:val="left"/>
      <w:pPr>
        <w:ind w:left="5322" w:hanging="360"/>
      </w:pPr>
      <w:rPr>
        <w:rFonts w:ascii="Symbol" w:hAnsi="Symbol" w:hint="default"/>
      </w:rPr>
    </w:lvl>
    <w:lvl w:ilvl="7" w:tplc="080A0003" w:tentative="1">
      <w:start w:val="1"/>
      <w:numFmt w:val="bullet"/>
      <w:lvlText w:val="o"/>
      <w:lvlJc w:val="left"/>
      <w:pPr>
        <w:ind w:left="6042" w:hanging="360"/>
      </w:pPr>
      <w:rPr>
        <w:rFonts w:ascii="Courier New" w:hAnsi="Courier New" w:cs="Courier New" w:hint="default"/>
      </w:rPr>
    </w:lvl>
    <w:lvl w:ilvl="8" w:tplc="080A0005" w:tentative="1">
      <w:start w:val="1"/>
      <w:numFmt w:val="bullet"/>
      <w:lvlText w:val=""/>
      <w:lvlJc w:val="left"/>
      <w:pPr>
        <w:ind w:left="6762" w:hanging="360"/>
      </w:pPr>
      <w:rPr>
        <w:rFonts w:ascii="Wingdings" w:hAnsi="Wingdings" w:hint="default"/>
      </w:rPr>
    </w:lvl>
  </w:abstractNum>
  <w:abstractNum w:abstractNumId="27" w15:restartNumberingAfterBreak="0">
    <w:nsid w:val="7CFE74CE"/>
    <w:multiLevelType w:val="hybridMultilevel"/>
    <w:tmpl w:val="9876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2"/>
  </w:num>
  <w:num w:numId="5">
    <w:abstractNumId w:val="23"/>
  </w:num>
  <w:num w:numId="6">
    <w:abstractNumId w:val="4"/>
  </w:num>
  <w:num w:numId="7">
    <w:abstractNumId w:val="7"/>
  </w:num>
  <w:num w:numId="8">
    <w:abstractNumId w:val="1"/>
  </w:num>
  <w:num w:numId="9">
    <w:abstractNumId w:val="19"/>
  </w:num>
  <w:num w:numId="10">
    <w:abstractNumId w:val="24"/>
  </w:num>
  <w:num w:numId="11">
    <w:abstractNumId w:val="6"/>
  </w:num>
  <w:num w:numId="12">
    <w:abstractNumId w:val="22"/>
  </w:num>
  <w:num w:numId="13">
    <w:abstractNumId w:val="10"/>
  </w:num>
  <w:num w:numId="14">
    <w:abstractNumId w:val="18"/>
  </w:num>
  <w:num w:numId="15">
    <w:abstractNumId w:val="17"/>
  </w:num>
  <w:num w:numId="16">
    <w:abstractNumId w:val="21"/>
  </w:num>
  <w:num w:numId="17">
    <w:abstractNumId w:val="9"/>
  </w:num>
  <w:num w:numId="18">
    <w:abstractNumId w:val="25"/>
  </w:num>
  <w:num w:numId="19">
    <w:abstractNumId w:val="26"/>
  </w:num>
  <w:num w:numId="20">
    <w:abstractNumId w:val="13"/>
  </w:num>
  <w:num w:numId="21">
    <w:abstractNumId w:val="15"/>
  </w:num>
  <w:num w:numId="22">
    <w:abstractNumId w:val="8"/>
  </w:num>
  <w:num w:numId="23">
    <w:abstractNumId w:val="16"/>
  </w:num>
  <w:num w:numId="24">
    <w:abstractNumId w:val="20"/>
  </w:num>
  <w:num w:numId="25">
    <w:abstractNumId w:val="27"/>
  </w:num>
  <w:num w:numId="26">
    <w:abstractNumId w:val="5"/>
  </w:num>
  <w:num w:numId="27">
    <w:abstractNumId w:val="0"/>
  </w:num>
  <w:num w:numId="2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7348"/>
    <w:rsid w:val="0001177A"/>
    <w:rsid w:val="00013137"/>
    <w:rsid w:val="00022100"/>
    <w:rsid w:val="00023252"/>
    <w:rsid w:val="000239D6"/>
    <w:rsid w:val="00027C36"/>
    <w:rsid w:val="0003018B"/>
    <w:rsid w:val="00031026"/>
    <w:rsid w:val="00032121"/>
    <w:rsid w:val="00032189"/>
    <w:rsid w:val="00037BBF"/>
    <w:rsid w:val="00041D0B"/>
    <w:rsid w:val="0004342C"/>
    <w:rsid w:val="000435DA"/>
    <w:rsid w:val="00044F96"/>
    <w:rsid w:val="0005059A"/>
    <w:rsid w:val="000518A1"/>
    <w:rsid w:val="0005283F"/>
    <w:rsid w:val="00054C67"/>
    <w:rsid w:val="00057571"/>
    <w:rsid w:val="00062A62"/>
    <w:rsid w:val="000702F5"/>
    <w:rsid w:val="00071126"/>
    <w:rsid w:val="000767E8"/>
    <w:rsid w:val="00080654"/>
    <w:rsid w:val="0008132E"/>
    <w:rsid w:val="00083EBA"/>
    <w:rsid w:val="00084EFA"/>
    <w:rsid w:val="000874E2"/>
    <w:rsid w:val="00092E9F"/>
    <w:rsid w:val="00093368"/>
    <w:rsid w:val="000945EC"/>
    <w:rsid w:val="00094C7E"/>
    <w:rsid w:val="00097BB0"/>
    <w:rsid w:val="00097C3F"/>
    <w:rsid w:val="000A2E52"/>
    <w:rsid w:val="000A2F4E"/>
    <w:rsid w:val="000A4756"/>
    <w:rsid w:val="000B1CFA"/>
    <w:rsid w:val="000B22C5"/>
    <w:rsid w:val="000B33D1"/>
    <w:rsid w:val="000C4DE9"/>
    <w:rsid w:val="000C65D2"/>
    <w:rsid w:val="000C71DA"/>
    <w:rsid w:val="000D3EB5"/>
    <w:rsid w:val="000D409C"/>
    <w:rsid w:val="000D5996"/>
    <w:rsid w:val="000D5B34"/>
    <w:rsid w:val="000E1E8D"/>
    <w:rsid w:val="000E20A0"/>
    <w:rsid w:val="000E601B"/>
    <w:rsid w:val="000F1265"/>
    <w:rsid w:val="000F331D"/>
    <w:rsid w:val="000F76D8"/>
    <w:rsid w:val="000F7C71"/>
    <w:rsid w:val="00100FC0"/>
    <w:rsid w:val="001025E3"/>
    <w:rsid w:val="001132C6"/>
    <w:rsid w:val="0011476F"/>
    <w:rsid w:val="001164CE"/>
    <w:rsid w:val="001175D1"/>
    <w:rsid w:val="00121688"/>
    <w:rsid w:val="001255BB"/>
    <w:rsid w:val="00127D72"/>
    <w:rsid w:val="00137633"/>
    <w:rsid w:val="00140108"/>
    <w:rsid w:val="00140D72"/>
    <w:rsid w:val="00141399"/>
    <w:rsid w:val="00141E3A"/>
    <w:rsid w:val="00142743"/>
    <w:rsid w:val="001427D5"/>
    <w:rsid w:val="00142841"/>
    <w:rsid w:val="00143CB2"/>
    <w:rsid w:val="001440E9"/>
    <w:rsid w:val="001463C4"/>
    <w:rsid w:val="00146AD6"/>
    <w:rsid w:val="00150BA5"/>
    <w:rsid w:val="00151C6B"/>
    <w:rsid w:val="00152ACD"/>
    <w:rsid w:val="00153B5B"/>
    <w:rsid w:val="001546B1"/>
    <w:rsid w:val="00154E06"/>
    <w:rsid w:val="0016245D"/>
    <w:rsid w:val="001631A0"/>
    <w:rsid w:val="00163ED0"/>
    <w:rsid w:val="00164430"/>
    <w:rsid w:val="00164E81"/>
    <w:rsid w:val="00167B57"/>
    <w:rsid w:val="00171EF2"/>
    <w:rsid w:val="00173421"/>
    <w:rsid w:val="0017562C"/>
    <w:rsid w:val="00176FEF"/>
    <w:rsid w:val="0018265B"/>
    <w:rsid w:val="0018480F"/>
    <w:rsid w:val="00190B3E"/>
    <w:rsid w:val="00194487"/>
    <w:rsid w:val="00194953"/>
    <w:rsid w:val="00196BAF"/>
    <w:rsid w:val="00197D9A"/>
    <w:rsid w:val="001A066E"/>
    <w:rsid w:val="001A6347"/>
    <w:rsid w:val="001A7305"/>
    <w:rsid w:val="001B03E8"/>
    <w:rsid w:val="001B1911"/>
    <w:rsid w:val="001B5D80"/>
    <w:rsid w:val="001C076E"/>
    <w:rsid w:val="001C27B8"/>
    <w:rsid w:val="001C6974"/>
    <w:rsid w:val="001D1C71"/>
    <w:rsid w:val="001D21E3"/>
    <w:rsid w:val="001D3321"/>
    <w:rsid w:val="001D4103"/>
    <w:rsid w:val="001D65A7"/>
    <w:rsid w:val="001D6769"/>
    <w:rsid w:val="001D68A6"/>
    <w:rsid w:val="001E1C1F"/>
    <w:rsid w:val="001E240F"/>
    <w:rsid w:val="001E303A"/>
    <w:rsid w:val="001E331D"/>
    <w:rsid w:val="001E7115"/>
    <w:rsid w:val="001F0389"/>
    <w:rsid w:val="001F10AC"/>
    <w:rsid w:val="001F221B"/>
    <w:rsid w:val="001F33C6"/>
    <w:rsid w:val="001F3F32"/>
    <w:rsid w:val="001F4004"/>
    <w:rsid w:val="001F5E39"/>
    <w:rsid w:val="002003BB"/>
    <w:rsid w:val="002015B9"/>
    <w:rsid w:val="00202BDE"/>
    <w:rsid w:val="0020433F"/>
    <w:rsid w:val="00204A26"/>
    <w:rsid w:val="00206A33"/>
    <w:rsid w:val="00207668"/>
    <w:rsid w:val="00217CD7"/>
    <w:rsid w:val="0022363C"/>
    <w:rsid w:val="00233BBA"/>
    <w:rsid w:val="0023474A"/>
    <w:rsid w:val="00235225"/>
    <w:rsid w:val="00236243"/>
    <w:rsid w:val="002425A5"/>
    <w:rsid w:val="002455DF"/>
    <w:rsid w:val="002551E2"/>
    <w:rsid w:val="00263D33"/>
    <w:rsid w:val="00263DB3"/>
    <w:rsid w:val="002653E1"/>
    <w:rsid w:val="002662A1"/>
    <w:rsid w:val="002708B9"/>
    <w:rsid w:val="002748D4"/>
    <w:rsid w:val="002819CE"/>
    <w:rsid w:val="0029059B"/>
    <w:rsid w:val="002911D6"/>
    <w:rsid w:val="00291444"/>
    <w:rsid w:val="00292A20"/>
    <w:rsid w:val="00297D03"/>
    <w:rsid w:val="002A2C44"/>
    <w:rsid w:val="002A4FCB"/>
    <w:rsid w:val="002B21BD"/>
    <w:rsid w:val="002B4C62"/>
    <w:rsid w:val="002B559E"/>
    <w:rsid w:val="002C1B5E"/>
    <w:rsid w:val="002C3A63"/>
    <w:rsid w:val="002C5428"/>
    <w:rsid w:val="002C63FB"/>
    <w:rsid w:val="002C659A"/>
    <w:rsid w:val="002C7BCD"/>
    <w:rsid w:val="002D184E"/>
    <w:rsid w:val="002D4066"/>
    <w:rsid w:val="002D4CC3"/>
    <w:rsid w:val="002E0D66"/>
    <w:rsid w:val="002E154C"/>
    <w:rsid w:val="002E28B2"/>
    <w:rsid w:val="002E7E23"/>
    <w:rsid w:val="002F08C3"/>
    <w:rsid w:val="002F78A6"/>
    <w:rsid w:val="002F7F38"/>
    <w:rsid w:val="00302E0E"/>
    <w:rsid w:val="00305502"/>
    <w:rsid w:val="00305EFC"/>
    <w:rsid w:val="00312F66"/>
    <w:rsid w:val="00315E9A"/>
    <w:rsid w:val="00315F81"/>
    <w:rsid w:val="00317F45"/>
    <w:rsid w:val="00320203"/>
    <w:rsid w:val="003255DC"/>
    <w:rsid w:val="00325BF6"/>
    <w:rsid w:val="00327194"/>
    <w:rsid w:val="003273F3"/>
    <w:rsid w:val="003335B7"/>
    <w:rsid w:val="00335D51"/>
    <w:rsid w:val="00337CDB"/>
    <w:rsid w:val="003420BF"/>
    <w:rsid w:val="0034789F"/>
    <w:rsid w:val="00350F6C"/>
    <w:rsid w:val="003533AD"/>
    <w:rsid w:val="003542F9"/>
    <w:rsid w:val="00354B93"/>
    <w:rsid w:val="003561F6"/>
    <w:rsid w:val="003574D5"/>
    <w:rsid w:val="0036397A"/>
    <w:rsid w:val="00370FD3"/>
    <w:rsid w:val="00371C4B"/>
    <w:rsid w:val="00373CC3"/>
    <w:rsid w:val="00373FB4"/>
    <w:rsid w:val="0038080F"/>
    <w:rsid w:val="00381E46"/>
    <w:rsid w:val="00383ABE"/>
    <w:rsid w:val="00384108"/>
    <w:rsid w:val="0038607A"/>
    <w:rsid w:val="003903F5"/>
    <w:rsid w:val="0039545B"/>
    <w:rsid w:val="003A19AB"/>
    <w:rsid w:val="003A2EAF"/>
    <w:rsid w:val="003B0B65"/>
    <w:rsid w:val="003B12A4"/>
    <w:rsid w:val="003B4233"/>
    <w:rsid w:val="003B476D"/>
    <w:rsid w:val="003C0178"/>
    <w:rsid w:val="003C64EA"/>
    <w:rsid w:val="003D0D67"/>
    <w:rsid w:val="003D628B"/>
    <w:rsid w:val="003D77ED"/>
    <w:rsid w:val="003E0C65"/>
    <w:rsid w:val="003E2585"/>
    <w:rsid w:val="003E48D7"/>
    <w:rsid w:val="003E6811"/>
    <w:rsid w:val="003F0B31"/>
    <w:rsid w:val="0040140F"/>
    <w:rsid w:val="00401871"/>
    <w:rsid w:val="00404B42"/>
    <w:rsid w:val="00407CD1"/>
    <w:rsid w:val="00411479"/>
    <w:rsid w:val="004143CC"/>
    <w:rsid w:val="004155D0"/>
    <w:rsid w:val="00415D71"/>
    <w:rsid w:val="004227AB"/>
    <w:rsid w:val="00423822"/>
    <w:rsid w:val="00423BE9"/>
    <w:rsid w:val="00427920"/>
    <w:rsid w:val="00431142"/>
    <w:rsid w:val="00434DC6"/>
    <w:rsid w:val="0043516F"/>
    <w:rsid w:val="004355DA"/>
    <w:rsid w:val="0043662E"/>
    <w:rsid w:val="0043724A"/>
    <w:rsid w:val="00437BFF"/>
    <w:rsid w:val="00441526"/>
    <w:rsid w:val="00441552"/>
    <w:rsid w:val="004424C9"/>
    <w:rsid w:val="00444AFD"/>
    <w:rsid w:val="00451323"/>
    <w:rsid w:val="00454528"/>
    <w:rsid w:val="00454B25"/>
    <w:rsid w:val="00454BF8"/>
    <w:rsid w:val="00455422"/>
    <w:rsid w:val="004563C3"/>
    <w:rsid w:val="00456BB3"/>
    <w:rsid w:val="00461EE8"/>
    <w:rsid w:val="0046216B"/>
    <w:rsid w:val="004638DD"/>
    <w:rsid w:val="00470AD0"/>
    <w:rsid w:val="00480906"/>
    <w:rsid w:val="00480C9F"/>
    <w:rsid w:val="004818BB"/>
    <w:rsid w:val="00482C12"/>
    <w:rsid w:val="00486A3F"/>
    <w:rsid w:val="00486C47"/>
    <w:rsid w:val="00487EBE"/>
    <w:rsid w:val="0049049E"/>
    <w:rsid w:val="004913AB"/>
    <w:rsid w:val="004946AF"/>
    <w:rsid w:val="004956AC"/>
    <w:rsid w:val="004956F9"/>
    <w:rsid w:val="00497B6C"/>
    <w:rsid w:val="004A3E71"/>
    <w:rsid w:val="004A658E"/>
    <w:rsid w:val="004A7244"/>
    <w:rsid w:val="004A7B4B"/>
    <w:rsid w:val="004B1A95"/>
    <w:rsid w:val="004B2019"/>
    <w:rsid w:val="004B4159"/>
    <w:rsid w:val="004B572F"/>
    <w:rsid w:val="004B6569"/>
    <w:rsid w:val="004C038D"/>
    <w:rsid w:val="004C0552"/>
    <w:rsid w:val="004C41D0"/>
    <w:rsid w:val="004C4459"/>
    <w:rsid w:val="004C4F36"/>
    <w:rsid w:val="004C5D88"/>
    <w:rsid w:val="004C7FAD"/>
    <w:rsid w:val="004E1BBA"/>
    <w:rsid w:val="004E26C1"/>
    <w:rsid w:val="004E3F6D"/>
    <w:rsid w:val="004E46AF"/>
    <w:rsid w:val="004F1358"/>
    <w:rsid w:val="004F2721"/>
    <w:rsid w:val="004F44B8"/>
    <w:rsid w:val="00502D05"/>
    <w:rsid w:val="00505C26"/>
    <w:rsid w:val="00510076"/>
    <w:rsid w:val="00516362"/>
    <w:rsid w:val="00517858"/>
    <w:rsid w:val="00521EA6"/>
    <w:rsid w:val="00523BE7"/>
    <w:rsid w:val="0053163F"/>
    <w:rsid w:val="00533D3B"/>
    <w:rsid w:val="0053558D"/>
    <w:rsid w:val="0053592D"/>
    <w:rsid w:val="005361E8"/>
    <w:rsid w:val="005365D7"/>
    <w:rsid w:val="0054491D"/>
    <w:rsid w:val="00545EA8"/>
    <w:rsid w:val="00546A88"/>
    <w:rsid w:val="00550042"/>
    <w:rsid w:val="00551781"/>
    <w:rsid w:val="005537DE"/>
    <w:rsid w:val="00553B3A"/>
    <w:rsid w:val="005611BA"/>
    <w:rsid w:val="005615F8"/>
    <w:rsid w:val="00562DC1"/>
    <w:rsid w:val="00562E10"/>
    <w:rsid w:val="005635EC"/>
    <w:rsid w:val="00572010"/>
    <w:rsid w:val="00572822"/>
    <w:rsid w:val="00576F0D"/>
    <w:rsid w:val="00584590"/>
    <w:rsid w:val="0058502C"/>
    <w:rsid w:val="0058654C"/>
    <w:rsid w:val="00591ED2"/>
    <w:rsid w:val="00593DBB"/>
    <w:rsid w:val="00596053"/>
    <w:rsid w:val="005A158B"/>
    <w:rsid w:val="005A38FC"/>
    <w:rsid w:val="005B0880"/>
    <w:rsid w:val="005B15A5"/>
    <w:rsid w:val="005B2D33"/>
    <w:rsid w:val="005C0EEA"/>
    <w:rsid w:val="005C16CE"/>
    <w:rsid w:val="005C2184"/>
    <w:rsid w:val="005C557A"/>
    <w:rsid w:val="005C653A"/>
    <w:rsid w:val="005C7046"/>
    <w:rsid w:val="005D3772"/>
    <w:rsid w:val="005E5D34"/>
    <w:rsid w:val="005E74D4"/>
    <w:rsid w:val="005F01D7"/>
    <w:rsid w:val="005F053E"/>
    <w:rsid w:val="005F05A3"/>
    <w:rsid w:val="005F18D8"/>
    <w:rsid w:val="005F2A42"/>
    <w:rsid w:val="005F2C38"/>
    <w:rsid w:val="00601C35"/>
    <w:rsid w:val="006040E7"/>
    <w:rsid w:val="0060438F"/>
    <w:rsid w:val="0060540F"/>
    <w:rsid w:val="00605698"/>
    <w:rsid w:val="00605C78"/>
    <w:rsid w:val="0061164F"/>
    <w:rsid w:val="00632584"/>
    <w:rsid w:val="00634DB8"/>
    <w:rsid w:val="00635616"/>
    <w:rsid w:val="00640482"/>
    <w:rsid w:val="0064172B"/>
    <w:rsid w:val="00641CAD"/>
    <w:rsid w:val="00644D50"/>
    <w:rsid w:val="00647E49"/>
    <w:rsid w:val="0065102D"/>
    <w:rsid w:val="006531A5"/>
    <w:rsid w:val="00654845"/>
    <w:rsid w:val="0065488D"/>
    <w:rsid w:val="00657417"/>
    <w:rsid w:val="00661BFC"/>
    <w:rsid w:val="00663397"/>
    <w:rsid w:val="0066395F"/>
    <w:rsid w:val="00666764"/>
    <w:rsid w:val="006772A4"/>
    <w:rsid w:val="00681576"/>
    <w:rsid w:val="00686E65"/>
    <w:rsid w:val="0068796E"/>
    <w:rsid w:val="00690D35"/>
    <w:rsid w:val="006910D9"/>
    <w:rsid w:val="00693B21"/>
    <w:rsid w:val="006A7032"/>
    <w:rsid w:val="006B1820"/>
    <w:rsid w:val="006B5BE3"/>
    <w:rsid w:val="006B6BA7"/>
    <w:rsid w:val="006C1C43"/>
    <w:rsid w:val="006C1DD1"/>
    <w:rsid w:val="006C400A"/>
    <w:rsid w:val="006C7928"/>
    <w:rsid w:val="006C7E02"/>
    <w:rsid w:val="006D0064"/>
    <w:rsid w:val="006D195C"/>
    <w:rsid w:val="006D3FC3"/>
    <w:rsid w:val="006D4BE5"/>
    <w:rsid w:val="006E00B1"/>
    <w:rsid w:val="006E6EBB"/>
    <w:rsid w:val="006E778E"/>
    <w:rsid w:val="006F37BC"/>
    <w:rsid w:val="006F7207"/>
    <w:rsid w:val="006F7721"/>
    <w:rsid w:val="00701136"/>
    <w:rsid w:val="007036AA"/>
    <w:rsid w:val="00706EDB"/>
    <w:rsid w:val="00707EE5"/>
    <w:rsid w:val="0071129C"/>
    <w:rsid w:val="00712575"/>
    <w:rsid w:val="0072028E"/>
    <w:rsid w:val="00723683"/>
    <w:rsid w:val="00726DE1"/>
    <w:rsid w:val="00726FB3"/>
    <w:rsid w:val="00727A09"/>
    <w:rsid w:val="00731F37"/>
    <w:rsid w:val="0073289B"/>
    <w:rsid w:val="00746A43"/>
    <w:rsid w:val="00750258"/>
    <w:rsid w:val="00752D17"/>
    <w:rsid w:val="00753AE9"/>
    <w:rsid w:val="00757106"/>
    <w:rsid w:val="00760A6E"/>
    <w:rsid w:val="0076408C"/>
    <w:rsid w:val="00765769"/>
    <w:rsid w:val="007712A4"/>
    <w:rsid w:val="007713A3"/>
    <w:rsid w:val="00777475"/>
    <w:rsid w:val="0078039D"/>
    <w:rsid w:val="00780BE0"/>
    <w:rsid w:val="0078402F"/>
    <w:rsid w:val="0078651E"/>
    <w:rsid w:val="007873CC"/>
    <w:rsid w:val="00787B61"/>
    <w:rsid w:val="00791DAF"/>
    <w:rsid w:val="0079251C"/>
    <w:rsid w:val="00794C24"/>
    <w:rsid w:val="007953B2"/>
    <w:rsid w:val="0079540A"/>
    <w:rsid w:val="007956FD"/>
    <w:rsid w:val="0079740D"/>
    <w:rsid w:val="007A5C39"/>
    <w:rsid w:val="007A5CB1"/>
    <w:rsid w:val="007A66C4"/>
    <w:rsid w:val="007A7978"/>
    <w:rsid w:val="007B117D"/>
    <w:rsid w:val="007B5F20"/>
    <w:rsid w:val="007C0921"/>
    <w:rsid w:val="007C1A26"/>
    <w:rsid w:val="007C2A79"/>
    <w:rsid w:val="007C2E10"/>
    <w:rsid w:val="007C3500"/>
    <w:rsid w:val="007C5B95"/>
    <w:rsid w:val="007C5BD0"/>
    <w:rsid w:val="007D2990"/>
    <w:rsid w:val="007E13BA"/>
    <w:rsid w:val="007E491A"/>
    <w:rsid w:val="007E5A30"/>
    <w:rsid w:val="007F07A4"/>
    <w:rsid w:val="007F1746"/>
    <w:rsid w:val="007F3D53"/>
    <w:rsid w:val="007F3D98"/>
    <w:rsid w:val="007F4BCD"/>
    <w:rsid w:val="007F678F"/>
    <w:rsid w:val="0080050C"/>
    <w:rsid w:val="008008FD"/>
    <w:rsid w:val="00801313"/>
    <w:rsid w:val="0080431D"/>
    <w:rsid w:val="00807A2F"/>
    <w:rsid w:val="00815A60"/>
    <w:rsid w:val="008162C0"/>
    <w:rsid w:val="008173F7"/>
    <w:rsid w:val="00820720"/>
    <w:rsid w:val="0083416F"/>
    <w:rsid w:val="008352EB"/>
    <w:rsid w:val="00841925"/>
    <w:rsid w:val="00850AAD"/>
    <w:rsid w:val="008519A8"/>
    <w:rsid w:val="00856D72"/>
    <w:rsid w:val="00862CEC"/>
    <w:rsid w:val="00866FC8"/>
    <w:rsid w:val="00870136"/>
    <w:rsid w:val="00876C6F"/>
    <w:rsid w:val="0087761B"/>
    <w:rsid w:val="00880E43"/>
    <w:rsid w:val="00882AB0"/>
    <w:rsid w:val="00891AD5"/>
    <w:rsid w:val="00892333"/>
    <w:rsid w:val="008B10A4"/>
    <w:rsid w:val="008C1279"/>
    <w:rsid w:val="008C175E"/>
    <w:rsid w:val="008D08C6"/>
    <w:rsid w:val="008D1CCE"/>
    <w:rsid w:val="008D21E0"/>
    <w:rsid w:val="008D3FF7"/>
    <w:rsid w:val="008D551B"/>
    <w:rsid w:val="008D699F"/>
    <w:rsid w:val="008D732B"/>
    <w:rsid w:val="008E31BA"/>
    <w:rsid w:val="008E47D6"/>
    <w:rsid w:val="008E511B"/>
    <w:rsid w:val="008E5C84"/>
    <w:rsid w:val="008E6605"/>
    <w:rsid w:val="008E7CAE"/>
    <w:rsid w:val="008F25B5"/>
    <w:rsid w:val="008F5EE9"/>
    <w:rsid w:val="00904235"/>
    <w:rsid w:val="009046E3"/>
    <w:rsid w:val="0090523C"/>
    <w:rsid w:val="00905247"/>
    <w:rsid w:val="00905675"/>
    <w:rsid w:val="00905D5F"/>
    <w:rsid w:val="00906A31"/>
    <w:rsid w:val="00910418"/>
    <w:rsid w:val="009107D6"/>
    <w:rsid w:val="009114F2"/>
    <w:rsid w:val="00915A75"/>
    <w:rsid w:val="00916529"/>
    <w:rsid w:val="00916955"/>
    <w:rsid w:val="00917D2B"/>
    <w:rsid w:val="00920DAE"/>
    <w:rsid w:val="00922D9C"/>
    <w:rsid w:val="009243C1"/>
    <w:rsid w:val="00924418"/>
    <w:rsid w:val="00925C12"/>
    <w:rsid w:val="00930F99"/>
    <w:rsid w:val="00933395"/>
    <w:rsid w:val="00935BD8"/>
    <w:rsid w:val="009407D0"/>
    <w:rsid w:val="00941B6D"/>
    <w:rsid w:val="009439DF"/>
    <w:rsid w:val="009450B3"/>
    <w:rsid w:val="00945B70"/>
    <w:rsid w:val="00946512"/>
    <w:rsid w:val="00947EAF"/>
    <w:rsid w:val="00951EEC"/>
    <w:rsid w:val="00952513"/>
    <w:rsid w:val="00954D8B"/>
    <w:rsid w:val="00957CAC"/>
    <w:rsid w:val="00957F70"/>
    <w:rsid w:val="009620BE"/>
    <w:rsid w:val="0096295B"/>
    <w:rsid w:val="00964390"/>
    <w:rsid w:val="00965C02"/>
    <w:rsid w:val="00966B83"/>
    <w:rsid w:val="0097000D"/>
    <w:rsid w:val="0097003C"/>
    <w:rsid w:val="00974E3A"/>
    <w:rsid w:val="0097687A"/>
    <w:rsid w:val="00980667"/>
    <w:rsid w:val="00986B3B"/>
    <w:rsid w:val="00987BB9"/>
    <w:rsid w:val="00990FD3"/>
    <w:rsid w:val="009918FA"/>
    <w:rsid w:val="00991C77"/>
    <w:rsid w:val="00993AB5"/>
    <w:rsid w:val="009940EB"/>
    <w:rsid w:val="0099582C"/>
    <w:rsid w:val="009A091B"/>
    <w:rsid w:val="009A5AE4"/>
    <w:rsid w:val="009A77D9"/>
    <w:rsid w:val="009B015F"/>
    <w:rsid w:val="009B06F2"/>
    <w:rsid w:val="009B42F5"/>
    <w:rsid w:val="009B59D5"/>
    <w:rsid w:val="009B6B33"/>
    <w:rsid w:val="009C1560"/>
    <w:rsid w:val="009C5846"/>
    <w:rsid w:val="009C6C2E"/>
    <w:rsid w:val="009D0002"/>
    <w:rsid w:val="009D130B"/>
    <w:rsid w:val="009D1DFB"/>
    <w:rsid w:val="009D37DE"/>
    <w:rsid w:val="009D4B32"/>
    <w:rsid w:val="009D5916"/>
    <w:rsid w:val="009D741F"/>
    <w:rsid w:val="009E2034"/>
    <w:rsid w:val="009E5F44"/>
    <w:rsid w:val="009E76E0"/>
    <w:rsid w:val="009E77E8"/>
    <w:rsid w:val="009F17CF"/>
    <w:rsid w:val="009F4EA5"/>
    <w:rsid w:val="009F6078"/>
    <w:rsid w:val="00A01343"/>
    <w:rsid w:val="00A01D6C"/>
    <w:rsid w:val="00A03C51"/>
    <w:rsid w:val="00A07875"/>
    <w:rsid w:val="00A07FE1"/>
    <w:rsid w:val="00A14DB3"/>
    <w:rsid w:val="00A17ABD"/>
    <w:rsid w:val="00A25230"/>
    <w:rsid w:val="00A2747A"/>
    <w:rsid w:val="00A31854"/>
    <w:rsid w:val="00A33696"/>
    <w:rsid w:val="00A37075"/>
    <w:rsid w:val="00A40095"/>
    <w:rsid w:val="00A4022B"/>
    <w:rsid w:val="00A469A6"/>
    <w:rsid w:val="00A523FB"/>
    <w:rsid w:val="00A54EF3"/>
    <w:rsid w:val="00A554C5"/>
    <w:rsid w:val="00A572C9"/>
    <w:rsid w:val="00A678CA"/>
    <w:rsid w:val="00A719D2"/>
    <w:rsid w:val="00A7652D"/>
    <w:rsid w:val="00A77B43"/>
    <w:rsid w:val="00A81BA3"/>
    <w:rsid w:val="00A82B04"/>
    <w:rsid w:val="00A83B3A"/>
    <w:rsid w:val="00A84150"/>
    <w:rsid w:val="00A84D74"/>
    <w:rsid w:val="00A951C6"/>
    <w:rsid w:val="00AA2DDF"/>
    <w:rsid w:val="00AB1038"/>
    <w:rsid w:val="00AB407C"/>
    <w:rsid w:val="00AB4CA0"/>
    <w:rsid w:val="00AB792F"/>
    <w:rsid w:val="00AC0FA6"/>
    <w:rsid w:val="00AC263C"/>
    <w:rsid w:val="00AC263E"/>
    <w:rsid w:val="00AD46DF"/>
    <w:rsid w:val="00AD58BE"/>
    <w:rsid w:val="00AD671A"/>
    <w:rsid w:val="00AD6F89"/>
    <w:rsid w:val="00AD766C"/>
    <w:rsid w:val="00AE2FD2"/>
    <w:rsid w:val="00AE59C4"/>
    <w:rsid w:val="00AF150E"/>
    <w:rsid w:val="00AF2C21"/>
    <w:rsid w:val="00AF5E24"/>
    <w:rsid w:val="00AF6892"/>
    <w:rsid w:val="00B00173"/>
    <w:rsid w:val="00B0074C"/>
    <w:rsid w:val="00B022C6"/>
    <w:rsid w:val="00B05FFD"/>
    <w:rsid w:val="00B06D89"/>
    <w:rsid w:val="00B10148"/>
    <w:rsid w:val="00B13690"/>
    <w:rsid w:val="00B16F27"/>
    <w:rsid w:val="00B171BC"/>
    <w:rsid w:val="00B17337"/>
    <w:rsid w:val="00B2634A"/>
    <w:rsid w:val="00B27374"/>
    <w:rsid w:val="00B314EF"/>
    <w:rsid w:val="00B3172C"/>
    <w:rsid w:val="00B40D29"/>
    <w:rsid w:val="00B42558"/>
    <w:rsid w:val="00B4271C"/>
    <w:rsid w:val="00B42801"/>
    <w:rsid w:val="00B44937"/>
    <w:rsid w:val="00B45A41"/>
    <w:rsid w:val="00B4718A"/>
    <w:rsid w:val="00B479F7"/>
    <w:rsid w:val="00B50022"/>
    <w:rsid w:val="00B501E3"/>
    <w:rsid w:val="00B51A0B"/>
    <w:rsid w:val="00B51CEC"/>
    <w:rsid w:val="00B52225"/>
    <w:rsid w:val="00B542D9"/>
    <w:rsid w:val="00B611AC"/>
    <w:rsid w:val="00B70922"/>
    <w:rsid w:val="00B7717A"/>
    <w:rsid w:val="00B8340C"/>
    <w:rsid w:val="00B842E3"/>
    <w:rsid w:val="00B940C3"/>
    <w:rsid w:val="00B956CC"/>
    <w:rsid w:val="00BA1AE1"/>
    <w:rsid w:val="00BA3DB9"/>
    <w:rsid w:val="00BA5904"/>
    <w:rsid w:val="00BA6502"/>
    <w:rsid w:val="00BA6935"/>
    <w:rsid w:val="00BB1426"/>
    <w:rsid w:val="00BB1E0C"/>
    <w:rsid w:val="00BB53A1"/>
    <w:rsid w:val="00BB7CFB"/>
    <w:rsid w:val="00BC128E"/>
    <w:rsid w:val="00BC1488"/>
    <w:rsid w:val="00BC1CF7"/>
    <w:rsid w:val="00BC3C73"/>
    <w:rsid w:val="00BC5B68"/>
    <w:rsid w:val="00BC653A"/>
    <w:rsid w:val="00BC6D47"/>
    <w:rsid w:val="00BD627D"/>
    <w:rsid w:val="00BD6817"/>
    <w:rsid w:val="00BD773D"/>
    <w:rsid w:val="00BE0B6C"/>
    <w:rsid w:val="00BE1BD9"/>
    <w:rsid w:val="00BE4866"/>
    <w:rsid w:val="00BE7345"/>
    <w:rsid w:val="00BF24D1"/>
    <w:rsid w:val="00BF4CF1"/>
    <w:rsid w:val="00BF543C"/>
    <w:rsid w:val="00BF771A"/>
    <w:rsid w:val="00BF7816"/>
    <w:rsid w:val="00BF799F"/>
    <w:rsid w:val="00C00F87"/>
    <w:rsid w:val="00C01EF8"/>
    <w:rsid w:val="00C03370"/>
    <w:rsid w:val="00C05A21"/>
    <w:rsid w:val="00C07A25"/>
    <w:rsid w:val="00C16679"/>
    <w:rsid w:val="00C22997"/>
    <w:rsid w:val="00C24120"/>
    <w:rsid w:val="00C31871"/>
    <w:rsid w:val="00C32147"/>
    <w:rsid w:val="00C3314E"/>
    <w:rsid w:val="00C36C99"/>
    <w:rsid w:val="00C40098"/>
    <w:rsid w:val="00C40818"/>
    <w:rsid w:val="00C44CBF"/>
    <w:rsid w:val="00C464C7"/>
    <w:rsid w:val="00C4726C"/>
    <w:rsid w:val="00C515DB"/>
    <w:rsid w:val="00C53AD6"/>
    <w:rsid w:val="00C54E86"/>
    <w:rsid w:val="00C575D1"/>
    <w:rsid w:val="00C62A1D"/>
    <w:rsid w:val="00C73246"/>
    <w:rsid w:val="00C74293"/>
    <w:rsid w:val="00C76D35"/>
    <w:rsid w:val="00C83A17"/>
    <w:rsid w:val="00C83F2A"/>
    <w:rsid w:val="00C8474C"/>
    <w:rsid w:val="00C86867"/>
    <w:rsid w:val="00C91950"/>
    <w:rsid w:val="00C95DBB"/>
    <w:rsid w:val="00CA3406"/>
    <w:rsid w:val="00CA39CB"/>
    <w:rsid w:val="00CA470E"/>
    <w:rsid w:val="00CA7507"/>
    <w:rsid w:val="00CB17E7"/>
    <w:rsid w:val="00CB1FBF"/>
    <w:rsid w:val="00CB2A0B"/>
    <w:rsid w:val="00CB3702"/>
    <w:rsid w:val="00CC4EB8"/>
    <w:rsid w:val="00CC5D20"/>
    <w:rsid w:val="00CC6C77"/>
    <w:rsid w:val="00CD2843"/>
    <w:rsid w:val="00CD3684"/>
    <w:rsid w:val="00CE3493"/>
    <w:rsid w:val="00CE7BFB"/>
    <w:rsid w:val="00CE7ED7"/>
    <w:rsid w:val="00CF74DE"/>
    <w:rsid w:val="00D00248"/>
    <w:rsid w:val="00D01522"/>
    <w:rsid w:val="00D0219A"/>
    <w:rsid w:val="00D02732"/>
    <w:rsid w:val="00D0515F"/>
    <w:rsid w:val="00D07AEF"/>
    <w:rsid w:val="00D10E84"/>
    <w:rsid w:val="00D125B6"/>
    <w:rsid w:val="00D12622"/>
    <w:rsid w:val="00D13DCD"/>
    <w:rsid w:val="00D1476A"/>
    <w:rsid w:val="00D1523C"/>
    <w:rsid w:val="00D179D6"/>
    <w:rsid w:val="00D200BF"/>
    <w:rsid w:val="00D270B9"/>
    <w:rsid w:val="00D27401"/>
    <w:rsid w:val="00D278BF"/>
    <w:rsid w:val="00D349CF"/>
    <w:rsid w:val="00D37153"/>
    <w:rsid w:val="00D40F8B"/>
    <w:rsid w:val="00D422D0"/>
    <w:rsid w:val="00D43EF1"/>
    <w:rsid w:val="00D444B2"/>
    <w:rsid w:val="00D46342"/>
    <w:rsid w:val="00D47C5D"/>
    <w:rsid w:val="00D47C95"/>
    <w:rsid w:val="00D51639"/>
    <w:rsid w:val="00D52555"/>
    <w:rsid w:val="00D544DE"/>
    <w:rsid w:val="00D5649D"/>
    <w:rsid w:val="00D57E37"/>
    <w:rsid w:val="00D6170F"/>
    <w:rsid w:val="00D64148"/>
    <w:rsid w:val="00D64933"/>
    <w:rsid w:val="00D66C10"/>
    <w:rsid w:val="00D70251"/>
    <w:rsid w:val="00D7063C"/>
    <w:rsid w:val="00D711B5"/>
    <w:rsid w:val="00D7696E"/>
    <w:rsid w:val="00D81C89"/>
    <w:rsid w:val="00D8696A"/>
    <w:rsid w:val="00D90524"/>
    <w:rsid w:val="00D946E0"/>
    <w:rsid w:val="00DA2B79"/>
    <w:rsid w:val="00DA3A42"/>
    <w:rsid w:val="00DB15B2"/>
    <w:rsid w:val="00DB4B69"/>
    <w:rsid w:val="00DB5F0F"/>
    <w:rsid w:val="00DB64B2"/>
    <w:rsid w:val="00DB7740"/>
    <w:rsid w:val="00DB7B41"/>
    <w:rsid w:val="00DC2BA9"/>
    <w:rsid w:val="00DC3464"/>
    <w:rsid w:val="00DC5E11"/>
    <w:rsid w:val="00DC7DE4"/>
    <w:rsid w:val="00DD3FD7"/>
    <w:rsid w:val="00DD711E"/>
    <w:rsid w:val="00DE00EE"/>
    <w:rsid w:val="00DE274A"/>
    <w:rsid w:val="00DE622E"/>
    <w:rsid w:val="00DE7268"/>
    <w:rsid w:val="00DF3DE8"/>
    <w:rsid w:val="00DF4E54"/>
    <w:rsid w:val="00DF7373"/>
    <w:rsid w:val="00E03E32"/>
    <w:rsid w:val="00E070BE"/>
    <w:rsid w:val="00E075FA"/>
    <w:rsid w:val="00E0768F"/>
    <w:rsid w:val="00E1059F"/>
    <w:rsid w:val="00E105F4"/>
    <w:rsid w:val="00E115BB"/>
    <w:rsid w:val="00E12B7B"/>
    <w:rsid w:val="00E12C9F"/>
    <w:rsid w:val="00E15D83"/>
    <w:rsid w:val="00E1646D"/>
    <w:rsid w:val="00E255C6"/>
    <w:rsid w:val="00E30016"/>
    <w:rsid w:val="00E3018F"/>
    <w:rsid w:val="00E31CB0"/>
    <w:rsid w:val="00E37361"/>
    <w:rsid w:val="00E4214A"/>
    <w:rsid w:val="00E43714"/>
    <w:rsid w:val="00E43B25"/>
    <w:rsid w:val="00E51ADF"/>
    <w:rsid w:val="00E53E0E"/>
    <w:rsid w:val="00E55A7A"/>
    <w:rsid w:val="00E574C3"/>
    <w:rsid w:val="00E57A9F"/>
    <w:rsid w:val="00E60816"/>
    <w:rsid w:val="00E63178"/>
    <w:rsid w:val="00E641C8"/>
    <w:rsid w:val="00E65D87"/>
    <w:rsid w:val="00E66E63"/>
    <w:rsid w:val="00E67F65"/>
    <w:rsid w:val="00E72114"/>
    <w:rsid w:val="00E73D44"/>
    <w:rsid w:val="00E77DE3"/>
    <w:rsid w:val="00E85164"/>
    <w:rsid w:val="00E85F74"/>
    <w:rsid w:val="00E86186"/>
    <w:rsid w:val="00E87E7D"/>
    <w:rsid w:val="00E91938"/>
    <w:rsid w:val="00EA1C9F"/>
    <w:rsid w:val="00EB16E9"/>
    <w:rsid w:val="00EB3100"/>
    <w:rsid w:val="00EB3BA4"/>
    <w:rsid w:val="00EB44D0"/>
    <w:rsid w:val="00EB4650"/>
    <w:rsid w:val="00EC5732"/>
    <w:rsid w:val="00EC5E86"/>
    <w:rsid w:val="00ED1ADD"/>
    <w:rsid w:val="00ED1B14"/>
    <w:rsid w:val="00ED4FAF"/>
    <w:rsid w:val="00EE05AC"/>
    <w:rsid w:val="00EE20A5"/>
    <w:rsid w:val="00EE2467"/>
    <w:rsid w:val="00EE5E02"/>
    <w:rsid w:val="00EE6DDA"/>
    <w:rsid w:val="00EF7A61"/>
    <w:rsid w:val="00F01368"/>
    <w:rsid w:val="00F014B1"/>
    <w:rsid w:val="00F024AD"/>
    <w:rsid w:val="00F025DB"/>
    <w:rsid w:val="00F03250"/>
    <w:rsid w:val="00F04817"/>
    <w:rsid w:val="00F101E3"/>
    <w:rsid w:val="00F11C89"/>
    <w:rsid w:val="00F203AA"/>
    <w:rsid w:val="00F23BC2"/>
    <w:rsid w:val="00F26A62"/>
    <w:rsid w:val="00F26E08"/>
    <w:rsid w:val="00F27B0A"/>
    <w:rsid w:val="00F27EFF"/>
    <w:rsid w:val="00F30271"/>
    <w:rsid w:val="00F309DC"/>
    <w:rsid w:val="00F320C2"/>
    <w:rsid w:val="00F32492"/>
    <w:rsid w:val="00F329E9"/>
    <w:rsid w:val="00F333DC"/>
    <w:rsid w:val="00F3408E"/>
    <w:rsid w:val="00F34FB9"/>
    <w:rsid w:val="00F42562"/>
    <w:rsid w:val="00F444C7"/>
    <w:rsid w:val="00F467F4"/>
    <w:rsid w:val="00F46D8A"/>
    <w:rsid w:val="00F54CB4"/>
    <w:rsid w:val="00F5524D"/>
    <w:rsid w:val="00F642C5"/>
    <w:rsid w:val="00F65C04"/>
    <w:rsid w:val="00F670B9"/>
    <w:rsid w:val="00F70F3B"/>
    <w:rsid w:val="00F74621"/>
    <w:rsid w:val="00F74A3F"/>
    <w:rsid w:val="00F74D59"/>
    <w:rsid w:val="00F75B57"/>
    <w:rsid w:val="00F75F63"/>
    <w:rsid w:val="00F7674E"/>
    <w:rsid w:val="00F82093"/>
    <w:rsid w:val="00F838E8"/>
    <w:rsid w:val="00F843CD"/>
    <w:rsid w:val="00F864D8"/>
    <w:rsid w:val="00F909F4"/>
    <w:rsid w:val="00F91089"/>
    <w:rsid w:val="00F9361B"/>
    <w:rsid w:val="00F9399C"/>
    <w:rsid w:val="00F959CF"/>
    <w:rsid w:val="00F961C5"/>
    <w:rsid w:val="00F96DFA"/>
    <w:rsid w:val="00FA17C2"/>
    <w:rsid w:val="00FA3540"/>
    <w:rsid w:val="00FA4AD1"/>
    <w:rsid w:val="00FA4E4B"/>
    <w:rsid w:val="00FA5106"/>
    <w:rsid w:val="00FB22B4"/>
    <w:rsid w:val="00FB31CB"/>
    <w:rsid w:val="00FB3698"/>
    <w:rsid w:val="00FB78E7"/>
    <w:rsid w:val="00FC008C"/>
    <w:rsid w:val="00FC1850"/>
    <w:rsid w:val="00FC2335"/>
    <w:rsid w:val="00FC7DC0"/>
    <w:rsid w:val="00FD2966"/>
    <w:rsid w:val="00FD3812"/>
    <w:rsid w:val="00FD581E"/>
    <w:rsid w:val="00FE0FA1"/>
    <w:rsid w:val="00FE3645"/>
    <w:rsid w:val="00FE4279"/>
    <w:rsid w:val="00FE696C"/>
    <w:rsid w:val="00FE6B50"/>
    <w:rsid w:val="00FF268F"/>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 w:type="paragraph" w:styleId="Textonotaalfinal">
    <w:name w:val="endnote text"/>
    <w:basedOn w:val="Normal"/>
    <w:link w:val="TextonotaalfinalCar"/>
    <w:uiPriority w:val="99"/>
    <w:semiHidden/>
    <w:unhideWhenUsed/>
    <w:rsid w:val="00305EFC"/>
    <w:rPr>
      <w:sz w:val="20"/>
      <w:szCs w:val="20"/>
    </w:rPr>
  </w:style>
  <w:style w:type="character" w:customStyle="1" w:styleId="TextonotaalfinalCar">
    <w:name w:val="Texto nota al final Car"/>
    <w:basedOn w:val="Fuentedeprrafopredeter"/>
    <w:link w:val="Textonotaalfinal"/>
    <w:uiPriority w:val="99"/>
    <w:semiHidden/>
    <w:rsid w:val="00305EF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30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659650337">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5972E-7905-4368-945B-E82DF1C1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6728</Words>
  <Characters>37006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cp:lastModifiedBy>
  <cp:revision>19</cp:revision>
  <cp:lastPrinted>2020-10-26T16:42:00Z</cp:lastPrinted>
  <dcterms:created xsi:type="dcterms:W3CDTF">2020-10-22T16:12:00Z</dcterms:created>
  <dcterms:modified xsi:type="dcterms:W3CDTF">2020-10-27T16:26:00Z</dcterms:modified>
</cp:coreProperties>
</file>