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95" w:type="pct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1"/>
        <w:gridCol w:w="1050"/>
      </w:tblGrid>
      <w:tr w:rsidR="003F1CB6" w:rsidRPr="00403D69" w14:paraId="4EE6A248" w14:textId="77777777" w:rsidTr="008C757A">
        <w:trPr>
          <w:trHeight w:val="414"/>
        </w:trPr>
        <w:tc>
          <w:tcPr>
            <w:tcW w:w="4435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8C757A">
        <w:trPr>
          <w:trHeight w:val="414"/>
        </w:trPr>
        <w:tc>
          <w:tcPr>
            <w:tcW w:w="4435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8C757A">
        <w:trPr>
          <w:trHeight w:val="414"/>
        </w:trPr>
        <w:tc>
          <w:tcPr>
            <w:tcW w:w="4435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8C757A">
        <w:trPr>
          <w:trHeight w:val="414"/>
        </w:trPr>
        <w:tc>
          <w:tcPr>
            <w:tcW w:w="4435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14:paraId="17134B42" w14:textId="484DE549" w:rsidR="003F1CB6" w:rsidRPr="00403D69" w:rsidRDefault="00766D6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8C757A">
        <w:trPr>
          <w:trHeight w:val="414"/>
        </w:trPr>
        <w:tc>
          <w:tcPr>
            <w:tcW w:w="4435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8C757A">
        <w:trPr>
          <w:trHeight w:val="414"/>
        </w:trPr>
        <w:tc>
          <w:tcPr>
            <w:tcW w:w="4435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14:paraId="1CC67902" w14:textId="05F5B1CA" w:rsidR="003F1CB6" w:rsidRPr="00403D69" w:rsidRDefault="006F757C" w:rsidP="005A30B6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766D6A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454B2811" w14:textId="77777777" w:rsidTr="008C757A">
        <w:trPr>
          <w:trHeight w:val="414"/>
        </w:trPr>
        <w:tc>
          <w:tcPr>
            <w:tcW w:w="4435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8C757A">
        <w:trPr>
          <w:trHeight w:val="414"/>
        </w:trPr>
        <w:tc>
          <w:tcPr>
            <w:tcW w:w="4435" w:type="pct"/>
            <w:vMerge w:val="restart"/>
            <w:shd w:val="clear" w:color="auto" w:fill="auto"/>
            <w:hideMark/>
          </w:tcPr>
          <w:p w14:paraId="71CD4153" w14:textId="4FC5E216" w:rsidR="003F1CB6" w:rsidRDefault="003F1CB6" w:rsidP="00CF2B0B">
            <w:pPr>
              <w:spacing w:line="360" w:lineRule="auto"/>
              <w:ind w:left="214" w:hanging="21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200F29">
              <w:rPr>
                <w:rFonts w:ascii="Arial" w:hAnsi="Arial" w:cs="Arial"/>
                <w:b/>
                <w:bCs/>
              </w:rPr>
              <w:t xml:space="preserve"> </w:t>
            </w:r>
            <w:r w:rsidR="00766D6A">
              <w:rPr>
                <w:rFonts w:ascii="Arial" w:hAnsi="Arial" w:cs="Arial"/>
                <w:b/>
                <w:bCs/>
              </w:rPr>
              <w:t xml:space="preserve">       </w:t>
            </w:r>
          </w:p>
          <w:p w14:paraId="6F4CF8BA" w14:textId="15D39A25" w:rsidR="00200F29" w:rsidRPr="00403D69" w:rsidRDefault="00200F29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8C757A">
        <w:trPr>
          <w:trHeight w:val="414"/>
        </w:trPr>
        <w:tc>
          <w:tcPr>
            <w:tcW w:w="4435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8C757A">
        <w:trPr>
          <w:trHeight w:val="20"/>
        </w:trPr>
        <w:tc>
          <w:tcPr>
            <w:tcW w:w="4435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5" w:type="pct"/>
            <w:shd w:val="clear" w:color="auto" w:fill="auto"/>
            <w:hideMark/>
          </w:tcPr>
          <w:p w14:paraId="1B7BA204" w14:textId="377D6B1E" w:rsidR="003F1CB6" w:rsidRPr="00403D69" w:rsidRDefault="00766D6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2F2B0472" w14:textId="77777777" w:rsidTr="008C757A">
        <w:trPr>
          <w:trHeight w:val="20"/>
        </w:trPr>
        <w:tc>
          <w:tcPr>
            <w:tcW w:w="4435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5" w:type="pct"/>
            <w:shd w:val="clear" w:color="auto" w:fill="auto"/>
          </w:tcPr>
          <w:p w14:paraId="009A0128" w14:textId="3EAC22EA" w:rsidR="003F1CB6" w:rsidRPr="00403D69" w:rsidRDefault="00766D6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D152633" w14:textId="77777777" w:rsidTr="008C757A">
        <w:trPr>
          <w:trHeight w:val="20"/>
        </w:trPr>
        <w:tc>
          <w:tcPr>
            <w:tcW w:w="4435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5" w:type="pct"/>
            <w:shd w:val="clear" w:color="auto" w:fill="auto"/>
          </w:tcPr>
          <w:p w14:paraId="286D885D" w14:textId="7EA0087A" w:rsidR="003F1CB6" w:rsidRPr="00403D69" w:rsidRDefault="00766D6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8C757A">
        <w:trPr>
          <w:trHeight w:val="20"/>
        </w:trPr>
        <w:tc>
          <w:tcPr>
            <w:tcW w:w="4435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5" w:type="pct"/>
            <w:shd w:val="clear" w:color="auto" w:fill="auto"/>
          </w:tcPr>
          <w:p w14:paraId="36898F2C" w14:textId="58C52DC2" w:rsidR="003F1CB6" w:rsidRPr="00403D69" w:rsidRDefault="00766D6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8C757A">
        <w:trPr>
          <w:trHeight w:val="20"/>
        </w:trPr>
        <w:tc>
          <w:tcPr>
            <w:tcW w:w="4435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5" w:type="pct"/>
            <w:shd w:val="clear" w:color="auto" w:fill="auto"/>
          </w:tcPr>
          <w:p w14:paraId="69AB29BB" w14:textId="76DC0791" w:rsidR="003F1CB6" w:rsidRPr="00403D69" w:rsidRDefault="00766D6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8C757A">
        <w:trPr>
          <w:trHeight w:val="20"/>
        </w:trPr>
        <w:tc>
          <w:tcPr>
            <w:tcW w:w="4435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5" w:type="pct"/>
            <w:shd w:val="clear" w:color="auto" w:fill="auto"/>
          </w:tcPr>
          <w:p w14:paraId="14207A3E" w14:textId="298683DF" w:rsidR="003F1CB6" w:rsidRPr="00403D69" w:rsidRDefault="00766D6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2FFEBB74" w14:textId="77777777" w:rsidTr="008C757A">
        <w:trPr>
          <w:trHeight w:val="20"/>
        </w:trPr>
        <w:tc>
          <w:tcPr>
            <w:tcW w:w="4435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5" w:type="pct"/>
            <w:shd w:val="clear" w:color="auto" w:fill="auto"/>
          </w:tcPr>
          <w:p w14:paraId="537AFB12" w14:textId="4B301DEE" w:rsidR="003F1CB6" w:rsidRPr="00403D69" w:rsidRDefault="00321730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48C9FCB2" w14:textId="77777777" w:rsidTr="008C757A">
        <w:trPr>
          <w:trHeight w:val="20"/>
        </w:trPr>
        <w:tc>
          <w:tcPr>
            <w:tcW w:w="4435" w:type="pct"/>
            <w:shd w:val="clear" w:color="auto" w:fill="auto"/>
          </w:tcPr>
          <w:p w14:paraId="5A6A29C8" w14:textId="030D047E" w:rsidR="003F1CB6" w:rsidRDefault="003F1CB6" w:rsidP="00366698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D079F8">
              <w:rPr>
                <w:rFonts w:ascii="Arial" w:hAnsi="Arial" w:cs="Arial"/>
                <w:b/>
                <w:bCs/>
              </w:rPr>
              <w:t xml:space="preserve">que intervinieron en </w:t>
            </w:r>
            <w:r w:rsidRPr="00403D69">
              <w:rPr>
                <w:rFonts w:ascii="Arial" w:hAnsi="Arial" w:cs="Arial"/>
                <w:b/>
                <w:bCs/>
              </w:rPr>
              <w:t xml:space="preserve">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5" w:type="pct"/>
            <w:shd w:val="clear" w:color="auto" w:fill="auto"/>
          </w:tcPr>
          <w:p w14:paraId="35D1B2ED" w14:textId="2469A2BF" w:rsidR="003F1CB6" w:rsidRDefault="003F1CB6" w:rsidP="009C22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21730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746BE4DF" w14:textId="77777777" w:rsidTr="008C757A">
        <w:trPr>
          <w:trHeight w:val="20"/>
        </w:trPr>
        <w:tc>
          <w:tcPr>
            <w:tcW w:w="4435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5" w:type="pct"/>
            <w:shd w:val="clear" w:color="auto" w:fill="auto"/>
          </w:tcPr>
          <w:p w14:paraId="231EECB7" w14:textId="48913579" w:rsidR="003F1CB6" w:rsidRPr="00403D69" w:rsidRDefault="003F1CB6" w:rsidP="00A607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766D6A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2F8B1763" w14:textId="77777777" w:rsidTr="008C757A">
        <w:trPr>
          <w:trHeight w:val="20"/>
        </w:trPr>
        <w:tc>
          <w:tcPr>
            <w:tcW w:w="4435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5" w:type="pct"/>
            <w:shd w:val="clear" w:color="auto" w:fill="auto"/>
          </w:tcPr>
          <w:p w14:paraId="076E5A4E" w14:textId="7DBAD482" w:rsidR="003F1CB6" w:rsidRPr="00403D69" w:rsidRDefault="00A82FD9" w:rsidP="00D7536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34C6A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6CA1BCEB" w14:textId="77777777" w:rsidTr="00C34C6A">
        <w:trPr>
          <w:trHeight w:val="241"/>
        </w:trPr>
        <w:tc>
          <w:tcPr>
            <w:tcW w:w="4435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5" w:type="pct"/>
            <w:shd w:val="clear" w:color="auto" w:fill="auto"/>
            <w:hideMark/>
          </w:tcPr>
          <w:p w14:paraId="3B19ECE4" w14:textId="7E30616D" w:rsidR="003F1CB6" w:rsidRPr="00403D69" w:rsidRDefault="003F1CB6" w:rsidP="009C222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190B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06F62119" w14:textId="77777777" w:rsidTr="004615F9">
        <w:trPr>
          <w:trHeight w:val="685"/>
        </w:trPr>
        <w:tc>
          <w:tcPr>
            <w:tcW w:w="4435" w:type="pct"/>
            <w:shd w:val="clear" w:color="auto" w:fill="auto"/>
          </w:tcPr>
          <w:p w14:paraId="0C5D56DB" w14:textId="33A015FD" w:rsidR="00954832" w:rsidRPr="00C34C6A" w:rsidRDefault="00954832" w:rsidP="004615F9">
            <w:pPr>
              <w:spacing w:after="180" w:line="360" w:lineRule="auto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565" w:type="pct"/>
            <w:shd w:val="clear" w:color="auto" w:fill="auto"/>
          </w:tcPr>
          <w:p w14:paraId="73D9D610" w14:textId="05F75CBE" w:rsidR="003F1CB6" w:rsidRPr="00403D69" w:rsidRDefault="003F1CB6" w:rsidP="00A607C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41DB3" w:rsidRPr="00403D69" w14:paraId="662BFEA2" w14:textId="77777777" w:rsidTr="00187C25">
        <w:trPr>
          <w:trHeight w:val="414"/>
        </w:trPr>
        <w:tc>
          <w:tcPr>
            <w:tcW w:w="4435" w:type="pct"/>
            <w:vMerge w:val="restart"/>
            <w:shd w:val="clear" w:color="auto" w:fill="auto"/>
            <w:hideMark/>
          </w:tcPr>
          <w:p w14:paraId="25DE6BB4" w14:textId="77777777" w:rsidR="00C34C6A" w:rsidRDefault="00C34C6A" w:rsidP="00187C25">
            <w:pPr>
              <w:spacing w:line="360" w:lineRule="auto"/>
              <w:ind w:left="214" w:hanging="214"/>
              <w:rPr>
                <w:rFonts w:ascii="Arial" w:hAnsi="Arial" w:cs="Arial"/>
                <w:b/>
                <w:bCs/>
              </w:rPr>
            </w:pPr>
          </w:p>
          <w:p w14:paraId="089C888A" w14:textId="649AE8B6" w:rsidR="00841DB3" w:rsidRDefault="00841DB3" w:rsidP="00187C25">
            <w:pPr>
              <w:spacing w:line="360" w:lineRule="auto"/>
              <w:ind w:left="214" w:hanging="21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II. INFORME INDIVIDUAL DE AUDITORÍA RELATIVO A EGRESOS</w:t>
            </w:r>
          </w:p>
          <w:p w14:paraId="782EC3FC" w14:textId="77777777" w:rsidR="00841DB3" w:rsidRPr="00403D69" w:rsidRDefault="00841DB3" w:rsidP="00187C2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14:paraId="3521A10B" w14:textId="77777777" w:rsidR="00841DB3" w:rsidRPr="00403D69" w:rsidRDefault="00841DB3" w:rsidP="00187C2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41DB3" w:rsidRPr="00403D69" w14:paraId="6E19E0A5" w14:textId="77777777" w:rsidTr="00187C25">
        <w:trPr>
          <w:trHeight w:val="414"/>
        </w:trPr>
        <w:tc>
          <w:tcPr>
            <w:tcW w:w="4435" w:type="pct"/>
            <w:vMerge/>
            <w:shd w:val="clear" w:color="auto" w:fill="auto"/>
            <w:hideMark/>
          </w:tcPr>
          <w:p w14:paraId="40D46C4F" w14:textId="77777777" w:rsidR="00841DB3" w:rsidRPr="00403D69" w:rsidRDefault="00841DB3" w:rsidP="00187C2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" w:type="pct"/>
            <w:vMerge/>
            <w:shd w:val="clear" w:color="auto" w:fill="auto"/>
            <w:hideMark/>
          </w:tcPr>
          <w:p w14:paraId="304BFC46" w14:textId="77777777" w:rsidR="00841DB3" w:rsidRPr="00403D69" w:rsidRDefault="00841DB3" w:rsidP="00187C2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41DB3" w:rsidRPr="00403D69" w14:paraId="50AF7CCC" w14:textId="77777777" w:rsidTr="00187C25">
        <w:trPr>
          <w:trHeight w:val="20"/>
        </w:trPr>
        <w:tc>
          <w:tcPr>
            <w:tcW w:w="4435" w:type="pct"/>
            <w:shd w:val="clear" w:color="auto" w:fill="auto"/>
            <w:hideMark/>
          </w:tcPr>
          <w:p w14:paraId="71CC0443" w14:textId="4900439B" w:rsidR="00841DB3" w:rsidRPr="00403D69" w:rsidRDefault="00841DB3" w:rsidP="00187C25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I.1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5" w:type="pct"/>
            <w:shd w:val="clear" w:color="auto" w:fill="auto"/>
            <w:hideMark/>
          </w:tcPr>
          <w:p w14:paraId="3ACC74F4" w14:textId="59154684" w:rsidR="00841DB3" w:rsidRPr="00427A2A" w:rsidRDefault="004615F9" w:rsidP="004615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7A2A">
              <w:rPr>
                <w:rFonts w:ascii="Arial" w:hAnsi="Arial" w:cs="Arial"/>
                <w:b/>
              </w:rPr>
              <w:t>1</w:t>
            </w:r>
            <w:r w:rsidR="00C34C6A" w:rsidRPr="00427A2A">
              <w:rPr>
                <w:rFonts w:ascii="Arial" w:hAnsi="Arial" w:cs="Arial"/>
                <w:b/>
              </w:rPr>
              <w:t>2</w:t>
            </w:r>
          </w:p>
        </w:tc>
      </w:tr>
      <w:tr w:rsidR="00841DB3" w:rsidRPr="00403D69" w14:paraId="39F22C3A" w14:textId="77777777" w:rsidTr="00187C25">
        <w:trPr>
          <w:trHeight w:val="20"/>
        </w:trPr>
        <w:tc>
          <w:tcPr>
            <w:tcW w:w="4435" w:type="pct"/>
            <w:shd w:val="clear" w:color="auto" w:fill="auto"/>
          </w:tcPr>
          <w:p w14:paraId="775374E0" w14:textId="77777777" w:rsidR="00841DB3" w:rsidRPr="00403D69" w:rsidRDefault="00841DB3" w:rsidP="00187C25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5" w:type="pct"/>
            <w:shd w:val="clear" w:color="auto" w:fill="auto"/>
          </w:tcPr>
          <w:p w14:paraId="57B79C40" w14:textId="61D07E46" w:rsidR="00841DB3" w:rsidRPr="00427A2A" w:rsidRDefault="004615F9" w:rsidP="00187C2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7A2A">
              <w:rPr>
                <w:rFonts w:ascii="Arial" w:hAnsi="Arial" w:cs="Arial"/>
                <w:b/>
              </w:rPr>
              <w:t>1</w:t>
            </w:r>
            <w:r w:rsidR="00C34C6A" w:rsidRPr="00427A2A">
              <w:rPr>
                <w:rFonts w:ascii="Arial" w:hAnsi="Arial" w:cs="Arial"/>
                <w:b/>
              </w:rPr>
              <w:t>2</w:t>
            </w:r>
          </w:p>
        </w:tc>
      </w:tr>
      <w:tr w:rsidR="00841DB3" w:rsidRPr="00403D69" w14:paraId="46CE0E02" w14:textId="77777777" w:rsidTr="00187C25">
        <w:trPr>
          <w:trHeight w:val="20"/>
        </w:trPr>
        <w:tc>
          <w:tcPr>
            <w:tcW w:w="4435" w:type="pct"/>
            <w:shd w:val="clear" w:color="auto" w:fill="auto"/>
          </w:tcPr>
          <w:p w14:paraId="1A9772E8" w14:textId="77777777" w:rsidR="00841DB3" w:rsidRPr="00403D69" w:rsidRDefault="00841DB3" w:rsidP="00187C25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5" w:type="pct"/>
            <w:shd w:val="clear" w:color="auto" w:fill="auto"/>
          </w:tcPr>
          <w:p w14:paraId="3F1FECD9" w14:textId="142243DA" w:rsidR="00841DB3" w:rsidRPr="00427A2A" w:rsidRDefault="004615F9" w:rsidP="0026575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7A2A">
              <w:rPr>
                <w:rFonts w:ascii="Arial" w:hAnsi="Arial" w:cs="Arial"/>
                <w:b/>
              </w:rPr>
              <w:t>1</w:t>
            </w:r>
            <w:r w:rsidR="00482A91">
              <w:rPr>
                <w:rFonts w:ascii="Arial" w:hAnsi="Arial" w:cs="Arial"/>
                <w:b/>
              </w:rPr>
              <w:t>2</w:t>
            </w:r>
          </w:p>
        </w:tc>
      </w:tr>
      <w:tr w:rsidR="00841DB3" w:rsidRPr="00403D69" w14:paraId="1B6D2EB2" w14:textId="77777777" w:rsidTr="00187C25">
        <w:trPr>
          <w:trHeight w:val="20"/>
        </w:trPr>
        <w:tc>
          <w:tcPr>
            <w:tcW w:w="4435" w:type="pct"/>
            <w:shd w:val="clear" w:color="auto" w:fill="auto"/>
          </w:tcPr>
          <w:p w14:paraId="69FC4003" w14:textId="77777777" w:rsidR="00841DB3" w:rsidRPr="00403D69" w:rsidRDefault="00841DB3" w:rsidP="00187C25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5" w:type="pct"/>
            <w:shd w:val="clear" w:color="auto" w:fill="auto"/>
          </w:tcPr>
          <w:p w14:paraId="0D309267" w14:textId="57A5C450" w:rsidR="00841DB3" w:rsidRPr="00427A2A" w:rsidRDefault="004615F9" w:rsidP="00187C2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7A2A">
              <w:rPr>
                <w:rFonts w:ascii="Arial" w:hAnsi="Arial" w:cs="Arial"/>
                <w:b/>
              </w:rPr>
              <w:t>1</w:t>
            </w:r>
            <w:r w:rsidR="009C2226">
              <w:rPr>
                <w:rFonts w:ascii="Arial" w:hAnsi="Arial" w:cs="Arial"/>
                <w:b/>
              </w:rPr>
              <w:t>3</w:t>
            </w:r>
          </w:p>
        </w:tc>
      </w:tr>
      <w:tr w:rsidR="00841DB3" w:rsidRPr="00403D69" w14:paraId="364888F1" w14:textId="77777777" w:rsidTr="00187C25">
        <w:trPr>
          <w:trHeight w:val="20"/>
        </w:trPr>
        <w:tc>
          <w:tcPr>
            <w:tcW w:w="4435" w:type="pct"/>
            <w:shd w:val="clear" w:color="auto" w:fill="auto"/>
          </w:tcPr>
          <w:p w14:paraId="46A51BC2" w14:textId="77777777" w:rsidR="00841DB3" w:rsidRPr="00945D64" w:rsidRDefault="00841DB3" w:rsidP="00187C25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5" w:type="pct"/>
            <w:shd w:val="clear" w:color="auto" w:fill="auto"/>
          </w:tcPr>
          <w:p w14:paraId="4726CB0D" w14:textId="2D461D3E" w:rsidR="00841DB3" w:rsidRPr="00427A2A" w:rsidRDefault="00A26CA4" w:rsidP="00187C2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7A2A">
              <w:rPr>
                <w:rFonts w:ascii="Arial" w:hAnsi="Arial" w:cs="Arial"/>
                <w:b/>
              </w:rPr>
              <w:t>1</w:t>
            </w:r>
            <w:r w:rsidR="0057190B">
              <w:rPr>
                <w:rFonts w:ascii="Arial" w:hAnsi="Arial" w:cs="Arial"/>
                <w:b/>
              </w:rPr>
              <w:t>3</w:t>
            </w:r>
          </w:p>
        </w:tc>
      </w:tr>
      <w:tr w:rsidR="00841DB3" w:rsidRPr="00403D69" w14:paraId="66E17E50" w14:textId="77777777" w:rsidTr="00187C25">
        <w:trPr>
          <w:trHeight w:val="20"/>
        </w:trPr>
        <w:tc>
          <w:tcPr>
            <w:tcW w:w="4435" w:type="pct"/>
            <w:shd w:val="clear" w:color="auto" w:fill="auto"/>
          </w:tcPr>
          <w:p w14:paraId="17BA4983" w14:textId="77777777" w:rsidR="00841DB3" w:rsidRPr="00403D69" w:rsidRDefault="00841DB3" w:rsidP="00187C25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5" w:type="pct"/>
            <w:shd w:val="clear" w:color="auto" w:fill="auto"/>
          </w:tcPr>
          <w:p w14:paraId="60A2F6C3" w14:textId="2992726C" w:rsidR="00841DB3" w:rsidRPr="00427A2A" w:rsidRDefault="00841DB3" w:rsidP="00187C2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7A2A">
              <w:rPr>
                <w:rFonts w:ascii="Arial" w:hAnsi="Arial" w:cs="Arial"/>
                <w:b/>
              </w:rPr>
              <w:t>1</w:t>
            </w:r>
            <w:r w:rsidR="0057190B">
              <w:rPr>
                <w:rFonts w:ascii="Arial" w:hAnsi="Arial" w:cs="Arial"/>
                <w:b/>
              </w:rPr>
              <w:t>4</w:t>
            </w:r>
          </w:p>
        </w:tc>
      </w:tr>
      <w:tr w:rsidR="00841DB3" w:rsidRPr="00403D69" w14:paraId="584763FA" w14:textId="77777777" w:rsidTr="00187C25">
        <w:trPr>
          <w:trHeight w:val="20"/>
        </w:trPr>
        <w:tc>
          <w:tcPr>
            <w:tcW w:w="4435" w:type="pct"/>
            <w:shd w:val="clear" w:color="auto" w:fill="auto"/>
          </w:tcPr>
          <w:p w14:paraId="73B7BD58" w14:textId="77777777" w:rsidR="00841DB3" w:rsidRPr="00403D69" w:rsidRDefault="00841DB3" w:rsidP="00187C25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5" w:type="pct"/>
            <w:shd w:val="clear" w:color="auto" w:fill="auto"/>
          </w:tcPr>
          <w:p w14:paraId="6AE7C397" w14:textId="17976277" w:rsidR="00841DB3" w:rsidRPr="00427A2A" w:rsidRDefault="00841DB3" w:rsidP="00187C2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7A2A">
              <w:rPr>
                <w:rFonts w:ascii="Arial" w:hAnsi="Arial" w:cs="Arial"/>
                <w:b/>
              </w:rPr>
              <w:t>1</w:t>
            </w:r>
            <w:r w:rsidR="00C34C6A" w:rsidRPr="00427A2A">
              <w:rPr>
                <w:rFonts w:ascii="Arial" w:hAnsi="Arial" w:cs="Arial"/>
                <w:b/>
              </w:rPr>
              <w:t>5</w:t>
            </w:r>
          </w:p>
        </w:tc>
      </w:tr>
      <w:tr w:rsidR="00841DB3" w:rsidRPr="00403D69" w14:paraId="081DBF72" w14:textId="77777777" w:rsidTr="00187C25">
        <w:trPr>
          <w:trHeight w:val="20"/>
        </w:trPr>
        <w:tc>
          <w:tcPr>
            <w:tcW w:w="4435" w:type="pct"/>
            <w:shd w:val="clear" w:color="auto" w:fill="auto"/>
          </w:tcPr>
          <w:p w14:paraId="45D34BDB" w14:textId="3521D533" w:rsidR="00841DB3" w:rsidRDefault="00841DB3" w:rsidP="0026575A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26575A">
              <w:rPr>
                <w:rFonts w:ascii="Arial" w:hAnsi="Arial" w:cs="Arial"/>
                <w:b/>
                <w:bCs/>
              </w:rPr>
              <w:t xml:space="preserve">que intervinieron en </w:t>
            </w:r>
            <w:r w:rsidRPr="00403D69">
              <w:rPr>
                <w:rFonts w:ascii="Arial" w:hAnsi="Arial" w:cs="Arial"/>
                <w:b/>
                <w:bCs/>
              </w:rPr>
              <w:t xml:space="preserve">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5" w:type="pct"/>
            <w:shd w:val="clear" w:color="auto" w:fill="auto"/>
          </w:tcPr>
          <w:p w14:paraId="5611E8D3" w14:textId="5F9B016F" w:rsidR="00841DB3" w:rsidRPr="00427A2A" w:rsidRDefault="00841DB3" w:rsidP="00C34C6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7A2A">
              <w:rPr>
                <w:rFonts w:ascii="Arial" w:hAnsi="Arial" w:cs="Arial"/>
                <w:b/>
              </w:rPr>
              <w:t>1</w:t>
            </w:r>
            <w:r w:rsidR="0057190B">
              <w:rPr>
                <w:rFonts w:ascii="Arial" w:hAnsi="Arial" w:cs="Arial"/>
                <w:b/>
              </w:rPr>
              <w:t>7</w:t>
            </w:r>
          </w:p>
        </w:tc>
      </w:tr>
      <w:tr w:rsidR="00841DB3" w:rsidRPr="00403D69" w14:paraId="1ED20B4D" w14:textId="77777777" w:rsidTr="00187C25">
        <w:trPr>
          <w:trHeight w:val="20"/>
        </w:trPr>
        <w:tc>
          <w:tcPr>
            <w:tcW w:w="4435" w:type="pct"/>
            <w:shd w:val="clear" w:color="auto" w:fill="auto"/>
          </w:tcPr>
          <w:p w14:paraId="78463541" w14:textId="7148C10C" w:rsidR="00841DB3" w:rsidRPr="001B3167" w:rsidRDefault="00841DB3" w:rsidP="00187C25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1B3167">
              <w:rPr>
                <w:rFonts w:ascii="Arial" w:hAnsi="Arial" w:cs="Arial"/>
                <w:b/>
                <w:bCs/>
              </w:rPr>
              <w:t>.2. CUMPLIMIENTO DE DISPOSICIONES LEGALES Y NORMATIVAS</w:t>
            </w:r>
          </w:p>
        </w:tc>
        <w:tc>
          <w:tcPr>
            <w:tcW w:w="565" w:type="pct"/>
            <w:shd w:val="clear" w:color="auto" w:fill="auto"/>
          </w:tcPr>
          <w:p w14:paraId="3875EB56" w14:textId="176C12F7" w:rsidR="00841DB3" w:rsidRPr="00427A2A" w:rsidRDefault="00841DB3" w:rsidP="00C34C6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7A2A">
              <w:rPr>
                <w:rFonts w:ascii="Arial" w:hAnsi="Arial" w:cs="Arial"/>
                <w:b/>
              </w:rPr>
              <w:t>1</w:t>
            </w:r>
            <w:r w:rsidR="0057190B">
              <w:rPr>
                <w:rFonts w:ascii="Arial" w:hAnsi="Arial" w:cs="Arial"/>
                <w:b/>
              </w:rPr>
              <w:t>8</w:t>
            </w:r>
          </w:p>
        </w:tc>
      </w:tr>
      <w:tr w:rsidR="00841DB3" w:rsidRPr="00403D69" w14:paraId="54C102AA" w14:textId="77777777" w:rsidTr="00187C25">
        <w:trPr>
          <w:trHeight w:val="20"/>
        </w:trPr>
        <w:tc>
          <w:tcPr>
            <w:tcW w:w="4435" w:type="pct"/>
            <w:shd w:val="clear" w:color="auto" w:fill="auto"/>
          </w:tcPr>
          <w:p w14:paraId="7B084044" w14:textId="77777777" w:rsidR="00841DB3" w:rsidRPr="00403D69" w:rsidRDefault="00841DB3" w:rsidP="00187C25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5" w:type="pct"/>
            <w:shd w:val="clear" w:color="auto" w:fill="auto"/>
          </w:tcPr>
          <w:p w14:paraId="069672DB" w14:textId="64EBC270" w:rsidR="00841DB3" w:rsidRPr="00427A2A" w:rsidRDefault="0057190B" w:rsidP="00C34C6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841DB3" w:rsidRPr="00403D69" w14:paraId="093603E8" w14:textId="77777777" w:rsidTr="00187C25">
        <w:trPr>
          <w:trHeight w:val="20"/>
        </w:trPr>
        <w:tc>
          <w:tcPr>
            <w:tcW w:w="4435" w:type="pct"/>
            <w:shd w:val="clear" w:color="auto" w:fill="auto"/>
            <w:hideMark/>
          </w:tcPr>
          <w:p w14:paraId="0B901C10" w14:textId="79686723" w:rsidR="00841DB3" w:rsidRPr="00403D69" w:rsidRDefault="00841DB3" w:rsidP="00187C25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5" w:type="pct"/>
            <w:shd w:val="clear" w:color="auto" w:fill="auto"/>
            <w:hideMark/>
          </w:tcPr>
          <w:p w14:paraId="32913F4C" w14:textId="45942E3C" w:rsidR="00841DB3" w:rsidRPr="00427A2A" w:rsidRDefault="00C34C6A" w:rsidP="00C34C6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7A2A">
              <w:rPr>
                <w:rFonts w:ascii="Arial" w:hAnsi="Arial" w:cs="Arial"/>
                <w:b/>
              </w:rPr>
              <w:t>19</w:t>
            </w:r>
          </w:p>
        </w:tc>
      </w:tr>
      <w:tr w:rsidR="00841DB3" w:rsidRPr="00403D69" w14:paraId="1F128A00" w14:textId="77777777" w:rsidTr="00A26CA4">
        <w:trPr>
          <w:trHeight w:val="974"/>
        </w:trPr>
        <w:tc>
          <w:tcPr>
            <w:tcW w:w="4435" w:type="pct"/>
            <w:shd w:val="clear" w:color="auto" w:fill="auto"/>
          </w:tcPr>
          <w:p w14:paraId="78407EB8" w14:textId="77777777" w:rsidR="00841DB3" w:rsidRDefault="00841DB3" w:rsidP="00841DB3">
            <w:pPr>
              <w:pStyle w:val="Prrafodelista"/>
              <w:numPr>
                <w:ilvl w:val="0"/>
                <w:numId w:val="25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Resumen de Resultados Finales de Auditoría y Observaciones </w:t>
            </w:r>
            <w:r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  <w:p w14:paraId="5D4A55D3" w14:textId="77777777" w:rsidR="00841DB3" w:rsidRPr="00954832" w:rsidRDefault="00841DB3" w:rsidP="00187C25">
            <w:pPr>
              <w:spacing w:after="180" w:line="360" w:lineRule="auto"/>
              <w:ind w:left="708"/>
              <w:jc w:val="both"/>
              <w:rPr>
                <w:rFonts w:ascii="Arial" w:hAnsi="Arial" w:cs="Arial"/>
                <w:b/>
                <w:bCs/>
                <w:sz w:val="6"/>
              </w:rPr>
            </w:pPr>
          </w:p>
        </w:tc>
        <w:tc>
          <w:tcPr>
            <w:tcW w:w="565" w:type="pct"/>
            <w:shd w:val="clear" w:color="auto" w:fill="auto"/>
          </w:tcPr>
          <w:p w14:paraId="07CB5899" w14:textId="4D312C28" w:rsidR="00841DB3" w:rsidRPr="00427A2A" w:rsidRDefault="0057190B" w:rsidP="0057190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841DB3" w:rsidRPr="00403D69" w14:paraId="572F33C6" w14:textId="77777777" w:rsidTr="00187C25">
        <w:trPr>
          <w:trHeight w:val="1261"/>
        </w:trPr>
        <w:tc>
          <w:tcPr>
            <w:tcW w:w="4435" w:type="pct"/>
            <w:shd w:val="clear" w:color="auto" w:fill="auto"/>
          </w:tcPr>
          <w:p w14:paraId="2544E01E" w14:textId="0BA5043E" w:rsidR="00841DB3" w:rsidRDefault="0026575A" w:rsidP="00841DB3">
            <w:pPr>
              <w:pStyle w:val="Prrafodelista"/>
              <w:numPr>
                <w:ilvl w:val="0"/>
                <w:numId w:val="25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Observaciones Determinadas por Auditoría en Materia Financiera,</w:t>
            </w:r>
            <w:r w:rsidR="00841DB3" w:rsidRPr="001B3167">
              <w:rPr>
                <w:rFonts w:ascii="Arial" w:hAnsi="Arial" w:cs="Arial"/>
                <w:b/>
                <w:bCs/>
              </w:rPr>
              <w:t xml:space="preserve"> Justificaciones y Aclaraciones de la Entidad Fiscalizada</w:t>
            </w:r>
            <w:r w:rsidR="00841DB3">
              <w:rPr>
                <w:rFonts w:ascii="Arial" w:hAnsi="Arial" w:cs="Arial"/>
                <w:b/>
                <w:bCs/>
              </w:rPr>
              <w:t>,</w:t>
            </w:r>
            <w:r w:rsidR="00841DB3"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 w:rsidR="00841DB3">
              <w:rPr>
                <w:rFonts w:ascii="Arial" w:hAnsi="Arial" w:cs="Arial"/>
                <w:b/>
                <w:bCs/>
              </w:rPr>
              <w:t xml:space="preserve">y Recomendaciones </w:t>
            </w:r>
            <w:r w:rsidR="00841DB3" w:rsidRPr="001B3167">
              <w:rPr>
                <w:rFonts w:ascii="Arial" w:hAnsi="Arial" w:cs="Arial"/>
                <w:b/>
                <w:bCs/>
              </w:rPr>
              <w:t>Emitidas</w:t>
            </w:r>
          </w:p>
          <w:p w14:paraId="5E56A8A0" w14:textId="77777777" w:rsidR="00841DB3" w:rsidRPr="00954832" w:rsidRDefault="00841DB3" w:rsidP="00187C25">
            <w:pPr>
              <w:pStyle w:val="Prrafodelista"/>
              <w:spacing w:after="180" w:line="360" w:lineRule="auto"/>
              <w:ind w:left="1068"/>
              <w:jc w:val="both"/>
              <w:rPr>
                <w:rFonts w:ascii="Arial" w:hAnsi="Arial" w:cs="Arial"/>
                <w:b/>
                <w:bCs/>
                <w:sz w:val="4"/>
              </w:rPr>
            </w:pPr>
          </w:p>
        </w:tc>
        <w:tc>
          <w:tcPr>
            <w:tcW w:w="565" w:type="pct"/>
            <w:shd w:val="clear" w:color="auto" w:fill="auto"/>
          </w:tcPr>
          <w:p w14:paraId="3D8FF823" w14:textId="70283063" w:rsidR="00841DB3" w:rsidRPr="00427A2A" w:rsidRDefault="00A26CA4" w:rsidP="00C34C6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7A2A">
              <w:rPr>
                <w:rFonts w:ascii="Arial" w:hAnsi="Arial" w:cs="Arial"/>
                <w:b/>
              </w:rPr>
              <w:t>2</w:t>
            </w:r>
            <w:r w:rsidR="0057190B">
              <w:rPr>
                <w:rFonts w:ascii="Arial" w:hAnsi="Arial" w:cs="Arial"/>
                <w:b/>
              </w:rPr>
              <w:t>0</w:t>
            </w:r>
          </w:p>
        </w:tc>
      </w:tr>
      <w:tr w:rsidR="00841DB3" w:rsidRPr="00403D69" w14:paraId="22E39718" w14:textId="77777777" w:rsidTr="00187C25">
        <w:trPr>
          <w:trHeight w:val="469"/>
        </w:trPr>
        <w:tc>
          <w:tcPr>
            <w:tcW w:w="4435" w:type="pct"/>
            <w:shd w:val="clear" w:color="auto" w:fill="auto"/>
          </w:tcPr>
          <w:p w14:paraId="48E223B2" w14:textId="26DA8228" w:rsidR="00841DB3" w:rsidRDefault="00841DB3" w:rsidP="00187C25">
            <w:r>
              <w:rPr>
                <w:rFonts w:ascii="Arial" w:hAnsi="Arial" w:cs="Arial"/>
                <w:b/>
                <w:bCs/>
              </w:rPr>
              <w:t>III.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DE LOS INFORMES INDIVIDUALES DE AUDITORÍA</w:t>
            </w:r>
          </w:p>
        </w:tc>
        <w:tc>
          <w:tcPr>
            <w:tcW w:w="565" w:type="pct"/>
            <w:shd w:val="clear" w:color="auto" w:fill="auto"/>
          </w:tcPr>
          <w:p w14:paraId="26804BAB" w14:textId="3D33F8C4" w:rsidR="00841DB3" w:rsidRPr="00427A2A" w:rsidRDefault="0057190B" w:rsidP="009C22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</w:tbl>
    <w:p w14:paraId="1028417F" w14:textId="77777777" w:rsidR="00841DB3" w:rsidRDefault="00841DB3" w:rsidP="00841DB3">
      <w:pPr>
        <w:rPr>
          <w:rFonts w:ascii="Arial" w:hAnsi="Arial" w:cs="Arial"/>
          <w:b/>
          <w:bCs/>
        </w:rPr>
      </w:pPr>
    </w:p>
    <w:p w14:paraId="73656D71" w14:textId="77777777" w:rsidR="00841DB3" w:rsidRDefault="00841DB3" w:rsidP="00841DB3">
      <w:pPr>
        <w:rPr>
          <w:rFonts w:ascii="Arial" w:hAnsi="Arial" w:cs="Arial"/>
          <w:b/>
          <w:bCs/>
        </w:rPr>
      </w:pPr>
    </w:p>
    <w:p w14:paraId="24B4CEC3" w14:textId="77777777" w:rsidR="00841DB3" w:rsidRDefault="00841DB3">
      <w:pPr>
        <w:rPr>
          <w:rFonts w:ascii="Arial" w:hAnsi="Arial" w:cs="Arial"/>
          <w:b/>
          <w:bCs/>
        </w:rPr>
      </w:pPr>
    </w:p>
    <w:p w14:paraId="5FCBB84B" w14:textId="3836B6D3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2C97A927"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4673C2">
        <w:rPr>
          <w:rFonts w:ascii="Arial" w:hAnsi="Arial" w:cs="Arial"/>
        </w:rPr>
        <w:t xml:space="preserve">Gobierno del Estado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41CA5DF4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hacer un análisis de las Cuentas Públicas a efecto de poder rendir el presente informe a esta H. </w:t>
      </w:r>
      <w:r w:rsidR="004673C2">
        <w:rPr>
          <w:rFonts w:ascii="Arial" w:hAnsi="Arial" w:cs="Arial"/>
        </w:rPr>
        <w:t>XVI</w:t>
      </w:r>
      <w:r w:rsidR="000C795B" w:rsidRPr="007D48A8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7D48A8">
        <w:rPr>
          <w:rFonts w:ascii="Arial" w:hAnsi="Arial" w:cs="Arial"/>
        </w:rPr>
        <w:t>correspondientes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17C908CD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del</w:t>
      </w:r>
      <w:r w:rsidR="004673C2">
        <w:rPr>
          <w:rFonts w:ascii="Arial" w:hAnsi="Arial" w:cs="Arial"/>
          <w:bCs/>
        </w:rPr>
        <w:t xml:space="preserve"> </w:t>
      </w:r>
      <w:r w:rsidR="004673C2" w:rsidRPr="004673C2">
        <w:rPr>
          <w:rFonts w:ascii="Arial" w:hAnsi="Arial" w:cs="Arial"/>
          <w:b/>
          <w:bCs/>
        </w:rPr>
        <w:t xml:space="preserve">Instituto </w:t>
      </w:r>
      <w:r w:rsidR="00200F29">
        <w:rPr>
          <w:rFonts w:ascii="Arial" w:hAnsi="Arial" w:cs="Arial"/>
          <w:b/>
          <w:bCs/>
        </w:rPr>
        <w:t>Estatal para la Educación de Jóvenes y Adultos,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12048331" w:rsidR="001075DF" w:rsidRPr="009879F6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4673C2">
        <w:rPr>
          <w:rFonts w:ascii="Arial" w:hAnsi="Arial" w:cs="Arial"/>
          <w:bCs/>
        </w:rPr>
        <w:t xml:space="preserve">el </w:t>
      </w:r>
      <w:r w:rsidR="00200F29" w:rsidRPr="004673C2">
        <w:rPr>
          <w:rFonts w:ascii="Arial" w:hAnsi="Arial" w:cs="Arial"/>
          <w:b/>
          <w:bCs/>
        </w:rPr>
        <w:t xml:space="preserve">Instituto </w:t>
      </w:r>
      <w:r w:rsidR="00200F29">
        <w:rPr>
          <w:rFonts w:ascii="Arial" w:hAnsi="Arial" w:cs="Arial"/>
          <w:b/>
          <w:bCs/>
        </w:rPr>
        <w:t>Estatal para la Educación de Jóvenes y Adultos</w:t>
      </w:r>
      <w:r w:rsidR="0081427F">
        <w:rPr>
          <w:rFonts w:ascii="Arial" w:hAnsi="Arial" w:cs="Arial"/>
          <w:b/>
          <w:bCs/>
        </w:rPr>
        <w:t>,</w:t>
      </w:r>
      <w:r w:rsidR="00200F29" w:rsidRPr="009879F6">
        <w:rPr>
          <w:rFonts w:ascii="Arial" w:hAnsi="Arial" w:cs="Arial"/>
          <w:bCs/>
        </w:rPr>
        <w:t xml:space="preserve"> </w:t>
      </w:r>
      <w:r w:rsidR="00086D09" w:rsidRPr="009879F6">
        <w:rPr>
          <w:rFonts w:ascii="Arial" w:hAnsi="Arial" w:cs="Arial"/>
          <w:bCs/>
        </w:rPr>
        <w:t>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187C25" w:rsidRPr="00187C25">
        <w:rPr>
          <w:rFonts w:ascii="Arial" w:hAnsi="Arial" w:cs="Arial"/>
          <w:bCs/>
        </w:rPr>
        <w:t>2019</w:t>
      </w:r>
      <w:r w:rsidR="001075DF" w:rsidRPr="00187C25">
        <w:rPr>
          <w:rFonts w:ascii="Arial" w:hAnsi="Arial" w:cs="Arial"/>
          <w:bCs/>
        </w:rPr>
        <w:t>,</w:t>
      </w:r>
      <w:r w:rsidR="001075DF" w:rsidRPr="009879F6">
        <w:rPr>
          <w:rFonts w:ascii="Arial" w:hAnsi="Arial" w:cs="Arial"/>
          <w:bCs/>
        </w:rPr>
        <w:t xml:space="preserve">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4673C2">
        <w:rPr>
          <w:rFonts w:ascii="Arial" w:hAnsi="Arial" w:cs="Arial"/>
          <w:bCs/>
        </w:rPr>
        <w:t xml:space="preserve">ingresos obtenidos y los gastos ejercidos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578C3BAF" w14:textId="77777777" w:rsidR="003300B5" w:rsidRPr="009879F6" w:rsidRDefault="003300B5" w:rsidP="00B93F1F">
      <w:pPr>
        <w:spacing w:line="360" w:lineRule="auto"/>
        <w:ind w:right="190"/>
        <w:jc w:val="both"/>
        <w:rPr>
          <w:rFonts w:ascii="Arial" w:hAnsi="Arial" w:cs="Arial"/>
          <w:shd w:val="clear" w:color="auto" w:fill="7ED4F2"/>
        </w:rPr>
      </w:pPr>
    </w:p>
    <w:p w14:paraId="3B5FC50C" w14:textId="43EB6AB1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0" w:name="_Hlk11404101"/>
      <w:r w:rsidR="0031062A" w:rsidRPr="002B3A76">
        <w:rPr>
          <w:rFonts w:ascii="Arial" w:hAnsi="Arial" w:cs="Arial"/>
          <w:bCs/>
        </w:rPr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1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1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 los ingresos y gastos públicos, </w:t>
      </w:r>
      <w:bookmarkEnd w:id="0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del</w:t>
      </w:r>
      <w:r w:rsidR="00343AE0">
        <w:rPr>
          <w:rFonts w:ascii="Arial" w:hAnsi="Arial" w:cs="Arial"/>
          <w:bCs/>
        </w:rPr>
        <w:t xml:space="preserve"> </w:t>
      </w:r>
      <w:r w:rsidR="0081427F" w:rsidRPr="004673C2">
        <w:rPr>
          <w:rFonts w:ascii="Arial" w:hAnsi="Arial" w:cs="Arial"/>
          <w:b/>
          <w:bCs/>
        </w:rPr>
        <w:t xml:space="preserve">Instituto </w:t>
      </w:r>
      <w:r w:rsidR="0081427F">
        <w:rPr>
          <w:rFonts w:ascii="Arial" w:hAnsi="Arial" w:cs="Arial"/>
          <w:b/>
          <w:bCs/>
        </w:rPr>
        <w:t>Estatal para la Educación de Jóvenes y Adultos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5579EA31" w:rsidR="00F258F3" w:rsidRDefault="00F258F3" w:rsidP="00731630">
      <w:pPr>
        <w:spacing w:line="360" w:lineRule="auto"/>
        <w:ind w:right="48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del</w:t>
      </w:r>
      <w:r w:rsidR="00343AE0">
        <w:rPr>
          <w:rFonts w:ascii="Arial" w:hAnsi="Arial" w:cs="Arial"/>
        </w:rPr>
        <w:t xml:space="preserve"> </w:t>
      </w:r>
      <w:r w:rsidR="0081427F" w:rsidRPr="004673C2">
        <w:rPr>
          <w:rFonts w:ascii="Arial" w:hAnsi="Arial" w:cs="Arial"/>
          <w:b/>
          <w:bCs/>
        </w:rPr>
        <w:t xml:space="preserve">Instituto </w:t>
      </w:r>
      <w:r w:rsidR="0081427F">
        <w:rPr>
          <w:rFonts w:ascii="Arial" w:hAnsi="Arial" w:cs="Arial"/>
          <w:b/>
          <w:bCs/>
        </w:rPr>
        <w:t>Estatal para la Educación de Jóvenes y Adultos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343AE0" w:rsidRPr="00187C25">
        <w:rPr>
          <w:rFonts w:ascii="Arial" w:hAnsi="Arial" w:cs="Arial"/>
        </w:rPr>
        <w:t>201</w:t>
      </w:r>
      <w:r w:rsidR="00187C25" w:rsidRPr="00187C25">
        <w:rPr>
          <w:rFonts w:ascii="Arial" w:hAnsi="Arial" w:cs="Arial"/>
        </w:rPr>
        <w:t>9</w:t>
      </w:r>
      <w:r w:rsidRPr="00187C25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343AE0">
        <w:rPr>
          <w:rFonts w:ascii="Arial" w:hAnsi="Arial" w:cs="Arial"/>
        </w:rPr>
        <w:t>recaudación del ingreso y el ejercicio del gasto público</w:t>
      </w:r>
      <w:r w:rsidR="006873AC" w:rsidRPr="009879F6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C878DB">
        <w:rPr>
          <w:rFonts w:ascii="Arial" w:hAnsi="Arial" w:cs="Arial"/>
        </w:rPr>
        <w:t>federales</w:t>
      </w:r>
      <w:r w:rsidR="00C5057B">
        <w:rPr>
          <w:rFonts w:ascii="Arial" w:hAnsi="Arial" w:cs="Arial"/>
        </w:rPr>
        <w:t xml:space="preserve"> y</w:t>
      </w:r>
      <w:r w:rsidR="00343AE0">
        <w:rPr>
          <w:rFonts w:ascii="Arial" w:hAnsi="Arial" w:cs="Arial"/>
        </w:rPr>
        <w:t xml:space="preserve"> </w:t>
      </w:r>
      <w:r w:rsidR="00343AE0" w:rsidRPr="00C5057B">
        <w:rPr>
          <w:rFonts w:ascii="Arial" w:hAnsi="Arial" w:cs="Arial"/>
        </w:rPr>
        <w:t>estatales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="00766A93" w:rsidRPr="00E56219">
        <w:rPr>
          <w:rFonts w:ascii="Arial" w:hAnsi="Arial" w:cs="Arial"/>
        </w:rPr>
        <w:t xml:space="preserve">en fecha </w:t>
      </w:r>
      <w:r w:rsidR="00524C11">
        <w:rPr>
          <w:rFonts w:ascii="Arial" w:hAnsi="Arial" w:cs="Arial"/>
        </w:rPr>
        <w:t>08 de junio de 2020</w:t>
      </w:r>
      <w:r w:rsidR="00731630" w:rsidRPr="00524C11">
        <w:rPr>
          <w:rFonts w:ascii="Arial" w:hAnsi="Arial" w:cs="Arial"/>
        </w:rPr>
        <w:t>, con oficio No. IEEA/DDG/03</w:t>
      </w:r>
      <w:r w:rsidR="00524C11" w:rsidRPr="00524C11">
        <w:rPr>
          <w:rFonts w:ascii="Arial" w:hAnsi="Arial" w:cs="Arial"/>
        </w:rPr>
        <w:t>40</w:t>
      </w:r>
      <w:r w:rsidR="00731630" w:rsidRPr="00524C11">
        <w:rPr>
          <w:rFonts w:ascii="Arial" w:hAnsi="Arial" w:cs="Arial"/>
        </w:rPr>
        <w:t>/2019.</w:t>
      </w:r>
    </w:p>
    <w:p w14:paraId="3D0A230E" w14:textId="77777777" w:rsidR="00731630" w:rsidRPr="009879F6" w:rsidRDefault="00731630" w:rsidP="00731630">
      <w:pPr>
        <w:spacing w:line="360" w:lineRule="auto"/>
        <w:ind w:right="48"/>
        <w:jc w:val="both"/>
        <w:rPr>
          <w:rFonts w:ascii="Arial" w:hAnsi="Arial" w:cs="Arial"/>
        </w:rPr>
      </w:pPr>
    </w:p>
    <w:p w14:paraId="3C02640D" w14:textId="174B27A7"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187C25">
        <w:rPr>
          <w:rFonts w:ascii="Arial" w:hAnsi="Arial" w:cs="Arial"/>
          <w:bCs/>
        </w:rPr>
        <w:t>30 de junio de 2020</w:t>
      </w:r>
      <w:r w:rsidRPr="009879F6">
        <w:rPr>
          <w:rFonts w:ascii="Arial" w:hAnsi="Arial" w:cs="Arial"/>
          <w:bCs/>
        </w:rPr>
        <w:t xml:space="preserve"> 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766A93" w:rsidRPr="00187C25">
        <w:rPr>
          <w:rFonts w:ascii="Arial" w:hAnsi="Arial" w:cs="Arial"/>
          <w:bCs/>
        </w:rPr>
        <w:t>20</w:t>
      </w:r>
      <w:r w:rsidR="00187C25" w:rsidRPr="00187C25">
        <w:rPr>
          <w:rFonts w:ascii="Arial" w:hAnsi="Arial" w:cs="Arial"/>
          <w:bCs/>
        </w:rPr>
        <w:t>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766A93" w:rsidRPr="00187C25">
        <w:rPr>
          <w:rFonts w:ascii="Arial" w:hAnsi="Arial" w:cs="Arial"/>
          <w:bCs/>
        </w:rPr>
        <w:t>201</w:t>
      </w:r>
      <w:r w:rsidR="00187C25" w:rsidRPr="00187C25">
        <w:rPr>
          <w:rFonts w:ascii="Arial" w:hAnsi="Arial" w:cs="Arial"/>
          <w:bCs/>
        </w:rPr>
        <w:t>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2B2150B9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2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2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524C11">
        <w:rPr>
          <w:rFonts w:ascii="Arial" w:hAnsi="Arial" w:cs="Arial"/>
        </w:rPr>
        <w:t xml:space="preserve">los </w:t>
      </w:r>
      <w:r w:rsidRPr="009879F6">
        <w:rPr>
          <w:rFonts w:ascii="Arial" w:hAnsi="Arial" w:cs="Arial"/>
        </w:rPr>
        <w:t>Informe</w:t>
      </w:r>
      <w:r w:rsidR="00524C11">
        <w:rPr>
          <w:rFonts w:ascii="Arial" w:hAnsi="Arial" w:cs="Arial"/>
        </w:rPr>
        <w:t>s</w:t>
      </w:r>
      <w:r w:rsidR="00E95DC3" w:rsidRPr="009879F6">
        <w:rPr>
          <w:rFonts w:ascii="Arial" w:hAnsi="Arial" w:cs="Arial"/>
        </w:rPr>
        <w:t xml:space="preserve"> Individual</w:t>
      </w:r>
      <w:r w:rsidR="00524C11">
        <w:rPr>
          <w:rFonts w:ascii="Arial" w:hAnsi="Arial" w:cs="Arial"/>
        </w:rPr>
        <w:t>es</w:t>
      </w:r>
      <w:r w:rsidR="00E95DC3" w:rsidRPr="009879F6">
        <w:rPr>
          <w:rFonts w:ascii="Arial" w:hAnsi="Arial" w:cs="Arial"/>
        </w:rPr>
        <w:t xml:space="preserve">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7E1669" w:rsidRPr="009879F6">
        <w:rPr>
          <w:rFonts w:ascii="Arial" w:hAnsi="Arial" w:cs="Arial"/>
        </w:rPr>
        <w:t xml:space="preserve"> obtenido</w:t>
      </w:r>
      <w:r w:rsidR="00524C11">
        <w:rPr>
          <w:rFonts w:ascii="Arial" w:hAnsi="Arial" w:cs="Arial"/>
        </w:rPr>
        <w:t>s</w:t>
      </w:r>
      <w:r w:rsidR="007E1669" w:rsidRPr="009879F6">
        <w:rPr>
          <w:rFonts w:ascii="Arial" w:hAnsi="Arial" w:cs="Arial"/>
        </w:rPr>
        <w:t xml:space="preserve">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>del</w:t>
      </w:r>
      <w:r w:rsidR="00766A93">
        <w:rPr>
          <w:rFonts w:ascii="Arial" w:hAnsi="Arial" w:cs="Arial"/>
          <w:bCs/>
        </w:rPr>
        <w:t xml:space="preserve"> </w:t>
      </w:r>
      <w:r w:rsidR="0081427F" w:rsidRPr="004673C2">
        <w:rPr>
          <w:rFonts w:ascii="Arial" w:hAnsi="Arial" w:cs="Arial"/>
          <w:b/>
          <w:bCs/>
        </w:rPr>
        <w:t xml:space="preserve">Instituto </w:t>
      </w:r>
      <w:r w:rsidR="0081427F">
        <w:rPr>
          <w:rFonts w:ascii="Arial" w:hAnsi="Arial" w:cs="Arial"/>
          <w:b/>
          <w:bCs/>
        </w:rPr>
        <w:t>Estatal para la Educación de Jóvenes y Adultos</w:t>
      </w:r>
      <w:r w:rsidR="00766A93" w:rsidRPr="009879F6">
        <w:rPr>
          <w:rFonts w:ascii="Arial" w:hAnsi="Arial" w:cs="Arial"/>
        </w:rPr>
        <w:t xml:space="preserve">,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187C25" w:rsidRPr="00187C25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43A241B8" w14:textId="77777777" w:rsidR="00615C7A" w:rsidRPr="00A05588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10FBF657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22BE2C65" w:rsidR="00E3658B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5B049416" w14:textId="190363A8" w:rsidR="0081427F" w:rsidRPr="001277FD" w:rsidRDefault="0081427F" w:rsidP="00067059">
      <w:pPr>
        <w:spacing w:before="120" w:after="120" w:line="360" w:lineRule="auto"/>
        <w:ind w:right="49"/>
        <w:jc w:val="both"/>
        <w:rPr>
          <w:rFonts w:ascii="Arial" w:hAnsi="Arial" w:cs="Arial"/>
        </w:rPr>
      </w:pPr>
      <w:r w:rsidRPr="00BB340A">
        <w:rPr>
          <w:rFonts w:ascii="Arial" w:hAnsi="Arial" w:cs="Arial"/>
          <w:lang w:val="es-ES"/>
        </w:rPr>
        <w:t>Con fecha 15 de diciembre</w:t>
      </w:r>
      <w:r w:rsidR="00067059">
        <w:rPr>
          <w:rFonts w:ascii="Arial" w:hAnsi="Arial" w:cs="Arial"/>
          <w:lang w:val="es-ES"/>
        </w:rPr>
        <w:t xml:space="preserve"> de 1981, el Ejecutivo Estatal pu</w:t>
      </w:r>
      <w:r w:rsidRPr="00BB340A">
        <w:rPr>
          <w:rFonts w:ascii="Arial" w:hAnsi="Arial" w:cs="Arial"/>
          <w:lang w:val="es-ES"/>
        </w:rPr>
        <w:t>blica en el Periódico Oficial del Estado de Quintana Roo, el De</w:t>
      </w:r>
      <w:r w:rsidR="00067059">
        <w:rPr>
          <w:rFonts w:ascii="Arial" w:hAnsi="Arial" w:cs="Arial"/>
          <w:lang w:val="es-ES"/>
        </w:rPr>
        <w:t xml:space="preserve">creto de Creación del Instituto </w:t>
      </w:r>
      <w:r w:rsidRPr="001277FD">
        <w:rPr>
          <w:rFonts w:ascii="Arial" w:hAnsi="Arial" w:cs="Arial"/>
        </w:rPr>
        <w:t xml:space="preserve">Estatal para la Educación de los Adultos, el cual es reformado el 17 de enero de 2006, creándose el Instituto Estatal para la Educación de Jóvenes y Adultos, como Organismo Público Descentralizado de carácter Estatal, con Personalidad Jurídica y Patrimonio Propio, </w:t>
      </w:r>
      <w:r w:rsidRPr="00BB340A">
        <w:rPr>
          <w:rFonts w:ascii="Arial" w:hAnsi="Arial" w:cs="Arial"/>
        </w:rPr>
        <w:t>sectorizado a la Secretaría de Educación del Estado de Quintana Roo,</w:t>
      </w:r>
      <w:r w:rsidRPr="001277FD">
        <w:rPr>
          <w:rFonts w:ascii="Arial" w:hAnsi="Arial" w:cs="Arial"/>
        </w:rPr>
        <w:t xml:space="preserve"> con domicilio en la Capital del Estado y con representación en cada uno de los Municipios que lo integran, cuyo objetivo principal es: </w:t>
      </w:r>
    </w:p>
    <w:p w14:paraId="59B20182" w14:textId="77777777" w:rsidR="0081427F" w:rsidRPr="00512FE0" w:rsidRDefault="0081427F" w:rsidP="0081427F">
      <w:pPr>
        <w:spacing w:line="360" w:lineRule="auto"/>
        <w:ind w:right="190"/>
        <w:jc w:val="both"/>
        <w:rPr>
          <w:rFonts w:ascii="Arial" w:hAnsi="Arial" w:cs="Arial"/>
          <w:sz w:val="8"/>
          <w:szCs w:val="8"/>
        </w:rPr>
      </w:pPr>
    </w:p>
    <w:p w14:paraId="1CF0B930" w14:textId="77777777" w:rsidR="0081427F" w:rsidRPr="00512FE0" w:rsidRDefault="0081427F" w:rsidP="00512FE0">
      <w:pPr>
        <w:pStyle w:val="Prrafodelista"/>
        <w:numPr>
          <w:ilvl w:val="0"/>
          <w:numId w:val="31"/>
        </w:numPr>
        <w:spacing w:line="360" w:lineRule="auto"/>
        <w:ind w:right="190"/>
        <w:jc w:val="both"/>
        <w:rPr>
          <w:rFonts w:ascii="Arial" w:hAnsi="Arial" w:cs="Arial"/>
        </w:rPr>
      </w:pPr>
      <w:r w:rsidRPr="00512FE0">
        <w:rPr>
          <w:rFonts w:ascii="Arial" w:hAnsi="Arial" w:cs="Arial"/>
        </w:rPr>
        <w:t>Impartir educación básica para jóvenes mayores de quince años y adultos;</w:t>
      </w:r>
    </w:p>
    <w:p w14:paraId="59FD1B8F" w14:textId="77777777" w:rsidR="0081427F" w:rsidRPr="00512FE0" w:rsidRDefault="0081427F" w:rsidP="0081427F">
      <w:pPr>
        <w:spacing w:line="360" w:lineRule="auto"/>
        <w:ind w:right="190"/>
        <w:jc w:val="both"/>
        <w:rPr>
          <w:rFonts w:ascii="Arial" w:hAnsi="Arial" w:cs="Arial"/>
        </w:rPr>
      </w:pPr>
    </w:p>
    <w:p w14:paraId="5E1734D5" w14:textId="77777777" w:rsidR="0081427F" w:rsidRPr="00512FE0" w:rsidRDefault="0081427F" w:rsidP="00512FE0">
      <w:pPr>
        <w:pStyle w:val="Prrafodelista"/>
        <w:numPr>
          <w:ilvl w:val="0"/>
          <w:numId w:val="31"/>
        </w:numPr>
        <w:spacing w:line="360" w:lineRule="auto"/>
        <w:ind w:right="190"/>
        <w:jc w:val="both"/>
        <w:rPr>
          <w:rFonts w:ascii="Arial" w:hAnsi="Arial" w:cs="Arial"/>
        </w:rPr>
      </w:pPr>
      <w:r w:rsidRPr="00512FE0">
        <w:rPr>
          <w:rFonts w:ascii="Arial" w:hAnsi="Arial" w:cs="Arial"/>
        </w:rPr>
        <w:t>Promover, desarrollar y aplicar programas de alfabetización, preferentemente en la lengua propia del estudiante, así como educación primaria y secundaria, con base en sus experiencias y conocimientos, que incluyan la promoción de la autoestima, el fortalecimiento de su identidad, de la cultura quintanarroense y de la ética;</w:t>
      </w:r>
    </w:p>
    <w:p w14:paraId="3B52C132" w14:textId="77777777" w:rsidR="0081427F" w:rsidRPr="00CF6C37" w:rsidRDefault="0081427F" w:rsidP="0081427F">
      <w:pPr>
        <w:spacing w:line="360" w:lineRule="auto"/>
        <w:ind w:right="190"/>
        <w:jc w:val="both"/>
        <w:rPr>
          <w:rFonts w:ascii="Arial" w:hAnsi="Arial" w:cs="Arial"/>
        </w:rPr>
      </w:pPr>
    </w:p>
    <w:p w14:paraId="70CA71A1" w14:textId="77777777" w:rsidR="0081427F" w:rsidRPr="00512FE0" w:rsidRDefault="0081427F" w:rsidP="00512FE0">
      <w:pPr>
        <w:pStyle w:val="Prrafodelista"/>
        <w:numPr>
          <w:ilvl w:val="0"/>
          <w:numId w:val="31"/>
        </w:numPr>
        <w:spacing w:line="360" w:lineRule="auto"/>
        <w:ind w:right="190"/>
        <w:jc w:val="both"/>
        <w:rPr>
          <w:rFonts w:ascii="Arial" w:hAnsi="Arial" w:cs="Arial"/>
        </w:rPr>
      </w:pPr>
      <w:r w:rsidRPr="00512FE0">
        <w:rPr>
          <w:rFonts w:ascii="Arial" w:hAnsi="Arial" w:cs="Arial"/>
        </w:rPr>
        <w:t>Promover a través de sus materiales didácticos, modelos pedagógicos de educación para la vida y el trabajo dirigidos a jóvenes mayores de quince años y adultos, que permitan su participación activa en el mundo productivo; y</w:t>
      </w:r>
    </w:p>
    <w:p w14:paraId="21761EDB" w14:textId="77777777" w:rsidR="0081427F" w:rsidRPr="00512FE0" w:rsidRDefault="0081427F" w:rsidP="0081427F">
      <w:pPr>
        <w:spacing w:line="360" w:lineRule="auto"/>
        <w:ind w:right="190"/>
        <w:jc w:val="both"/>
        <w:rPr>
          <w:rFonts w:ascii="Arial" w:hAnsi="Arial" w:cs="Arial"/>
        </w:rPr>
      </w:pPr>
    </w:p>
    <w:p w14:paraId="4B8A8AA7" w14:textId="77777777" w:rsidR="0081427F" w:rsidRPr="00512FE0" w:rsidRDefault="0081427F" w:rsidP="00512FE0">
      <w:pPr>
        <w:pStyle w:val="Prrafodelista"/>
        <w:numPr>
          <w:ilvl w:val="0"/>
          <w:numId w:val="31"/>
        </w:numPr>
        <w:spacing w:line="360" w:lineRule="auto"/>
        <w:ind w:right="190"/>
        <w:jc w:val="both"/>
        <w:rPr>
          <w:rFonts w:ascii="Arial" w:hAnsi="Arial" w:cs="Arial"/>
        </w:rPr>
      </w:pPr>
      <w:r w:rsidRPr="00512FE0">
        <w:rPr>
          <w:rFonts w:ascii="Arial" w:hAnsi="Arial" w:cs="Arial"/>
        </w:rPr>
        <w:t>Promover, coordinar y prestar servicio de asesoría técnica, formación, capacitación y actualización al personal institucional y voluntario.</w:t>
      </w:r>
    </w:p>
    <w:p w14:paraId="42CEF9FB" w14:textId="1DA266C6" w:rsidR="0081427F" w:rsidRPr="00CF6C37" w:rsidRDefault="0081427F" w:rsidP="00766A93">
      <w:pPr>
        <w:spacing w:line="360" w:lineRule="auto"/>
        <w:ind w:right="190"/>
        <w:jc w:val="both"/>
        <w:rPr>
          <w:rFonts w:ascii="Arial" w:hAnsi="Arial" w:cs="Arial"/>
          <w:bCs/>
          <w:sz w:val="28"/>
          <w:szCs w:val="28"/>
        </w:rPr>
      </w:pPr>
    </w:p>
    <w:p w14:paraId="52E9F554" w14:textId="5E9D4E71" w:rsidR="00C47B98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  <w:r w:rsidR="00731630">
        <w:rPr>
          <w:rFonts w:ascii="Arial" w:hAnsi="Arial" w:cs="Arial"/>
          <w:b/>
          <w:bCs/>
        </w:rPr>
        <w:t xml:space="preserve"> </w:t>
      </w:r>
    </w:p>
    <w:p w14:paraId="53D71EE4" w14:textId="77777777" w:rsidR="00524C11" w:rsidRPr="009879F6" w:rsidRDefault="00524C11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656ABC6D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ACB875A" w14:textId="77777777" w:rsidR="00067059" w:rsidRPr="009879F6" w:rsidRDefault="00067059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5C995DAD"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al </w:t>
      </w:r>
      <w:r w:rsidR="0081427F" w:rsidRPr="004673C2">
        <w:rPr>
          <w:rFonts w:ascii="Arial" w:hAnsi="Arial" w:cs="Arial"/>
          <w:b/>
          <w:bCs/>
        </w:rPr>
        <w:t xml:space="preserve">Instituto </w:t>
      </w:r>
      <w:r w:rsidR="0081427F">
        <w:rPr>
          <w:rFonts w:ascii="Arial" w:hAnsi="Arial" w:cs="Arial"/>
          <w:b/>
          <w:bCs/>
        </w:rPr>
        <w:t>Estatal para la Educación de Jóvenes y Adultos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CF6C37" w:rsidRDefault="00AA50F2" w:rsidP="00B93F1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6003"/>
      </w:tblGrid>
      <w:tr w:rsidR="00AA50F2" w:rsidRPr="009879F6" w14:paraId="7B2B84D6" w14:textId="77777777" w:rsidTr="00E227D6">
        <w:trPr>
          <w:trHeight w:val="678"/>
          <w:tblHeader/>
          <w:jc w:val="center"/>
        </w:trPr>
        <w:tc>
          <w:tcPr>
            <w:tcW w:w="1902" w:type="pct"/>
            <w:shd w:val="clear" w:color="auto" w:fill="auto"/>
          </w:tcPr>
          <w:p w14:paraId="08D72471" w14:textId="59AEF57D" w:rsidR="00AA50F2" w:rsidRPr="00E227D6" w:rsidRDefault="00187C25" w:rsidP="00187C25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187C25">
              <w:rPr>
                <w:rFonts w:ascii="Arial" w:hAnsi="Arial" w:cs="Arial"/>
                <w:b/>
                <w:lang w:val="en-US"/>
              </w:rPr>
              <w:t>19-</w:t>
            </w:r>
            <w:r w:rsidR="00E227D6" w:rsidRPr="00187C25">
              <w:rPr>
                <w:rFonts w:ascii="Arial" w:hAnsi="Arial" w:cs="Arial"/>
                <w:b/>
                <w:lang w:val="en-US"/>
              </w:rPr>
              <w:t>AEMF-C-GOB-</w:t>
            </w:r>
            <w:r w:rsidRPr="00187C25">
              <w:rPr>
                <w:rFonts w:ascii="Arial" w:hAnsi="Arial" w:cs="Arial"/>
                <w:b/>
                <w:lang w:val="en-US"/>
              </w:rPr>
              <w:t>036</w:t>
            </w:r>
            <w:r w:rsidR="00E227D6" w:rsidRPr="00187C25">
              <w:rPr>
                <w:rFonts w:ascii="Arial" w:hAnsi="Arial" w:cs="Arial"/>
                <w:b/>
                <w:lang w:val="en-US"/>
              </w:rPr>
              <w:t>-0</w:t>
            </w:r>
            <w:r w:rsidRPr="00187C25">
              <w:rPr>
                <w:rFonts w:ascii="Arial" w:hAnsi="Arial" w:cs="Arial"/>
                <w:b/>
                <w:lang w:val="en-US"/>
              </w:rPr>
              <w:t>7</w:t>
            </w:r>
            <w:r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3098" w:type="pct"/>
            <w:shd w:val="clear" w:color="auto" w:fill="auto"/>
          </w:tcPr>
          <w:p w14:paraId="409DA764" w14:textId="058D76E1" w:rsidR="00AA50F2" w:rsidRPr="009879F6" w:rsidRDefault="00F81F59" w:rsidP="00841DB3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E227D6">
              <w:rPr>
                <w:rFonts w:ascii="Arial" w:hAnsi="Arial" w:cs="Arial"/>
                <w:bCs/>
              </w:rPr>
              <w:t>“</w:t>
            </w:r>
            <w:r w:rsidR="00E227D6" w:rsidRPr="00E227D6">
              <w:rPr>
                <w:rFonts w:ascii="Arial" w:hAnsi="Arial" w:cs="Arial"/>
                <w:bCs/>
              </w:rPr>
              <w:t xml:space="preserve">Auditoría de Cumplimiento Financiero de Ingresos y Otros </w:t>
            </w:r>
            <w:r w:rsidR="00E227D6" w:rsidRPr="00841DB3">
              <w:rPr>
                <w:rFonts w:ascii="Arial" w:hAnsi="Arial" w:cs="Arial"/>
                <w:bCs/>
              </w:rPr>
              <w:t>Beneficios”</w:t>
            </w:r>
          </w:p>
        </w:tc>
      </w:tr>
    </w:tbl>
    <w:p w14:paraId="0E5CD8FF" w14:textId="77777777" w:rsidR="00E227D6" w:rsidRPr="006F79C4" w:rsidRDefault="00E227D6" w:rsidP="00B93F1F">
      <w:pPr>
        <w:spacing w:line="360" w:lineRule="auto"/>
        <w:jc w:val="both"/>
        <w:rPr>
          <w:rFonts w:ascii="Arial" w:hAnsi="Arial" w:cs="Arial"/>
          <w:b/>
          <w:bCs/>
          <w:sz w:val="22"/>
          <w:szCs w:val="28"/>
        </w:rPr>
      </w:pPr>
    </w:p>
    <w:p w14:paraId="25C0B2ED" w14:textId="2F05D8D9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3F5E6B48" w14:textId="3186F77F" w:rsidR="00A915AD" w:rsidRDefault="00A915AD" w:rsidP="00A915AD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Fiscalizar la gestión financiera para comprobar el cumplimiento de lo dispuesto en la Ley de Ingresos del Estado de Quintana Roo, correspondientes al </w:t>
      </w:r>
      <w:r w:rsidR="00512FE0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jercicio </w:t>
      </w:r>
      <w:r w:rsidR="00512FE0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iscal </w:t>
      </w:r>
      <w:r w:rsidR="00187C25" w:rsidRPr="00187C25">
        <w:rPr>
          <w:rFonts w:ascii="Arial" w:hAnsi="Arial" w:cs="Arial"/>
          <w:bCs/>
        </w:rPr>
        <w:t>2019</w:t>
      </w:r>
      <w:r w:rsidRPr="00187C2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para verificar la forma y términos en que los ingresos fueron recaudados</w:t>
      </w:r>
      <w:r w:rsidR="00841DB3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así como de la demás información financiera, contable, patrimonial, presupuestaria y programática, hayan cumplido con las disposiciones atribuibles y demás normatividad aplicable al ejercicio del gasto público. </w:t>
      </w:r>
    </w:p>
    <w:p w14:paraId="041A2FFB" w14:textId="77777777" w:rsidR="00A915AD" w:rsidRDefault="00A915AD" w:rsidP="00B93F1F">
      <w:pPr>
        <w:spacing w:line="360" w:lineRule="auto"/>
        <w:jc w:val="both"/>
        <w:rPr>
          <w:rFonts w:ascii="Arial" w:hAnsi="Arial" w:cs="Arial"/>
          <w:highlight w:val="red"/>
          <w:u w:val="single"/>
        </w:rPr>
      </w:pPr>
    </w:p>
    <w:p w14:paraId="600E1A12" w14:textId="77777777" w:rsidR="00AA50F2" w:rsidRP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7309B148" w:rsidR="00AA50F2" w:rsidRPr="006F79C4" w:rsidRDefault="00AA50F2" w:rsidP="00B93F1F">
      <w:pPr>
        <w:spacing w:line="360" w:lineRule="auto"/>
        <w:jc w:val="both"/>
        <w:rPr>
          <w:rFonts w:ascii="Arial" w:hAnsi="Arial" w:cs="Arial"/>
          <w:sz w:val="22"/>
        </w:rPr>
      </w:pPr>
    </w:p>
    <w:p w14:paraId="7C14FB25" w14:textId="5EA3D576" w:rsidR="00AA50F2" w:rsidRPr="00187C25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C878DB">
        <w:rPr>
          <w:rFonts w:ascii="Arial" w:hAnsi="Arial" w:cs="Arial"/>
          <w:b/>
        </w:rPr>
        <w:t>Universo</w:t>
      </w:r>
      <w:r w:rsidR="00AA50F2" w:rsidRPr="00187C25">
        <w:rPr>
          <w:rFonts w:ascii="Arial" w:hAnsi="Arial" w:cs="Arial"/>
          <w:b/>
        </w:rPr>
        <w:t xml:space="preserve">: </w:t>
      </w:r>
      <w:r w:rsidR="00AA50F2" w:rsidRPr="00187C25">
        <w:rPr>
          <w:rFonts w:ascii="Arial" w:hAnsi="Arial" w:cs="Arial"/>
        </w:rPr>
        <w:t>$</w:t>
      </w:r>
      <w:r w:rsidR="00187C25" w:rsidRPr="00187C25">
        <w:rPr>
          <w:rFonts w:ascii="Arial" w:hAnsi="Arial" w:cs="Arial"/>
        </w:rPr>
        <w:t>88,317,527.23</w:t>
      </w:r>
    </w:p>
    <w:p w14:paraId="4BF3AC1B" w14:textId="77777777" w:rsidR="00A720AA" w:rsidRPr="006F79C4" w:rsidRDefault="00A720AA" w:rsidP="00B93F1F">
      <w:pPr>
        <w:spacing w:line="360" w:lineRule="auto"/>
        <w:rPr>
          <w:rFonts w:ascii="Arial" w:hAnsi="Arial" w:cs="Arial"/>
          <w:sz w:val="22"/>
        </w:rPr>
      </w:pPr>
      <w:bookmarkStart w:id="3" w:name="_Toc518907881"/>
      <w:bookmarkStart w:id="4" w:name="_Toc520196704"/>
    </w:p>
    <w:p w14:paraId="5E1E76C7" w14:textId="38BA81F5" w:rsidR="00A720AA" w:rsidRDefault="00A720AA" w:rsidP="00B93F1F">
      <w:pPr>
        <w:spacing w:line="360" w:lineRule="auto"/>
        <w:rPr>
          <w:rFonts w:ascii="Arial" w:hAnsi="Arial" w:cs="Arial"/>
        </w:rPr>
      </w:pPr>
      <w:r w:rsidRPr="00187C25">
        <w:rPr>
          <w:rFonts w:ascii="Arial" w:hAnsi="Arial" w:cs="Arial"/>
          <w:b/>
        </w:rPr>
        <w:t xml:space="preserve">Población Objetivo: </w:t>
      </w:r>
      <w:r w:rsidR="007B1830" w:rsidRPr="00187C25">
        <w:rPr>
          <w:rFonts w:ascii="Arial" w:hAnsi="Arial" w:cs="Arial"/>
        </w:rPr>
        <w:t>$</w:t>
      </w:r>
      <w:r w:rsidR="00187C25" w:rsidRPr="00187C25">
        <w:rPr>
          <w:rFonts w:ascii="Arial" w:hAnsi="Arial" w:cs="Arial"/>
        </w:rPr>
        <w:t>32,321,475.26</w:t>
      </w:r>
    </w:p>
    <w:p w14:paraId="6A79D44F" w14:textId="77777777" w:rsidR="00841DB3" w:rsidRPr="006F79C4" w:rsidRDefault="00841DB3" w:rsidP="00B93F1F">
      <w:pPr>
        <w:spacing w:line="360" w:lineRule="auto"/>
        <w:rPr>
          <w:rFonts w:ascii="Arial" w:hAnsi="Arial" w:cs="Arial"/>
          <w:sz w:val="22"/>
        </w:rPr>
      </w:pPr>
    </w:p>
    <w:p w14:paraId="3C316B61" w14:textId="134912FA" w:rsidR="00AA50F2" w:rsidRPr="00C878DB" w:rsidRDefault="00AA50F2" w:rsidP="00B93F1F">
      <w:pPr>
        <w:spacing w:line="360" w:lineRule="auto"/>
        <w:rPr>
          <w:rFonts w:ascii="Arial" w:hAnsi="Arial" w:cs="Arial"/>
        </w:rPr>
      </w:pPr>
      <w:r w:rsidRPr="00C878DB">
        <w:rPr>
          <w:rFonts w:ascii="Arial" w:hAnsi="Arial" w:cs="Arial"/>
          <w:b/>
        </w:rPr>
        <w:t xml:space="preserve">Muestra </w:t>
      </w:r>
      <w:r w:rsidR="00E34202" w:rsidRPr="00C878DB">
        <w:rPr>
          <w:rFonts w:ascii="Arial" w:hAnsi="Arial" w:cs="Arial"/>
          <w:b/>
        </w:rPr>
        <w:t>Audit</w:t>
      </w:r>
      <w:r w:rsidRPr="00C878DB">
        <w:rPr>
          <w:rFonts w:ascii="Arial" w:hAnsi="Arial" w:cs="Arial"/>
          <w:b/>
        </w:rPr>
        <w:t>ada:</w:t>
      </w:r>
      <w:r w:rsidRPr="00C878DB">
        <w:rPr>
          <w:rFonts w:ascii="Arial" w:hAnsi="Arial" w:cs="Arial"/>
        </w:rPr>
        <w:t xml:space="preserve"> </w:t>
      </w:r>
      <w:bookmarkEnd w:id="3"/>
      <w:bookmarkEnd w:id="4"/>
      <w:r w:rsidRPr="00C878DB">
        <w:rPr>
          <w:rFonts w:ascii="Arial" w:hAnsi="Arial" w:cs="Arial"/>
        </w:rPr>
        <w:t>$</w:t>
      </w:r>
      <w:r w:rsidR="00C878DB" w:rsidRPr="00C878DB">
        <w:rPr>
          <w:rFonts w:ascii="Arial" w:hAnsi="Arial" w:cs="Arial"/>
        </w:rPr>
        <w:t>25,</w:t>
      </w:r>
      <w:r w:rsidR="00187C25">
        <w:rPr>
          <w:rFonts w:ascii="Arial" w:hAnsi="Arial" w:cs="Arial"/>
        </w:rPr>
        <w:t>857,180.21</w:t>
      </w:r>
    </w:p>
    <w:p w14:paraId="4EF12D06" w14:textId="77777777" w:rsidR="00AA50F2" w:rsidRPr="006F79C4" w:rsidRDefault="00AA50F2" w:rsidP="00B93F1F">
      <w:pPr>
        <w:spacing w:line="360" w:lineRule="auto"/>
        <w:rPr>
          <w:rFonts w:ascii="Arial" w:hAnsi="Arial" w:cs="Arial"/>
          <w:sz w:val="22"/>
        </w:rPr>
      </w:pPr>
    </w:p>
    <w:p w14:paraId="15590F48" w14:textId="1187AA44" w:rsidR="00AA50F2" w:rsidRDefault="00FA4D20" w:rsidP="00B93F1F">
      <w:pPr>
        <w:spacing w:line="360" w:lineRule="auto"/>
        <w:rPr>
          <w:rFonts w:ascii="Arial" w:hAnsi="Arial" w:cs="Arial"/>
        </w:rPr>
      </w:pPr>
      <w:bookmarkStart w:id="5" w:name="_Toc518907882"/>
      <w:bookmarkStart w:id="6" w:name="_Toc520196705"/>
      <w:r w:rsidRPr="00C878DB">
        <w:rPr>
          <w:rFonts w:ascii="Arial" w:hAnsi="Arial" w:cs="Arial"/>
          <w:b/>
        </w:rPr>
        <w:t>Representatividad de la Mu</w:t>
      </w:r>
      <w:r w:rsidR="00AA50F2" w:rsidRPr="00C878DB">
        <w:rPr>
          <w:rFonts w:ascii="Arial" w:hAnsi="Arial" w:cs="Arial"/>
          <w:b/>
        </w:rPr>
        <w:t>estra</w:t>
      </w:r>
      <w:r w:rsidR="00AA50F2" w:rsidRPr="00187C25">
        <w:rPr>
          <w:rFonts w:ascii="Arial" w:hAnsi="Arial" w:cs="Arial"/>
          <w:b/>
        </w:rPr>
        <w:t>:</w:t>
      </w:r>
      <w:r w:rsidR="00AA50F2" w:rsidRPr="00187C25">
        <w:rPr>
          <w:rFonts w:ascii="Arial" w:hAnsi="Arial" w:cs="Arial"/>
        </w:rPr>
        <w:t xml:space="preserve"> </w:t>
      </w:r>
      <w:bookmarkEnd w:id="5"/>
      <w:bookmarkEnd w:id="6"/>
      <w:r w:rsidR="00187C25" w:rsidRPr="00187C25">
        <w:rPr>
          <w:rFonts w:ascii="Arial" w:hAnsi="Arial" w:cs="Arial"/>
        </w:rPr>
        <w:t>8</w:t>
      </w:r>
      <w:r w:rsidR="00EE3714" w:rsidRPr="00187C25">
        <w:rPr>
          <w:rFonts w:ascii="Arial" w:hAnsi="Arial" w:cs="Arial"/>
        </w:rPr>
        <w:t>0.00</w:t>
      </w:r>
      <w:r w:rsidR="00AA50F2" w:rsidRPr="00187C25">
        <w:rPr>
          <w:rFonts w:ascii="Arial" w:hAnsi="Arial" w:cs="Arial"/>
        </w:rPr>
        <w:t>%</w:t>
      </w:r>
    </w:p>
    <w:p w14:paraId="29AA835F" w14:textId="77777777" w:rsidR="00067059" w:rsidRPr="006F79C4" w:rsidRDefault="00067059" w:rsidP="00B93F1F">
      <w:pPr>
        <w:spacing w:line="360" w:lineRule="auto"/>
        <w:rPr>
          <w:rFonts w:ascii="Arial" w:hAnsi="Arial" w:cs="Arial"/>
          <w:sz w:val="20"/>
        </w:rPr>
      </w:pPr>
    </w:p>
    <w:p w14:paraId="243B1D04" w14:textId="30551583" w:rsidR="00E34202" w:rsidRDefault="007B1830" w:rsidP="00D730EA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el </w:t>
      </w:r>
      <w:r w:rsidR="00D95ECA" w:rsidRPr="009879F6">
        <w:rPr>
          <w:rFonts w:ascii="Arial" w:hAnsi="Arial" w:cs="Arial"/>
        </w:rPr>
        <w:t xml:space="preserve">total del </w:t>
      </w:r>
      <w:r w:rsidRPr="009879F6">
        <w:rPr>
          <w:rFonts w:ascii="Arial" w:hAnsi="Arial" w:cs="Arial"/>
        </w:rPr>
        <w:t>U</w:t>
      </w:r>
      <w:r w:rsidR="00E34202" w:rsidRPr="009879F6">
        <w:rPr>
          <w:rFonts w:ascii="Arial" w:hAnsi="Arial" w:cs="Arial"/>
        </w:rPr>
        <w:t xml:space="preserve">niverso están considerados los recursos federales </w:t>
      </w:r>
      <w:r w:rsidRPr="009879F6">
        <w:rPr>
          <w:rFonts w:ascii="Arial" w:hAnsi="Arial" w:cs="Arial"/>
        </w:rPr>
        <w:t>por la</w:t>
      </w:r>
      <w:r w:rsidR="00E34202" w:rsidRPr="009879F6">
        <w:rPr>
          <w:rFonts w:ascii="Arial" w:hAnsi="Arial" w:cs="Arial"/>
        </w:rPr>
        <w:t xml:space="preserve"> cantidad de </w:t>
      </w:r>
      <w:r w:rsidR="00E34202" w:rsidRPr="00026C35">
        <w:rPr>
          <w:rFonts w:ascii="Arial" w:hAnsi="Arial" w:cs="Arial"/>
        </w:rPr>
        <w:t>$</w:t>
      </w:r>
      <w:r w:rsidR="00187C25" w:rsidRPr="00026C35">
        <w:rPr>
          <w:rFonts w:ascii="Arial" w:hAnsi="Arial" w:cs="Arial"/>
        </w:rPr>
        <w:t>55</w:t>
      </w:r>
      <w:r w:rsidR="00C878DB" w:rsidRPr="00026C35">
        <w:rPr>
          <w:rFonts w:ascii="Arial" w:hAnsi="Arial" w:cs="Arial"/>
        </w:rPr>
        <w:t>,</w:t>
      </w:r>
      <w:r w:rsidR="00187C25" w:rsidRPr="00026C35">
        <w:rPr>
          <w:rFonts w:ascii="Arial" w:hAnsi="Arial" w:cs="Arial"/>
        </w:rPr>
        <w:t>996,051.97</w:t>
      </w:r>
      <w:r w:rsidR="00E34202" w:rsidRPr="00026C35">
        <w:rPr>
          <w:rFonts w:ascii="Arial" w:hAnsi="Arial" w:cs="Arial"/>
        </w:rPr>
        <w:t xml:space="preserve">, </w:t>
      </w:r>
      <w:r w:rsidR="00A26BAE" w:rsidRPr="00026C35">
        <w:rPr>
          <w:rFonts w:ascii="Arial" w:hAnsi="Arial" w:cs="Arial"/>
        </w:rPr>
        <w:t>los cuales</w:t>
      </w:r>
      <w:r w:rsidR="00A26BAE" w:rsidRPr="009879F6">
        <w:rPr>
          <w:rFonts w:ascii="Arial" w:hAnsi="Arial" w:cs="Arial"/>
        </w:rPr>
        <w:t xml:space="preserve"> </w:t>
      </w:r>
      <w:r w:rsidR="00E34202" w:rsidRPr="009879F6">
        <w:rPr>
          <w:rFonts w:ascii="Arial" w:hAnsi="Arial" w:cs="Arial"/>
        </w:rPr>
        <w:t xml:space="preserve">no se </w:t>
      </w:r>
      <w:r w:rsidR="00D95ECA" w:rsidRPr="009879F6">
        <w:rPr>
          <w:rFonts w:ascii="Arial" w:hAnsi="Arial" w:cs="Arial"/>
        </w:rPr>
        <w:t>contemplaron</w:t>
      </w:r>
      <w:r w:rsidR="00E34202" w:rsidRPr="009879F6">
        <w:rPr>
          <w:rFonts w:ascii="Arial" w:hAnsi="Arial" w:cs="Arial"/>
        </w:rPr>
        <w:t xml:space="preserve"> </w:t>
      </w:r>
      <w:r w:rsidR="00D95ECA" w:rsidRPr="009879F6">
        <w:rPr>
          <w:rFonts w:ascii="Arial" w:hAnsi="Arial" w:cs="Arial"/>
        </w:rPr>
        <w:t>en</w:t>
      </w:r>
      <w:r w:rsidR="00E34202" w:rsidRPr="009879F6">
        <w:rPr>
          <w:rFonts w:ascii="Arial" w:hAnsi="Arial" w:cs="Arial"/>
        </w:rPr>
        <w:t xml:space="preserve"> </w:t>
      </w:r>
      <w:r w:rsidR="00D95ECA" w:rsidRPr="009879F6">
        <w:rPr>
          <w:rFonts w:ascii="Arial" w:hAnsi="Arial" w:cs="Arial"/>
        </w:rPr>
        <w:t xml:space="preserve">el monto de </w:t>
      </w:r>
      <w:r w:rsidR="00E34202" w:rsidRPr="009879F6">
        <w:rPr>
          <w:rFonts w:ascii="Arial" w:hAnsi="Arial" w:cs="Arial"/>
        </w:rPr>
        <w:t>la muestra auditada</w:t>
      </w:r>
      <w:r w:rsidR="00C06E38" w:rsidRPr="009879F6">
        <w:rPr>
          <w:rFonts w:ascii="Arial" w:hAnsi="Arial" w:cs="Arial"/>
        </w:rPr>
        <w:t xml:space="preserve">, </w:t>
      </w:r>
      <w:r w:rsidR="00D95ECA" w:rsidRPr="009879F6">
        <w:rPr>
          <w:rFonts w:ascii="Arial" w:hAnsi="Arial" w:cs="Arial"/>
        </w:rPr>
        <w:t>quedando integrada</w:t>
      </w:r>
      <w:r w:rsidR="00C06E38" w:rsidRPr="009879F6">
        <w:rPr>
          <w:rFonts w:ascii="Arial" w:hAnsi="Arial" w:cs="Arial"/>
        </w:rPr>
        <w:t xml:space="preserve"> la población objetivo </w:t>
      </w:r>
      <w:r w:rsidRPr="009879F6">
        <w:rPr>
          <w:rFonts w:ascii="Arial" w:hAnsi="Arial" w:cs="Arial"/>
        </w:rPr>
        <w:t>únicamente por r</w:t>
      </w:r>
      <w:r w:rsidR="00C06E38" w:rsidRPr="009879F6">
        <w:rPr>
          <w:rFonts w:ascii="Arial" w:hAnsi="Arial" w:cs="Arial"/>
        </w:rPr>
        <w:t xml:space="preserve">ecursos </w:t>
      </w:r>
      <w:r w:rsidR="00EE3714">
        <w:rPr>
          <w:rFonts w:ascii="Arial" w:hAnsi="Arial" w:cs="Arial"/>
        </w:rPr>
        <w:t>estatales y propios</w:t>
      </w:r>
      <w:r w:rsidR="00C06E38" w:rsidRPr="009879F6">
        <w:rPr>
          <w:rFonts w:ascii="Arial" w:hAnsi="Arial" w:cs="Arial"/>
        </w:rPr>
        <w:t>.</w:t>
      </w:r>
    </w:p>
    <w:p w14:paraId="249560D0" w14:textId="35185BDD" w:rsidR="00AA50F2" w:rsidRPr="009879F6" w:rsidRDefault="00E34202" w:rsidP="00D730EA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EE3714">
        <w:rPr>
          <w:rFonts w:ascii="Arial" w:hAnsi="Arial" w:cs="Arial"/>
        </w:rPr>
        <w:t xml:space="preserve">ingresos </w:t>
      </w:r>
      <w:r w:rsidR="00816950">
        <w:rPr>
          <w:rFonts w:ascii="Arial" w:hAnsi="Arial" w:cs="Arial"/>
        </w:rPr>
        <w:t xml:space="preserve">por aportaciones estatales </w:t>
      </w:r>
      <w:r w:rsidR="00EE3714">
        <w:rPr>
          <w:rFonts w:ascii="Arial" w:hAnsi="Arial" w:cs="Arial"/>
        </w:rPr>
        <w:t xml:space="preserve">y otros </w:t>
      </w:r>
      <w:r w:rsidR="00816950">
        <w:rPr>
          <w:rFonts w:ascii="Arial" w:hAnsi="Arial" w:cs="Arial"/>
        </w:rPr>
        <w:t>ingresos</w:t>
      </w:r>
      <w:r w:rsidR="00AA50F2" w:rsidRPr="009879F6">
        <w:rPr>
          <w:rFonts w:ascii="Arial" w:hAnsi="Arial" w:cs="Arial"/>
        </w:rPr>
        <w:t xml:space="preserve"> que</w:t>
      </w:r>
      <w:r w:rsidRPr="009879F6">
        <w:rPr>
          <w:rFonts w:ascii="Arial" w:hAnsi="Arial" w:cs="Arial"/>
        </w:rPr>
        <w:t xml:space="preserve"> forman parte del </w:t>
      </w:r>
      <w:r w:rsidR="00EE3714">
        <w:rPr>
          <w:rFonts w:ascii="Arial" w:hAnsi="Arial" w:cs="Arial"/>
        </w:rPr>
        <w:t xml:space="preserve">Estado de Actividades </w:t>
      </w:r>
      <w:r w:rsidR="00AA50F2" w:rsidRPr="009879F6">
        <w:rPr>
          <w:rFonts w:ascii="Arial" w:hAnsi="Arial" w:cs="Arial"/>
        </w:rPr>
        <w:t xml:space="preserve">por el período comprendido del 1º de enero al 31 de diciembre </w:t>
      </w:r>
      <w:r w:rsidR="00AA50F2" w:rsidRPr="00026C35">
        <w:rPr>
          <w:rFonts w:ascii="Arial" w:hAnsi="Arial" w:cs="Arial"/>
        </w:rPr>
        <w:t xml:space="preserve">de </w:t>
      </w:r>
      <w:r w:rsidR="00026C35" w:rsidRPr="00026C35">
        <w:rPr>
          <w:rFonts w:ascii="Arial" w:hAnsi="Arial" w:cs="Arial"/>
        </w:rPr>
        <w:t>2019</w:t>
      </w:r>
      <w:r w:rsidR="00760678">
        <w:rPr>
          <w:rFonts w:ascii="Arial" w:hAnsi="Arial" w:cs="Arial"/>
        </w:rPr>
        <w:t>.</w:t>
      </w:r>
    </w:p>
    <w:p w14:paraId="11AFD0CD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225F6A6F" w14:textId="3F182D95" w:rsidR="003A721E" w:rsidRDefault="00125A70" w:rsidP="00D730EA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Pr="00671D1D" w:rsidRDefault="005274CB" w:rsidP="00D730EA">
      <w:pPr>
        <w:tabs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3D885DDD" w14:textId="28D77730" w:rsidR="002E1AEF" w:rsidRDefault="00035255" w:rsidP="00D730EA">
      <w:pPr>
        <w:tabs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EE3714">
        <w:rPr>
          <w:rFonts w:ascii="Arial" w:hAnsi="Arial" w:cs="Arial"/>
          <w:bCs/>
        </w:rPr>
        <w:t>ingresos y otros beneficios</w:t>
      </w:r>
      <w:r w:rsidR="00A5430F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>Normas Profesionales de Auditoría del Sistema Nacional de Fiscalización</w:t>
      </w:r>
      <w:r w:rsidR="008C757A">
        <w:rPr>
          <w:rFonts w:ascii="Arial" w:hAnsi="Arial" w:cs="Arial"/>
          <w:bCs/>
        </w:rPr>
        <w:t xml:space="preserve"> (NPASNF)</w:t>
      </w:r>
      <w:r w:rsidR="003A721E" w:rsidRPr="009879F6">
        <w:rPr>
          <w:rFonts w:ascii="Arial" w:hAnsi="Arial" w:cs="Arial"/>
          <w:bCs/>
        </w:rPr>
        <w:t xml:space="preserve">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6D0441DA" w14:textId="77777777" w:rsidR="00512FE0" w:rsidRPr="00671D1D" w:rsidRDefault="00512FE0" w:rsidP="00D730EA">
      <w:pPr>
        <w:tabs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E3A6FB2" w14:textId="021EE440" w:rsidR="003A721E" w:rsidRDefault="003A721E" w:rsidP="00D730EA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al </w:t>
      </w:r>
      <w:r w:rsidR="00C878DB" w:rsidRPr="004673C2">
        <w:rPr>
          <w:rFonts w:ascii="Arial" w:hAnsi="Arial" w:cs="Arial"/>
          <w:b/>
          <w:bCs/>
        </w:rPr>
        <w:t xml:space="preserve">Instituto </w:t>
      </w:r>
      <w:r w:rsidR="00C878DB">
        <w:rPr>
          <w:rFonts w:ascii="Arial" w:hAnsi="Arial" w:cs="Arial"/>
          <w:b/>
          <w:bCs/>
        </w:rPr>
        <w:t>Estatal para la Educación de Jóvenes y Adultos,</w:t>
      </w:r>
      <w:r w:rsidR="00C878DB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>
        <w:rPr>
          <w:rFonts w:ascii="Arial" w:hAnsi="Arial" w:cs="Arial"/>
          <w:bCs/>
        </w:rPr>
        <w:t xml:space="preserve">información </w:t>
      </w:r>
      <w:r w:rsidR="00F52F12" w:rsidRPr="00872711">
        <w:rPr>
          <w:rFonts w:ascii="Arial" w:hAnsi="Arial" w:cs="Arial"/>
          <w:bCs/>
        </w:rPr>
        <w:t>histórica</w:t>
      </w:r>
      <w:r w:rsidR="005274CB" w:rsidRPr="00872711">
        <w:rPr>
          <w:rFonts w:ascii="Arial" w:hAnsi="Arial" w:cs="Arial"/>
          <w:bCs/>
        </w:rPr>
        <w:t xml:space="preserve"> </w:t>
      </w:r>
      <w:r w:rsidR="00F52F12" w:rsidRPr="00872711">
        <w:rPr>
          <w:rFonts w:ascii="Arial" w:hAnsi="Arial" w:cs="Arial"/>
          <w:bCs/>
        </w:rPr>
        <w:t>que se encuentra en los antecedentes de las auditorías practicadas</w:t>
      </w:r>
      <w:r w:rsidR="00300738" w:rsidRPr="00872711">
        <w:rPr>
          <w:rFonts w:ascii="Arial" w:hAnsi="Arial" w:cs="Arial"/>
          <w:bCs/>
        </w:rPr>
        <w:t xml:space="preserve"> </w:t>
      </w:r>
      <w:r w:rsidRPr="00872711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Pr="00671D1D" w:rsidRDefault="003A721E" w:rsidP="00D730EA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127CB1DB" w14:textId="45A97027" w:rsidR="003A721E" w:rsidRDefault="003A721E" w:rsidP="00D730EA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determinándose </w:t>
      </w:r>
      <w:r w:rsidRPr="00A05588">
        <w:rPr>
          <w:rFonts w:ascii="Arial" w:hAnsi="Arial" w:cs="Arial"/>
          <w:bCs/>
        </w:rPr>
        <w:t>mediante el juicio profesional del auditor,</w:t>
      </w:r>
      <w:r>
        <w:rPr>
          <w:rFonts w:ascii="Arial" w:hAnsi="Arial" w:cs="Arial"/>
          <w:bCs/>
        </w:rPr>
        <w:t xml:space="preserve"> </w:t>
      </w:r>
      <w:r w:rsidR="00860EFD">
        <w:rPr>
          <w:rFonts w:ascii="Arial" w:hAnsi="Arial" w:cs="Arial"/>
          <w:bCs/>
        </w:rPr>
        <w:t>la</w:t>
      </w:r>
      <w:r w:rsidR="0039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actuación fiscalizadora </w:t>
      </w:r>
      <w:r w:rsidR="00D079F8">
        <w:rPr>
          <w:rFonts w:ascii="Arial" w:hAnsi="Arial" w:cs="Arial"/>
          <w:bCs/>
        </w:rPr>
        <w:t xml:space="preserve">basándose </w:t>
      </w:r>
      <w:r w:rsidR="00391B50">
        <w:rPr>
          <w:rFonts w:ascii="Arial" w:hAnsi="Arial" w:cs="Arial"/>
          <w:bCs/>
        </w:rPr>
        <w:t>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</w:t>
      </w:r>
      <w:r w:rsidR="00A32862">
        <w:rPr>
          <w:rFonts w:ascii="Arial" w:hAnsi="Arial" w:cs="Arial"/>
          <w:bCs/>
        </w:rPr>
        <w:t xml:space="preserve">genérica, la planeación </w:t>
      </w:r>
      <w:r w:rsidRPr="00A05588">
        <w:rPr>
          <w:rFonts w:ascii="Arial" w:hAnsi="Arial" w:cs="Arial"/>
          <w:bCs/>
        </w:rPr>
        <w:t>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249A5004" w14:textId="65A6CBEA" w:rsidR="00A5430F" w:rsidRPr="00671D1D" w:rsidRDefault="00A5430F" w:rsidP="00D730EA">
      <w:pPr>
        <w:spacing w:line="360" w:lineRule="auto"/>
        <w:ind w:right="49"/>
        <w:jc w:val="both"/>
        <w:rPr>
          <w:rFonts w:ascii="Arial" w:hAnsi="Arial" w:cs="Arial"/>
          <w:b/>
          <w:sz w:val="28"/>
          <w:szCs w:val="28"/>
        </w:rPr>
      </w:pPr>
    </w:p>
    <w:p w14:paraId="5E84ADF5" w14:textId="26C66BDF" w:rsidR="008D4630" w:rsidRPr="008D4630" w:rsidRDefault="00183903" w:rsidP="00D730EA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671D1D" w:rsidRDefault="008D4630" w:rsidP="00D730EA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0E436379" w14:textId="5E827CA2" w:rsidR="00A26BAE" w:rsidRDefault="00234CE3" w:rsidP="00D730EA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781F51">
        <w:rPr>
          <w:rFonts w:ascii="Arial" w:hAnsi="Arial" w:cs="Arial"/>
        </w:rPr>
        <w:t xml:space="preserve">Se revisaron las </w:t>
      </w:r>
      <w:r w:rsidR="0017150D" w:rsidRPr="00781F51">
        <w:rPr>
          <w:rFonts w:ascii="Arial" w:hAnsi="Arial" w:cs="Arial"/>
        </w:rPr>
        <w:t>of</w:t>
      </w:r>
      <w:r w:rsidR="003A2353" w:rsidRPr="00781F51">
        <w:rPr>
          <w:rFonts w:ascii="Arial" w:hAnsi="Arial" w:cs="Arial"/>
        </w:rPr>
        <w:t>icinas de la Dirección General, la Dirección de</w:t>
      </w:r>
      <w:r w:rsidR="00FB16A6">
        <w:rPr>
          <w:rFonts w:ascii="Arial" w:hAnsi="Arial" w:cs="Arial"/>
        </w:rPr>
        <w:t xml:space="preserve"> Administración y Finanzas y el</w:t>
      </w:r>
      <w:r w:rsidR="003A2353" w:rsidRPr="00781F51">
        <w:rPr>
          <w:rFonts w:ascii="Arial" w:hAnsi="Arial" w:cs="Arial"/>
        </w:rPr>
        <w:t xml:space="preserve"> Departamentos de Recursos </w:t>
      </w:r>
      <w:r w:rsidR="00FB16A6">
        <w:rPr>
          <w:rFonts w:ascii="Arial" w:hAnsi="Arial" w:cs="Arial"/>
        </w:rPr>
        <w:t>Financieros</w:t>
      </w:r>
      <w:r w:rsidR="003A2353" w:rsidRPr="00781F51">
        <w:rPr>
          <w:rFonts w:ascii="Arial" w:hAnsi="Arial" w:cs="Arial"/>
        </w:rPr>
        <w:t xml:space="preserve"> </w:t>
      </w:r>
      <w:r w:rsidR="008D4630" w:rsidRPr="00781F51">
        <w:rPr>
          <w:rFonts w:ascii="Arial" w:hAnsi="Arial" w:cs="Arial"/>
        </w:rPr>
        <w:t>del</w:t>
      </w:r>
      <w:r w:rsidR="009D4C1B" w:rsidRPr="00781F51">
        <w:rPr>
          <w:rFonts w:ascii="Arial" w:hAnsi="Arial" w:cs="Arial"/>
        </w:rPr>
        <w:t xml:space="preserve"> </w:t>
      </w:r>
      <w:r w:rsidR="00AC14E7" w:rsidRPr="00781F51">
        <w:rPr>
          <w:rFonts w:ascii="Arial" w:hAnsi="Arial" w:cs="Arial"/>
          <w:b/>
          <w:bCs/>
        </w:rPr>
        <w:t>Instituto Estatal para la Educación de Jóvenes y Adultos</w:t>
      </w:r>
      <w:r w:rsidR="008D4630" w:rsidRPr="00781F51">
        <w:rPr>
          <w:rFonts w:ascii="Arial" w:hAnsi="Arial" w:cs="Arial"/>
          <w:bCs/>
        </w:rPr>
        <w:t>.</w:t>
      </w:r>
    </w:p>
    <w:p w14:paraId="4EF4383B" w14:textId="7A0382E3" w:rsidR="00816950" w:rsidRDefault="00816950" w:rsidP="00D730EA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A4BBFFD" w14:textId="7B8BAEED" w:rsidR="00E66F94" w:rsidRDefault="008610C0" w:rsidP="00D730EA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38C2ACF7" w14:textId="77777777" w:rsidR="00671D1D" w:rsidRDefault="00671D1D" w:rsidP="00D730EA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28BF4B37" w14:textId="77777777" w:rsidR="00A503A4" w:rsidRPr="00C47B98" w:rsidRDefault="00A503A4" w:rsidP="00A503A4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4DB5328E" w14:textId="77777777" w:rsidR="00A503A4" w:rsidRPr="00C47B98" w:rsidRDefault="00A503A4" w:rsidP="00A503A4">
      <w:pPr>
        <w:spacing w:line="360" w:lineRule="auto"/>
        <w:jc w:val="both"/>
        <w:rPr>
          <w:rFonts w:ascii="Arial" w:hAnsi="Arial" w:cs="Arial"/>
          <w:bCs/>
        </w:rPr>
      </w:pPr>
    </w:p>
    <w:p w14:paraId="3B61468E" w14:textId="77777777" w:rsidR="00A503A4" w:rsidRPr="00C47B98" w:rsidRDefault="00A503A4" w:rsidP="00A503A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1DDC8EAE" w14:textId="77777777" w:rsidR="00A503A4" w:rsidRPr="00C47B98" w:rsidRDefault="00A503A4" w:rsidP="00A503A4">
      <w:pPr>
        <w:spacing w:line="360" w:lineRule="auto"/>
        <w:jc w:val="both"/>
        <w:rPr>
          <w:rFonts w:ascii="Arial" w:hAnsi="Arial" w:cs="Arial"/>
          <w:bCs/>
        </w:rPr>
      </w:pPr>
    </w:p>
    <w:p w14:paraId="315A5B90" w14:textId="100ED6BA" w:rsidR="00A503A4" w:rsidRDefault="00A503A4" w:rsidP="00A503A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2450467C" w14:textId="77777777" w:rsidR="00E20724" w:rsidRPr="00C47B98" w:rsidRDefault="00E20724" w:rsidP="00A503A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D650EB3" w14:textId="12C218A8" w:rsidR="00A503A4" w:rsidRDefault="00A503A4" w:rsidP="00A503A4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3B38A8D8" w14:textId="77777777" w:rsidR="00F25979" w:rsidRDefault="00F25979" w:rsidP="00A503A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B5F8EDE" w14:textId="604DFDAF" w:rsidR="00F25979" w:rsidRDefault="00F25979" w:rsidP="00F25979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Pr="00F53898">
        <w:rPr>
          <w:rFonts w:ascii="Arial" w:hAnsi="Arial" w:cs="Arial"/>
          <w:bCs/>
        </w:rPr>
        <w:t>Verificar que las conciliaciones bancarias se encuentren registradas en la contabilidad, y que los saldos estén de acuerdo a su naturaleza contable.</w:t>
      </w:r>
    </w:p>
    <w:p w14:paraId="2B0A12AB" w14:textId="77777777" w:rsidR="00E20724" w:rsidRDefault="00E20724" w:rsidP="00F25979">
      <w:pPr>
        <w:spacing w:line="360" w:lineRule="auto"/>
        <w:jc w:val="both"/>
        <w:rPr>
          <w:rFonts w:ascii="Arial" w:hAnsi="Arial" w:cs="Arial"/>
          <w:bCs/>
        </w:rPr>
      </w:pPr>
    </w:p>
    <w:p w14:paraId="00F956B5" w14:textId="6E1CDFE3" w:rsidR="00F25979" w:rsidRDefault="00F25979" w:rsidP="00F25979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AC14E7" w:rsidRPr="00B55FFF">
        <w:rPr>
          <w:rFonts w:ascii="Arial" w:hAnsi="Arial" w:cs="Arial"/>
          <w:bCs/>
        </w:rPr>
        <w:t xml:space="preserve">. </w:t>
      </w:r>
      <w:r w:rsidRPr="00F53898">
        <w:rPr>
          <w:rFonts w:ascii="Arial" w:hAnsi="Arial" w:cs="Arial"/>
          <w:bCs/>
        </w:rPr>
        <w:t>Verificar que la recaudación y depósito de los ingresos se realizaron con oportunidad, así como la expedición simultánea del comprobante fiscal digital y registro contable, en cumplimiento de las disposiciones aplicables.</w:t>
      </w:r>
    </w:p>
    <w:p w14:paraId="5E809FE1" w14:textId="77777777" w:rsidR="00F25979" w:rsidRPr="00F53898" w:rsidRDefault="00F25979" w:rsidP="00F25979">
      <w:pPr>
        <w:spacing w:line="360" w:lineRule="auto"/>
        <w:jc w:val="both"/>
        <w:rPr>
          <w:rFonts w:ascii="Arial" w:hAnsi="Arial" w:cs="Arial"/>
          <w:bCs/>
        </w:rPr>
      </w:pPr>
    </w:p>
    <w:p w14:paraId="5B41D103" w14:textId="41C351E1" w:rsidR="00AC14E7" w:rsidRDefault="00F25979" w:rsidP="00D730EA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Cs/>
        </w:rPr>
        <w:t>3</w:t>
      </w:r>
      <w:r w:rsidR="00AC14E7" w:rsidRPr="00B55FFF">
        <w:rPr>
          <w:rFonts w:ascii="Arial" w:hAnsi="Arial" w:cs="Arial"/>
          <w:bCs/>
        </w:rPr>
        <w:t xml:space="preserve">. </w:t>
      </w:r>
      <w:r w:rsidR="00AC14E7" w:rsidRPr="00B55FFF">
        <w:rPr>
          <w:rFonts w:ascii="Arial" w:hAnsi="Arial" w:cs="Arial"/>
          <w:lang w:val="es-ES"/>
        </w:rPr>
        <w:t>Verificar que en los registros contables se observaron las disposiciones de la Ley General de Contabilidad Gubernamental (LGCG) y lo emitido por el Consejo Nacional de Armonización Contable (CONAC).</w:t>
      </w:r>
    </w:p>
    <w:p w14:paraId="44BCA3C8" w14:textId="77777777" w:rsidR="00A503A4" w:rsidRDefault="00A503A4" w:rsidP="00D730EA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</w:p>
    <w:p w14:paraId="6C236202" w14:textId="6DF77B66" w:rsidR="00E351D2" w:rsidRPr="00E351D2" w:rsidRDefault="00F25979" w:rsidP="00B55FFF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4</w:t>
      </w:r>
      <w:r w:rsidR="00E351D2">
        <w:rPr>
          <w:rFonts w:ascii="Arial" w:hAnsi="Arial" w:cs="Arial"/>
          <w:lang w:val="es-ES"/>
        </w:rPr>
        <w:t xml:space="preserve">. Verificar </w:t>
      </w:r>
      <w:r w:rsidR="00E351D2" w:rsidRPr="00E351D2">
        <w:rPr>
          <w:rFonts w:ascii="Arial" w:hAnsi="Arial" w:cs="Arial"/>
          <w:lang w:val="es-ES"/>
        </w:rPr>
        <w:t xml:space="preserve">que los ingresos por concepto de Participaciones, Aportaciones, Transferencias, Asignaciones, Subsidios y Otras Ayudas recibidas por la Secretaría de </w:t>
      </w:r>
      <w:r w:rsidR="00E351D2">
        <w:rPr>
          <w:rFonts w:ascii="Arial" w:hAnsi="Arial" w:cs="Arial"/>
          <w:lang w:val="es-ES"/>
        </w:rPr>
        <w:t xml:space="preserve">Finanzas y </w:t>
      </w:r>
      <w:r w:rsidR="00E351D2" w:rsidRPr="00E351D2">
        <w:rPr>
          <w:rFonts w:ascii="Arial" w:hAnsi="Arial" w:cs="Arial"/>
          <w:lang w:val="es-ES"/>
        </w:rPr>
        <w:t>Planeación o su equivalente, se realizaron conforme al marco legal correspondiente.</w:t>
      </w:r>
    </w:p>
    <w:p w14:paraId="39214EEC" w14:textId="4E8E2FC6" w:rsidR="00B55FFF" w:rsidRPr="00B55FFF" w:rsidRDefault="00B55FFF" w:rsidP="00B55FFF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</w:p>
    <w:p w14:paraId="50EF9494" w14:textId="3D93A6A3" w:rsidR="00F25979" w:rsidRPr="00F53898" w:rsidRDefault="00F25979" w:rsidP="00F25979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s-ES"/>
        </w:rPr>
        <w:t>5</w:t>
      </w:r>
      <w:r w:rsidR="00E351D2" w:rsidRPr="00E351D2">
        <w:rPr>
          <w:rFonts w:ascii="Arial" w:hAnsi="Arial" w:cs="Arial"/>
          <w:lang w:val="es-ES"/>
        </w:rPr>
        <w:t xml:space="preserve">. </w:t>
      </w:r>
      <w:r w:rsidRPr="00F53898">
        <w:rPr>
          <w:rFonts w:ascii="Arial" w:hAnsi="Arial" w:cs="Arial"/>
          <w:bCs/>
        </w:rPr>
        <w:t>Identificar el origen del derecho de cobro, analizar su antigüedad y verificar las acciones realizadas para su comprobación, recuperación o depuración en apego a la normatividad establecida.</w:t>
      </w:r>
    </w:p>
    <w:p w14:paraId="522C9BE2" w14:textId="000EC030" w:rsidR="004A3D6D" w:rsidRDefault="004A3D6D" w:rsidP="00D730EA">
      <w:pPr>
        <w:spacing w:line="360" w:lineRule="auto"/>
        <w:ind w:right="49"/>
        <w:jc w:val="both"/>
        <w:rPr>
          <w:rFonts w:ascii="Arial" w:hAnsi="Arial" w:cs="Arial"/>
          <w:highlight w:val="yellow"/>
          <w:lang w:val="es-ES"/>
        </w:rPr>
      </w:pPr>
    </w:p>
    <w:p w14:paraId="040926F1" w14:textId="2FAE4ED9" w:rsidR="00E351D2" w:rsidRPr="00E351D2" w:rsidRDefault="00F25979" w:rsidP="00E351D2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6</w:t>
      </w:r>
      <w:r w:rsidR="00E351D2" w:rsidRPr="00E351D2">
        <w:rPr>
          <w:rFonts w:ascii="Arial" w:hAnsi="Arial" w:cs="Arial"/>
          <w:lang w:val="es-ES"/>
        </w:rPr>
        <w:t xml:space="preserve">. Constatar que los ingresos por participaciones y aportaciones que se recibieron </w:t>
      </w:r>
      <w:r>
        <w:rPr>
          <w:rFonts w:ascii="Arial" w:hAnsi="Arial" w:cs="Arial"/>
          <w:lang w:val="es-ES"/>
        </w:rPr>
        <w:t>d</w:t>
      </w:r>
      <w:r w:rsidR="00E351D2" w:rsidRPr="00E351D2">
        <w:rPr>
          <w:rFonts w:ascii="Arial" w:hAnsi="Arial" w:cs="Arial"/>
          <w:lang w:val="es-ES"/>
        </w:rPr>
        <w:t>e la Secretaría de Finanzas y Planeación, se depositaron en cuenta</w:t>
      </w:r>
      <w:r>
        <w:rPr>
          <w:rFonts w:ascii="Arial" w:hAnsi="Arial" w:cs="Arial"/>
          <w:lang w:val="es-ES"/>
        </w:rPr>
        <w:t>s</w:t>
      </w:r>
      <w:r w:rsidR="00E351D2" w:rsidRPr="00E351D2">
        <w:rPr>
          <w:rFonts w:ascii="Arial" w:hAnsi="Arial" w:cs="Arial"/>
          <w:lang w:val="es-ES"/>
        </w:rPr>
        <w:t xml:space="preserve"> bancaria</w:t>
      </w:r>
      <w:r>
        <w:rPr>
          <w:rFonts w:ascii="Arial" w:hAnsi="Arial" w:cs="Arial"/>
          <w:lang w:val="es-ES"/>
        </w:rPr>
        <w:t>s</w:t>
      </w:r>
      <w:r w:rsidR="00E351D2" w:rsidRPr="00E351D2">
        <w:rPr>
          <w:rFonts w:ascii="Arial" w:hAnsi="Arial" w:cs="Arial"/>
          <w:lang w:val="es-ES"/>
        </w:rPr>
        <w:t xml:space="preserve"> del</w:t>
      </w:r>
      <w:r w:rsidR="00E351D2">
        <w:rPr>
          <w:rFonts w:ascii="Arial" w:hAnsi="Arial" w:cs="Arial"/>
          <w:lang w:val="es-ES"/>
        </w:rPr>
        <w:t xml:space="preserve"> Instituto</w:t>
      </w:r>
      <w:r w:rsidR="00E351D2" w:rsidRPr="00E351D2">
        <w:rPr>
          <w:rFonts w:ascii="Arial" w:hAnsi="Arial" w:cs="Arial"/>
          <w:lang w:val="es-ES"/>
        </w:rPr>
        <w:t>.</w:t>
      </w:r>
    </w:p>
    <w:p w14:paraId="41A46EE9" w14:textId="4CC7B038" w:rsidR="00E351D2" w:rsidRPr="00E351D2" w:rsidRDefault="00E351D2" w:rsidP="00D730EA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</w:p>
    <w:p w14:paraId="729AD3FF" w14:textId="14DEBB3E" w:rsidR="008610C0" w:rsidRDefault="008610C0" w:rsidP="00D730EA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FC1EBE0" w14:textId="77777777" w:rsidR="006F79C4" w:rsidRPr="006F79C4" w:rsidRDefault="006F79C4" w:rsidP="00D730EA">
      <w:pPr>
        <w:spacing w:line="360" w:lineRule="auto"/>
        <w:ind w:right="49"/>
        <w:jc w:val="both"/>
        <w:rPr>
          <w:rFonts w:ascii="Arial" w:hAnsi="Arial" w:cs="Arial"/>
          <w:bCs/>
          <w:sz w:val="22"/>
        </w:rPr>
      </w:pPr>
    </w:p>
    <w:p w14:paraId="4A1FF583" w14:textId="650DCBF8" w:rsidR="00974042" w:rsidRPr="002E2A36" w:rsidRDefault="008610C0" w:rsidP="00D730EA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D079F8">
        <w:rPr>
          <w:rFonts w:ascii="Arial" w:hAnsi="Arial" w:cs="Arial"/>
          <w:b/>
        </w:rPr>
        <w:t xml:space="preserve">que intervinieron en </w:t>
      </w:r>
      <w:r w:rsidR="00E43850" w:rsidRPr="002E2A36">
        <w:rPr>
          <w:rFonts w:ascii="Arial" w:hAnsi="Arial" w:cs="Arial"/>
          <w:b/>
        </w:rPr>
        <w:t xml:space="preserve">la </w:t>
      </w:r>
      <w:r w:rsidR="00FA4D20" w:rsidRPr="002E2A36">
        <w:rPr>
          <w:rFonts w:ascii="Arial" w:hAnsi="Arial" w:cs="Arial"/>
          <w:b/>
        </w:rPr>
        <w:t>A</w:t>
      </w:r>
      <w:r w:rsidR="00E43850" w:rsidRPr="002E2A36">
        <w:rPr>
          <w:rFonts w:ascii="Arial" w:hAnsi="Arial" w:cs="Arial"/>
          <w:b/>
        </w:rPr>
        <w:t>uditoría</w:t>
      </w:r>
    </w:p>
    <w:p w14:paraId="679F8E29" w14:textId="77777777" w:rsidR="00D1152D" w:rsidRPr="006F79C4" w:rsidRDefault="00D1152D" w:rsidP="00D730EA">
      <w:pPr>
        <w:spacing w:line="360" w:lineRule="auto"/>
        <w:ind w:right="49"/>
        <w:jc w:val="both"/>
        <w:rPr>
          <w:rFonts w:ascii="Arial" w:hAnsi="Arial" w:cs="Arial"/>
          <w:bCs/>
          <w:sz w:val="22"/>
        </w:rPr>
      </w:pPr>
    </w:p>
    <w:p w14:paraId="5DE7FC59" w14:textId="4963635D" w:rsidR="00855650" w:rsidRDefault="00855650" w:rsidP="00D730EA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</w:t>
      </w:r>
      <w:r w:rsidR="00D079F8" w:rsidRPr="00D079F8">
        <w:rPr>
          <w:rFonts w:ascii="Arial" w:hAnsi="Arial" w:cs="Arial"/>
          <w:bCs/>
        </w:rPr>
        <w:t>se encuentra referido en la orden emitida con oficio número</w:t>
      </w:r>
      <w:r w:rsidR="00D079F8">
        <w:rPr>
          <w:rFonts w:ascii="Arial" w:hAnsi="Arial" w:cs="Arial"/>
          <w:bCs/>
        </w:rPr>
        <w:t xml:space="preserve"> ASEQROO/ASE/AEMF/0596/08/2020</w:t>
      </w:r>
      <w:r w:rsidR="00D079F8" w:rsidRPr="00D079F8">
        <w:rPr>
          <w:rFonts w:ascii="Arial" w:hAnsi="Arial" w:cs="Arial"/>
          <w:bCs/>
        </w:rPr>
        <w:t>, siendo los servidores públicos a cargo de coordinar y supervisar</w:t>
      </w:r>
      <w:r w:rsidR="006464F5">
        <w:rPr>
          <w:rFonts w:ascii="Arial" w:hAnsi="Arial" w:cs="Arial"/>
          <w:bCs/>
        </w:rPr>
        <w:t xml:space="preserve"> la auditoría, los siguientes:</w:t>
      </w:r>
    </w:p>
    <w:p w14:paraId="27C8C58A" w14:textId="77777777" w:rsidR="00855650" w:rsidRPr="006F79C4" w:rsidRDefault="00855650" w:rsidP="00B93F1F">
      <w:pPr>
        <w:spacing w:line="360" w:lineRule="auto"/>
        <w:jc w:val="both"/>
        <w:rPr>
          <w:rFonts w:ascii="Arial" w:hAnsi="Arial" w:cs="Arial"/>
          <w:bCs/>
          <w:szCs w:val="28"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1A6A86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1A6A86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0461A65D" w:rsidR="00855650" w:rsidRPr="00845B1A" w:rsidRDefault="001A6A86" w:rsidP="001A6A8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L.A.E. Juan Gilberto Ayala Zavalegui</w:t>
            </w:r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1A6A86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39DC1677" w:rsidR="00855650" w:rsidRPr="00845B1A" w:rsidRDefault="001A6A86" w:rsidP="001A6A8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 xml:space="preserve">. Minerva </w:t>
            </w:r>
            <w:proofErr w:type="spellStart"/>
            <w:r>
              <w:rPr>
                <w:rFonts w:ascii="Arial" w:hAnsi="Arial" w:cs="Arial"/>
                <w:bCs/>
              </w:rPr>
              <w:t>Lissete</w:t>
            </w:r>
            <w:proofErr w:type="spellEnd"/>
            <w:r>
              <w:rPr>
                <w:rFonts w:ascii="Arial" w:hAnsi="Arial" w:cs="Arial"/>
                <w:bCs/>
              </w:rPr>
              <w:t xml:space="preserve"> Herrera Flores</w:t>
            </w:r>
          </w:p>
        </w:tc>
        <w:tc>
          <w:tcPr>
            <w:tcW w:w="2977" w:type="dxa"/>
            <w:shd w:val="clear" w:color="auto" w:fill="auto"/>
          </w:tcPr>
          <w:p w14:paraId="76B670D2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AC8B2BB" w14:textId="77777777" w:rsidR="002E1AEF" w:rsidRPr="0011139E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  <w:sz w:val="28"/>
          <w:szCs w:val="28"/>
        </w:rPr>
      </w:pPr>
    </w:p>
    <w:p w14:paraId="507D5E3D" w14:textId="77777777" w:rsidR="00615C7A" w:rsidRPr="00845B1A" w:rsidRDefault="005F7A39" w:rsidP="00D730EA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6F79C4" w:rsidRDefault="005E4A7A" w:rsidP="00D730EA">
      <w:pPr>
        <w:spacing w:line="360" w:lineRule="auto"/>
        <w:ind w:right="49"/>
        <w:jc w:val="both"/>
        <w:rPr>
          <w:rFonts w:ascii="Arial" w:hAnsi="Arial" w:cs="Arial"/>
          <w:sz w:val="22"/>
        </w:rPr>
      </w:pPr>
    </w:p>
    <w:p w14:paraId="35FC8FA5" w14:textId="3E4FEE17" w:rsidR="000F3999" w:rsidRPr="00845B1A" w:rsidRDefault="000F3999" w:rsidP="00D730EA">
      <w:pPr>
        <w:spacing w:line="360" w:lineRule="auto"/>
        <w:ind w:right="49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6A7793">
        <w:rPr>
          <w:rFonts w:ascii="Arial" w:hAnsi="Arial" w:cs="Arial"/>
        </w:rPr>
        <w:t xml:space="preserve">además de </w:t>
      </w:r>
      <w:r w:rsidR="001A6A86">
        <w:rPr>
          <w:rFonts w:ascii="Arial" w:hAnsi="Arial" w:cs="Arial"/>
        </w:rPr>
        <w:t>la Ley de Ingresos del Estado de Quintana Roo</w:t>
      </w:r>
      <w:r w:rsidR="006A7793">
        <w:rPr>
          <w:rFonts w:ascii="Arial" w:hAnsi="Arial" w:cs="Arial"/>
        </w:rPr>
        <w:t xml:space="preserve"> </w:t>
      </w:r>
      <w:r w:rsidR="00E351D2">
        <w:rPr>
          <w:rFonts w:ascii="Arial" w:hAnsi="Arial" w:cs="Arial"/>
        </w:rPr>
        <w:t xml:space="preserve">para el </w:t>
      </w:r>
      <w:r w:rsidR="00EC2A4E">
        <w:rPr>
          <w:rFonts w:ascii="Arial" w:hAnsi="Arial" w:cs="Arial"/>
        </w:rPr>
        <w:t>Ejercicio F</w:t>
      </w:r>
      <w:r w:rsidR="00E351D2">
        <w:rPr>
          <w:rFonts w:ascii="Arial" w:hAnsi="Arial" w:cs="Arial"/>
        </w:rPr>
        <w:t xml:space="preserve">iscal 2019 </w:t>
      </w:r>
      <w:r w:rsidRPr="00845B1A">
        <w:rPr>
          <w:rFonts w:ascii="Arial" w:hAnsi="Arial" w:cs="Arial"/>
        </w:rPr>
        <w:t>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3E7BF581" w:rsidR="000F3999" w:rsidRPr="006F79C4" w:rsidRDefault="000F3999" w:rsidP="00D730EA">
      <w:pPr>
        <w:spacing w:line="360" w:lineRule="auto"/>
        <w:ind w:right="49"/>
        <w:jc w:val="both"/>
        <w:rPr>
          <w:rFonts w:ascii="Arial" w:hAnsi="Arial" w:cs="Arial"/>
        </w:rPr>
      </w:pPr>
    </w:p>
    <w:p w14:paraId="0DCC42EC" w14:textId="4EFB818E" w:rsidR="00F87946" w:rsidRPr="00845B1A" w:rsidRDefault="00212E90" w:rsidP="00D730EA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6F79C4" w:rsidRDefault="006F2571" w:rsidP="00D730EA">
      <w:pPr>
        <w:spacing w:line="360" w:lineRule="auto"/>
        <w:ind w:right="49"/>
        <w:jc w:val="both"/>
        <w:rPr>
          <w:rFonts w:ascii="Arial" w:hAnsi="Arial" w:cs="Arial"/>
        </w:rPr>
      </w:pPr>
    </w:p>
    <w:p w14:paraId="1019124D" w14:textId="09A6EACF" w:rsidR="001A6A86" w:rsidRPr="00A1369F" w:rsidRDefault="001A6A86" w:rsidP="00D730EA">
      <w:pPr>
        <w:spacing w:line="360" w:lineRule="auto"/>
        <w:ind w:right="49"/>
        <w:jc w:val="both"/>
      </w:pPr>
      <w:r w:rsidRPr="00A1369F">
        <w:rPr>
          <w:rFonts w:ascii="Arial" w:hAnsi="Arial" w:cs="Arial"/>
          <w:color w:val="000000" w:themeColor="text1"/>
        </w:rPr>
        <w:t>Se constató el cumplimiento de la Ley General de Contabilidad Gubernamental</w:t>
      </w:r>
      <w:r w:rsidR="00A54809" w:rsidRPr="00A1369F">
        <w:rPr>
          <w:rFonts w:ascii="Arial" w:hAnsi="Arial" w:cs="Arial"/>
          <w:color w:val="000000" w:themeColor="text1"/>
        </w:rPr>
        <w:t xml:space="preserve">, </w:t>
      </w:r>
      <w:r w:rsidR="00EC2A4E">
        <w:rPr>
          <w:rFonts w:ascii="Arial" w:hAnsi="Arial" w:cs="Arial"/>
          <w:color w:val="000000" w:themeColor="text1"/>
        </w:rPr>
        <w:t xml:space="preserve">la </w:t>
      </w:r>
      <w:r w:rsidR="00A54809" w:rsidRPr="00A1369F">
        <w:rPr>
          <w:rFonts w:ascii="Arial" w:hAnsi="Arial" w:cs="Arial"/>
          <w:color w:val="000000" w:themeColor="text1"/>
        </w:rPr>
        <w:t>Ley de Ingresos del Estado de Quintana Roo</w:t>
      </w:r>
      <w:r w:rsidR="006A7793">
        <w:rPr>
          <w:rFonts w:ascii="Arial" w:hAnsi="Arial" w:cs="Arial"/>
          <w:color w:val="000000" w:themeColor="text1"/>
        </w:rPr>
        <w:t xml:space="preserve"> </w:t>
      </w:r>
      <w:r w:rsidR="00A54809" w:rsidRPr="00A1369F">
        <w:rPr>
          <w:rFonts w:ascii="Arial" w:hAnsi="Arial" w:cs="Arial"/>
          <w:color w:val="000000" w:themeColor="text1"/>
        </w:rPr>
        <w:t xml:space="preserve">para el </w:t>
      </w:r>
      <w:r w:rsidR="00EC2A4E">
        <w:rPr>
          <w:rFonts w:ascii="Arial" w:hAnsi="Arial" w:cs="Arial"/>
          <w:color w:val="000000" w:themeColor="text1"/>
        </w:rPr>
        <w:t>E</w:t>
      </w:r>
      <w:r w:rsidR="00A54809" w:rsidRPr="00A1369F">
        <w:rPr>
          <w:rFonts w:ascii="Arial" w:hAnsi="Arial" w:cs="Arial"/>
          <w:color w:val="000000" w:themeColor="text1"/>
        </w:rPr>
        <w:t xml:space="preserve">jercicio </w:t>
      </w:r>
      <w:r w:rsidR="00EC2A4E">
        <w:rPr>
          <w:rFonts w:ascii="Arial" w:hAnsi="Arial" w:cs="Arial"/>
          <w:color w:val="000000" w:themeColor="text1"/>
        </w:rPr>
        <w:t>F</w:t>
      </w:r>
      <w:r w:rsidR="00A54809" w:rsidRPr="00026C35">
        <w:rPr>
          <w:rFonts w:ascii="Arial" w:hAnsi="Arial" w:cs="Arial"/>
          <w:color w:val="000000" w:themeColor="text1"/>
        </w:rPr>
        <w:t xml:space="preserve">iscal </w:t>
      </w:r>
      <w:r w:rsidR="00026C35" w:rsidRPr="00026C35">
        <w:rPr>
          <w:rFonts w:ascii="Arial" w:hAnsi="Arial" w:cs="Arial"/>
          <w:color w:val="000000" w:themeColor="text1"/>
        </w:rPr>
        <w:t>2019</w:t>
      </w:r>
      <w:r w:rsidR="00EC2A4E">
        <w:rPr>
          <w:rFonts w:ascii="Arial" w:hAnsi="Arial" w:cs="Arial"/>
          <w:color w:val="000000" w:themeColor="text1"/>
        </w:rPr>
        <w:t xml:space="preserve">, así como de lo emitido </w:t>
      </w:r>
      <w:r w:rsidRPr="00A1369F">
        <w:rPr>
          <w:rFonts w:ascii="Arial" w:hAnsi="Arial" w:cs="Arial"/>
          <w:color w:val="000000" w:themeColor="text1"/>
        </w:rPr>
        <w:t xml:space="preserve">por el Consejo Nacional de Armonización Contable (CONAC), </w:t>
      </w:r>
      <w:r w:rsidR="00EC2A4E">
        <w:rPr>
          <w:rFonts w:ascii="Arial" w:hAnsi="Arial" w:cs="Arial"/>
          <w:color w:val="000000" w:themeColor="text1"/>
        </w:rPr>
        <w:t xml:space="preserve">y demás disposiciones legales </w:t>
      </w:r>
      <w:r w:rsidRPr="00A1369F">
        <w:rPr>
          <w:rFonts w:ascii="Arial" w:hAnsi="Arial" w:cs="Arial"/>
          <w:color w:val="000000" w:themeColor="text1"/>
        </w:rPr>
        <w:t xml:space="preserve">y </w:t>
      </w:r>
      <w:r w:rsidR="00A1369F" w:rsidRPr="00A1369F">
        <w:rPr>
          <w:rFonts w:ascii="Arial" w:hAnsi="Arial" w:cs="Arial"/>
          <w:color w:val="000000" w:themeColor="text1"/>
        </w:rPr>
        <w:t>normativas aplicables</w:t>
      </w:r>
      <w:r w:rsidR="00E351D2">
        <w:rPr>
          <w:rFonts w:ascii="Arial" w:hAnsi="Arial" w:cs="Arial"/>
          <w:color w:val="000000" w:themeColor="text1"/>
        </w:rPr>
        <w:t>.</w:t>
      </w:r>
      <w:r w:rsidRPr="003F427C">
        <w:rPr>
          <w:rFonts w:ascii="Arial" w:hAnsi="Arial" w:cs="Arial"/>
          <w:color w:val="FF0000"/>
        </w:rPr>
        <w:t xml:space="preserve"> </w:t>
      </w:r>
    </w:p>
    <w:p w14:paraId="30886AB1" w14:textId="07E50023" w:rsidR="001A6A86" w:rsidRPr="00E20724" w:rsidRDefault="001A6A86" w:rsidP="00D730EA">
      <w:pPr>
        <w:spacing w:line="360" w:lineRule="auto"/>
        <w:ind w:right="49"/>
        <w:jc w:val="both"/>
        <w:rPr>
          <w:rFonts w:ascii="Arial" w:hAnsi="Arial" w:cs="Arial"/>
          <w:highlight w:val="yellow"/>
        </w:rPr>
      </w:pPr>
    </w:p>
    <w:p w14:paraId="709275CB" w14:textId="7B17DCCA" w:rsidR="00F326F4" w:rsidRDefault="00B93E82" w:rsidP="00D730EA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5D7E2E49" w14:textId="77777777" w:rsidR="006F79C4" w:rsidRPr="00A05588" w:rsidRDefault="006F79C4" w:rsidP="00D730EA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3DBDCE61" w14:textId="77777777" w:rsidR="008443FB" w:rsidRPr="006F79C4" w:rsidRDefault="008443FB" w:rsidP="00D730EA">
      <w:pPr>
        <w:spacing w:line="360" w:lineRule="auto"/>
        <w:ind w:right="49"/>
        <w:jc w:val="both"/>
        <w:rPr>
          <w:rFonts w:ascii="Arial" w:hAnsi="Arial" w:cs="Arial"/>
          <w:sz w:val="2"/>
        </w:rPr>
      </w:pPr>
    </w:p>
    <w:p w14:paraId="4DF97E11" w14:textId="2267225A" w:rsidR="00443FDD" w:rsidRDefault="00183532" w:rsidP="005E085D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>De conformidad con los artículos 17</w:t>
      </w:r>
      <w:r w:rsidR="004615F9">
        <w:rPr>
          <w:rFonts w:ascii="Arial" w:hAnsi="Arial" w:cs="Arial"/>
        </w:rPr>
        <w:t>,</w:t>
      </w:r>
      <w:r w:rsidRPr="0084191C">
        <w:rPr>
          <w:rFonts w:ascii="Arial" w:hAnsi="Arial" w:cs="Arial"/>
        </w:rPr>
        <w:t xml:space="preserve">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212E90" w:rsidRPr="0084191C">
        <w:rPr>
          <w:rFonts w:ascii="Arial" w:hAnsi="Arial" w:cs="Arial"/>
        </w:rPr>
        <w:t>,</w:t>
      </w:r>
      <w:r w:rsidR="00AA45C4" w:rsidRPr="0084191C">
        <w:rPr>
          <w:rFonts w:ascii="Arial" w:hAnsi="Arial" w:cs="Arial"/>
        </w:rPr>
        <w:t xml:space="preserve"> y</w:t>
      </w:r>
      <w:r w:rsidR="00212E90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>61 párrafo primero de la Ley de Fiscalización y Rendición de Cuentas del Estado de Quintana Roo</w:t>
      </w:r>
      <w:r w:rsidR="007127B3" w:rsidRPr="0084191C">
        <w:rPr>
          <w:rFonts w:ascii="Arial" w:hAnsi="Arial" w:cs="Arial"/>
        </w:rPr>
        <w:t xml:space="preserve">, </w:t>
      </w:r>
      <w:r w:rsidR="007127B3" w:rsidRPr="00CC4E23">
        <w:rPr>
          <w:rFonts w:ascii="Arial" w:hAnsi="Arial" w:cs="Arial"/>
        </w:rPr>
        <w:t>4</w:t>
      </w:r>
      <w:r w:rsidR="00DD7950" w:rsidRPr="00CC4E23">
        <w:rPr>
          <w:rFonts w:ascii="Arial" w:hAnsi="Arial" w:cs="Arial"/>
        </w:rPr>
        <w:t>, 8</w:t>
      </w:r>
      <w:r w:rsidR="00996A1B" w:rsidRPr="00CC4E23">
        <w:rPr>
          <w:rFonts w:ascii="Arial" w:hAnsi="Arial" w:cs="Arial"/>
        </w:rPr>
        <w:t xml:space="preserve"> y</w:t>
      </w:r>
      <w:r w:rsidR="007127B3" w:rsidRPr="00CC4E23">
        <w:rPr>
          <w:rFonts w:ascii="Arial" w:hAnsi="Arial" w:cs="Arial"/>
        </w:rPr>
        <w:t xml:space="preserve"> 9</w:t>
      </w:r>
      <w:r w:rsidR="004615F9">
        <w:rPr>
          <w:rFonts w:ascii="Arial" w:hAnsi="Arial" w:cs="Arial"/>
        </w:rPr>
        <w:t>,</w:t>
      </w:r>
      <w:r w:rsidR="007127B3" w:rsidRPr="00CC4E23">
        <w:rPr>
          <w:rFonts w:ascii="Arial" w:hAnsi="Arial" w:cs="Arial"/>
        </w:rPr>
        <w:t xml:space="preserve"> </w:t>
      </w:r>
      <w:r w:rsidR="00AA45C4" w:rsidRPr="00CC4E23">
        <w:rPr>
          <w:rFonts w:ascii="Arial" w:hAnsi="Arial" w:cs="Arial"/>
        </w:rPr>
        <w:t>fr</w:t>
      </w:r>
      <w:r w:rsidR="00AA45C4" w:rsidRPr="0084191C">
        <w:rPr>
          <w:rFonts w:ascii="Arial" w:hAnsi="Arial" w:cs="Arial"/>
        </w:rPr>
        <w:t>acciones</w:t>
      </w:r>
      <w:r w:rsidR="007127B3" w:rsidRPr="0084191C">
        <w:rPr>
          <w:rFonts w:ascii="Arial" w:hAnsi="Arial" w:cs="Arial"/>
        </w:rPr>
        <w:t xml:space="preserve"> X, </w:t>
      </w:r>
      <w:r w:rsidR="00996A1B">
        <w:rPr>
          <w:rFonts w:ascii="Arial" w:hAnsi="Arial" w:cs="Arial"/>
        </w:rPr>
        <w:t xml:space="preserve">XI, </w:t>
      </w:r>
      <w:r w:rsidR="007127B3" w:rsidRPr="0084191C">
        <w:rPr>
          <w:rFonts w:ascii="Arial" w:hAnsi="Arial" w:cs="Arial"/>
        </w:rPr>
        <w:t>XVIII y XXVI</w:t>
      </w:r>
      <w:r w:rsidR="00AA45C4" w:rsidRPr="0084191C">
        <w:rPr>
          <w:rFonts w:ascii="Arial" w:hAnsi="Arial" w:cs="Arial"/>
        </w:rPr>
        <w:t>,</w:t>
      </w:r>
      <w:r w:rsidR="007127B3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del Reglamento Interior de </w:t>
      </w:r>
      <w:r w:rsidR="005A05B5">
        <w:rPr>
          <w:rFonts w:ascii="Arial" w:hAnsi="Arial" w:cs="Arial"/>
        </w:rPr>
        <w:t xml:space="preserve">la </w:t>
      </w:r>
      <w:r w:rsidR="005A05B5"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bookmarkStart w:id="7" w:name="_Hlk11408938"/>
      <w:r w:rsidR="00443FDD" w:rsidRPr="00443FDD">
        <w:rPr>
          <w:rFonts w:ascii="Arial" w:hAnsi="Arial" w:cs="Arial"/>
        </w:rPr>
        <w:t xml:space="preserve">durante </w:t>
      </w:r>
      <w:r w:rsidR="00443FDD">
        <w:rPr>
          <w:rFonts w:ascii="Arial" w:hAnsi="Arial" w:cs="Arial"/>
        </w:rPr>
        <w:t>el</w:t>
      </w:r>
      <w:r w:rsidR="00443FDD" w:rsidRPr="00443FDD">
        <w:rPr>
          <w:rFonts w:ascii="Arial" w:hAnsi="Arial" w:cs="Arial"/>
        </w:rPr>
        <w:t xml:space="preserve"> proceso de auditoría se hizo del conocimiento al ente </w:t>
      </w:r>
      <w:proofErr w:type="spellStart"/>
      <w:r w:rsidR="00443FDD" w:rsidRPr="00443FDD">
        <w:rPr>
          <w:rFonts w:ascii="Arial" w:hAnsi="Arial" w:cs="Arial"/>
        </w:rPr>
        <w:t>fiscalizado</w:t>
      </w:r>
      <w:proofErr w:type="spellEnd"/>
      <w:r w:rsidR="00443FDD" w:rsidRPr="00443FDD">
        <w:rPr>
          <w:rFonts w:ascii="Arial" w:hAnsi="Arial" w:cs="Arial"/>
        </w:rPr>
        <w:t xml:space="preserve"> las observaciones preliminares derivadas de la aplicación de los procedimientos de revisión y fiscalización, las cuales se atendieron en su totalidad y de manera oportuna durante la revisión de la cuenta pública, presentando las justificaciones y aclaraciones respecto de las operaciones financieras mediante la presentación de documentos que técnicamente las comprueban y justifican.</w:t>
      </w:r>
    </w:p>
    <w:p w14:paraId="534821B5" w14:textId="77777777" w:rsidR="005E085D" w:rsidRDefault="005E085D" w:rsidP="00D730EA">
      <w:pPr>
        <w:spacing w:line="360" w:lineRule="auto"/>
        <w:ind w:right="49"/>
        <w:jc w:val="both"/>
        <w:rPr>
          <w:rFonts w:ascii="Arial" w:hAnsi="Arial" w:cs="Arial"/>
        </w:rPr>
      </w:pPr>
    </w:p>
    <w:bookmarkEnd w:id="7"/>
    <w:p w14:paraId="666A742A" w14:textId="1DE25E50" w:rsidR="00535E61" w:rsidRPr="009879F6" w:rsidRDefault="00535E61" w:rsidP="00535E61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 xml:space="preserve">I. INFORME INDIVIDUAL DE AUDITORÍA RELATIVO A </w:t>
      </w:r>
      <w:r w:rsidRPr="004F649F">
        <w:rPr>
          <w:rFonts w:ascii="Arial" w:hAnsi="Arial" w:cs="Arial"/>
          <w:b/>
          <w:bCs/>
        </w:rPr>
        <w:t>EGRESOS</w:t>
      </w:r>
    </w:p>
    <w:p w14:paraId="1CF74FFE" w14:textId="77777777" w:rsidR="00535E61" w:rsidRPr="009879F6" w:rsidRDefault="00535E61" w:rsidP="00535E61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56C489DB" w14:textId="05F28894" w:rsidR="00535E61" w:rsidRPr="009879F6" w:rsidRDefault="00535E61" w:rsidP="00535E61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>I.1. ASPECTOS GENERALES DE LA AUDITORÍA</w:t>
      </w:r>
    </w:p>
    <w:p w14:paraId="4CE97471" w14:textId="77777777" w:rsidR="00535E61" w:rsidRPr="009879F6" w:rsidRDefault="00535E61" w:rsidP="00535E6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32503BE" w14:textId="77777777" w:rsidR="00535E61" w:rsidRDefault="00535E61" w:rsidP="00535E61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2E0D710F" w14:textId="77777777" w:rsidR="00535E61" w:rsidRPr="006F79C4" w:rsidRDefault="00535E61" w:rsidP="00535E61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54B7088A" w14:textId="77777777" w:rsidR="00535E61" w:rsidRPr="009879F6" w:rsidRDefault="00535E61" w:rsidP="00535E61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al </w:t>
      </w:r>
      <w:r w:rsidRPr="004673C2">
        <w:rPr>
          <w:rFonts w:ascii="Arial" w:hAnsi="Arial" w:cs="Arial"/>
          <w:b/>
          <w:bCs/>
        </w:rPr>
        <w:t xml:space="preserve">Instituto </w:t>
      </w:r>
      <w:r>
        <w:rPr>
          <w:rFonts w:ascii="Arial" w:hAnsi="Arial" w:cs="Arial"/>
          <w:b/>
          <w:bCs/>
        </w:rPr>
        <w:t>Estatal para la Educación de Jóvenes y Adultos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0CCF89E7" w14:textId="77777777" w:rsidR="00535E61" w:rsidRPr="00BA3CFA" w:rsidRDefault="00535E61" w:rsidP="00535E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6003"/>
      </w:tblGrid>
      <w:tr w:rsidR="00535E61" w:rsidRPr="009879F6" w14:paraId="111459A0" w14:textId="77777777" w:rsidTr="00187C25">
        <w:trPr>
          <w:trHeight w:val="678"/>
          <w:tblHeader/>
          <w:jc w:val="center"/>
        </w:trPr>
        <w:tc>
          <w:tcPr>
            <w:tcW w:w="1902" w:type="pct"/>
            <w:shd w:val="clear" w:color="auto" w:fill="auto"/>
          </w:tcPr>
          <w:p w14:paraId="10EA0863" w14:textId="64119611" w:rsidR="00535E61" w:rsidRPr="00E227D6" w:rsidRDefault="004F649F" w:rsidP="004F649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4F649F">
              <w:rPr>
                <w:rFonts w:ascii="Arial" w:hAnsi="Arial" w:cs="Arial"/>
                <w:b/>
                <w:lang w:val="en-US"/>
              </w:rPr>
              <w:t>19-</w:t>
            </w:r>
            <w:r w:rsidR="00535E61" w:rsidRPr="004F649F">
              <w:rPr>
                <w:rFonts w:ascii="Arial" w:hAnsi="Arial" w:cs="Arial"/>
                <w:b/>
                <w:lang w:val="en-US"/>
              </w:rPr>
              <w:t>AEMF-C-GOB-</w:t>
            </w:r>
            <w:r w:rsidRPr="004F649F">
              <w:rPr>
                <w:rFonts w:ascii="Arial" w:hAnsi="Arial" w:cs="Arial"/>
                <w:b/>
                <w:lang w:val="en-US"/>
              </w:rPr>
              <w:t>036</w:t>
            </w:r>
            <w:r w:rsidR="00535E61" w:rsidRPr="004F649F">
              <w:rPr>
                <w:rFonts w:ascii="Arial" w:hAnsi="Arial" w:cs="Arial"/>
                <w:b/>
                <w:lang w:val="en-US"/>
              </w:rPr>
              <w:t>-</w:t>
            </w:r>
            <w:r w:rsidRPr="004F649F">
              <w:rPr>
                <w:rFonts w:ascii="Arial" w:hAnsi="Arial" w:cs="Arial"/>
                <w:b/>
                <w:lang w:val="en-US"/>
              </w:rPr>
              <w:t>078</w:t>
            </w:r>
          </w:p>
        </w:tc>
        <w:tc>
          <w:tcPr>
            <w:tcW w:w="3098" w:type="pct"/>
            <w:shd w:val="clear" w:color="auto" w:fill="auto"/>
          </w:tcPr>
          <w:p w14:paraId="7D506A8B" w14:textId="71498A96" w:rsidR="00535E61" w:rsidRPr="009879F6" w:rsidRDefault="00535E61" w:rsidP="00535E61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E227D6">
              <w:rPr>
                <w:rFonts w:ascii="Arial" w:hAnsi="Arial" w:cs="Arial"/>
                <w:bCs/>
              </w:rPr>
              <w:t xml:space="preserve">“Auditoría de Cumplimiento Financiero de </w:t>
            </w:r>
            <w:r w:rsidRPr="004F649F">
              <w:rPr>
                <w:rFonts w:ascii="Arial" w:hAnsi="Arial" w:cs="Arial"/>
                <w:bCs/>
              </w:rPr>
              <w:t>Gastos y Otras Pérdidas”</w:t>
            </w:r>
          </w:p>
        </w:tc>
      </w:tr>
    </w:tbl>
    <w:p w14:paraId="54BEFDCE" w14:textId="3202B65D" w:rsidR="00535E61" w:rsidRPr="006F79C4" w:rsidRDefault="00535E61" w:rsidP="00535E61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3E1BA7E5" w14:textId="77777777" w:rsidR="00535E61" w:rsidRPr="009879F6" w:rsidRDefault="00535E61" w:rsidP="00535E61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4604D0C9" w14:textId="77777777" w:rsidR="00535E61" w:rsidRPr="00482A91" w:rsidRDefault="00535E61" w:rsidP="00535E61">
      <w:pPr>
        <w:spacing w:line="360" w:lineRule="auto"/>
        <w:jc w:val="both"/>
        <w:rPr>
          <w:rFonts w:ascii="Arial" w:hAnsi="Arial" w:cs="Arial"/>
          <w:bCs/>
          <w:sz w:val="22"/>
        </w:rPr>
      </w:pPr>
    </w:p>
    <w:p w14:paraId="41CA8BA2" w14:textId="4D0F844A" w:rsidR="00535E61" w:rsidRPr="005E085D" w:rsidRDefault="00535E61" w:rsidP="00535E6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5E085D">
        <w:rPr>
          <w:rFonts w:ascii="Arial" w:hAnsi="Arial" w:cs="Arial"/>
          <w:bCs/>
        </w:rPr>
        <w:t>Fiscalizar la gestión financiera para comprobar el cumplimiento de lo dispues</w:t>
      </w:r>
      <w:r w:rsidR="005E085D">
        <w:rPr>
          <w:rFonts w:ascii="Arial" w:hAnsi="Arial" w:cs="Arial"/>
          <w:bCs/>
        </w:rPr>
        <w:t>to en el Presupuesto de Egresos</w:t>
      </w:r>
      <w:r w:rsidRPr="005E085D">
        <w:rPr>
          <w:rFonts w:ascii="Arial" w:hAnsi="Arial" w:cs="Arial"/>
          <w:bCs/>
        </w:rPr>
        <w:t xml:space="preserve"> del Estado de Quintana Roo, correspon</w:t>
      </w:r>
      <w:r w:rsidR="00C34C6A">
        <w:rPr>
          <w:rFonts w:ascii="Arial" w:hAnsi="Arial" w:cs="Arial"/>
          <w:bCs/>
        </w:rPr>
        <w:t>diente</w:t>
      </w:r>
      <w:r w:rsidR="005E085D">
        <w:rPr>
          <w:rFonts w:ascii="Arial" w:hAnsi="Arial" w:cs="Arial"/>
          <w:bCs/>
        </w:rPr>
        <w:t xml:space="preserve"> al </w:t>
      </w:r>
      <w:r w:rsidR="00EC2A4E">
        <w:rPr>
          <w:rFonts w:ascii="Arial" w:hAnsi="Arial" w:cs="Arial"/>
          <w:bCs/>
        </w:rPr>
        <w:t>E</w:t>
      </w:r>
      <w:r w:rsidR="005E085D">
        <w:rPr>
          <w:rFonts w:ascii="Arial" w:hAnsi="Arial" w:cs="Arial"/>
          <w:bCs/>
        </w:rPr>
        <w:t xml:space="preserve">jercicio </w:t>
      </w:r>
      <w:r w:rsidR="00183A85">
        <w:rPr>
          <w:rFonts w:ascii="Arial" w:hAnsi="Arial" w:cs="Arial"/>
          <w:bCs/>
        </w:rPr>
        <w:t>F</w:t>
      </w:r>
      <w:r w:rsidR="005E085D">
        <w:rPr>
          <w:rFonts w:ascii="Arial" w:hAnsi="Arial" w:cs="Arial"/>
          <w:bCs/>
        </w:rPr>
        <w:t>iscal 2019</w:t>
      </w:r>
      <w:r w:rsidRPr="005E085D">
        <w:rPr>
          <w:rFonts w:ascii="Arial" w:hAnsi="Arial" w:cs="Arial"/>
          <w:bCs/>
        </w:rPr>
        <w:t xml:space="preserve">, para verificar la forma y términos en que los egresos se ejercieron en los conceptos y partidas autorizadas, así como de la demás información financiera, contable, patrimonial, presupuestaria y programática, hayan cumplido con las disposiciones atribuibles y demás normatividad aplicable al ejercicio del gasto público. </w:t>
      </w:r>
    </w:p>
    <w:p w14:paraId="125B8CD0" w14:textId="77777777" w:rsidR="00535E61" w:rsidRPr="00671D1D" w:rsidRDefault="00535E61" w:rsidP="00535E61">
      <w:pPr>
        <w:spacing w:line="360" w:lineRule="auto"/>
        <w:jc w:val="both"/>
        <w:rPr>
          <w:rFonts w:ascii="Arial" w:hAnsi="Arial" w:cs="Arial"/>
          <w:u w:val="single"/>
        </w:rPr>
      </w:pPr>
    </w:p>
    <w:p w14:paraId="5D35BB90" w14:textId="77777777" w:rsidR="00535E61" w:rsidRPr="00AA50F2" w:rsidRDefault="00535E61" w:rsidP="00535E6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3A321220" w14:textId="7D7CC9C0" w:rsidR="00535E61" w:rsidRPr="00671D1D" w:rsidRDefault="00535E61" w:rsidP="00535E61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E1A7A3C" w14:textId="193283D8" w:rsidR="00535E61" w:rsidRDefault="00535E61" w:rsidP="00535E61">
      <w:pPr>
        <w:spacing w:line="360" w:lineRule="auto"/>
        <w:jc w:val="both"/>
        <w:rPr>
          <w:rFonts w:ascii="Arial" w:hAnsi="Arial" w:cs="Arial"/>
        </w:rPr>
      </w:pPr>
      <w:r w:rsidRPr="004F649F">
        <w:rPr>
          <w:rFonts w:ascii="Arial" w:hAnsi="Arial" w:cs="Arial"/>
          <w:b/>
        </w:rPr>
        <w:t xml:space="preserve">Universo: </w:t>
      </w:r>
      <w:r w:rsidRPr="004F649F">
        <w:rPr>
          <w:rFonts w:ascii="Arial" w:hAnsi="Arial" w:cs="Arial"/>
        </w:rPr>
        <w:t>$</w:t>
      </w:r>
      <w:r w:rsidR="004F649F" w:rsidRPr="004F649F">
        <w:rPr>
          <w:rFonts w:ascii="Arial" w:hAnsi="Arial" w:cs="Arial"/>
        </w:rPr>
        <w:t>86,871,759.84</w:t>
      </w:r>
    </w:p>
    <w:p w14:paraId="41F8AC2B" w14:textId="77777777" w:rsidR="00A503A4" w:rsidRPr="00671D1D" w:rsidRDefault="00A503A4" w:rsidP="00535E61">
      <w:pPr>
        <w:spacing w:line="360" w:lineRule="auto"/>
        <w:jc w:val="both"/>
        <w:rPr>
          <w:rFonts w:ascii="Arial" w:hAnsi="Arial" w:cs="Arial"/>
        </w:rPr>
      </w:pPr>
    </w:p>
    <w:p w14:paraId="159D9B18" w14:textId="42412305" w:rsidR="00535E61" w:rsidRPr="004F649F" w:rsidRDefault="00535E61" w:rsidP="00535E61">
      <w:pPr>
        <w:spacing w:line="360" w:lineRule="auto"/>
        <w:rPr>
          <w:rFonts w:ascii="Arial" w:hAnsi="Arial" w:cs="Arial"/>
        </w:rPr>
      </w:pPr>
      <w:r w:rsidRPr="004F649F">
        <w:rPr>
          <w:rFonts w:ascii="Arial" w:hAnsi="Arial" w:cs="Arial"/>
          <w:b/>
        </w:rPr>
        <w:t xml:space="preserve">Población Objetivo: </w:t>
      </w:r>
      <w:r w:rsidRPr="004F649F">
        <w:rPr>
          <w:rFonts w:ascii="Arial" w:hAnsi="Arial" w:cs="Arial"/>
        </w:rPr>
        <w:t>$</w:t>
      </w:r>
      <w:r w:rsidR="004F649F" w:rsidRPr="004F649F">
        <w:rPr>
          <w:rFonts w:ascii="Arial" w:hAnsi="Arial" w:cs="Arial"/>
        </w:rPr>
        <w:t>31,154,671.64</w:t>
      </w:r>
    </w:p>
    <w:p w14:paraId="5A53B56B" w14:textId="77777777" w:rsidR="00535E61" w:rsidRPr="00671D1D" w:rsidRDefault="00535E61" w:rsidP="00535E61">
      <w:pPr>
        <w:spacing w:line="360" w:lineRule="auto"/>
        <w:rPr>
          <w:rFonts w:ascii="Arial" w:hAnsi="Arial" w:cs="Arial"/>
        </w:rPr>
      </w:pPr>
    </w:p>
    <w:p w14:paraId="5863B192" w14:textId="4550F1CD" w:rsidR="00535E61" w:rsidRPr="004F649F" w:rsidRDefault="00535E61" w:rsidP="00535E61">
      <w:pPr>
        <w:spacing w:line="360" w:lineRule="auto"/>
        <w:rPr>
          <w:rFonts w:ascii="Arial" w:hAnsi="Arial" w:cs="Arial"/>
        </w:rPr>
      </w:pPr>
      <w:r w:rsidRPr="004F649F">
        <w:rPr>
          <w:rFonts w:ascii="Arial" w:hAnsi="Arial" w:cs="Arial"/>
          <w:b/>
        </w:rPr>
        <w:t>Muestra Auditada:</w:t>
      </w:r>
      <w:r w:rsidRPr="004F649F">
        <w:rPr>
          <w:rFonts w:ascii="Arial" w:hAnsi="Arial" w:cs="Arial"/>
        </w:rPr>
        <w:t xml:space="preserve"> $</w:t>
      </w:r>
      <w:r w:rsidR="00226837">
        <w:rPr>
          <w:rFonts w:ascii="Arial" w:hAnsi="Arial" w:cs="Arial"/>
        </w:rPr>
        <w:t>18,692,802.98</w:t>
      </w:r>
    </w:p>
    <w:p w14:paraId="03A016DE" w14:textId="77777777" w:rsidR="00535E61" w:rsidRPr="00671D1D" w:rsidRDefault="00535E61" w:rsidP="00535E61">
      <w:pPr>
        <w:spacing w:line="360" w:lineRule="auto"/>
        <w:rPr>
          <w:rFonts w:ascii="Arial" w:hAnsi="Arial" w:cs="Arial"/>
        </w:rPr>
      </w:pPr>
    </w:p>
    <w:p w14:paraId="2F99FA8C" w14:textId="14EB5677" w:rsidR="00535E61" w:rsidRPr="004F649F" w:rsidRDefault="00535E61" w:rsidP="00535E61">
      <w:pPr>
        <w:spacing w:line="360" w:lineRule="auto"/>
        <w:ind w:right="49"/>
        <w:jc w:val="both"/>
        <w:rPr>
          <w:rFonts w:ascii="Arial" w:hAnsi="Arial" w:cs="Arial"/>
        </w:rPr>
      </w:pPr>
      <w:r w:rsidRPr="004F649F">
        <w:rPr>
          <w:rFonts w:ascii="Arial" w:hAnsi="Arial" w:cs="Arial"/>
          <w:b/>
        </w:rPr>
        <w:t>Representatividad de la Muestra:</w:t>
      </w:r>
      <w:r w:rsidR="004F649F" w:rsidRPr="004F649F">
        <w:rPr>
          <w:rFonts w:ascii="Arial" w:hAnsi="Arial" w:cs="Arial"/>
        </w:rPr>
        <w:t xml:space="preserve"> 6</w:t>
      </w:r>
      <w:r w:rsidRPr="004F649F">
        <w:rPr>
          <w:rFonts w:ascii="Arial" w:hAnsi="Arial" w:cs="Arial"/>
        </w:rPr>
        <w:t>0.00%</w:t>
      </w:r>
    </w:p>
    <w:p w14:paraId="412D93AB" w14:textId="77777777" w:rsidR="00535E61" w:rsidRPr="006F79C4" w:rsidRDefault="00535E61" w:rsidP="00535E61">
      <w:pPr>
        <w:spacing w:line="360" w:lineRule="auto"/>
        <w:ind w:right="49"/>
        <w:jc w:val="both"/>
        <w:rPr>
          <w:rFonts w:ascii="Arial" w:hAnsi="Arial" w:cs="Arial"/>
          <w:sz w:val="20"/>
          <w:highlight w:val="yellow"/>
        </w:rPr>
      </w:pPr>
    </w:p>
    <w:p w14:paraId="0C86D38D" w14:textId="46441250" w:rsidR="00535E61" w:rsidRPr="008C5EBD" w:rsidRDefault="00535E61" w:rsidP="00535E61">
      <w:pPr>
        <w:spacing w:line="360" w:lineRule="auto"/>
        <w:ind w:right="49"/>
        <w:jc w:val="both"/>
        <w:rPr>
          <w:rFonts w:ascii="Arial" w:hAnsi="Arial" w:cs="Arial"/>
        </w:rPr>
      </w:pPr>
      <w:r w:rsidRPr="008C5EBD">
        <w:rPr>
          <w:rFonts w:ascii="Arial" w:hAnsi="Arial" w:cs="Arial"/>
        </w:rPr>
        <w:t>En el total del Universo están considerados los recursos federales por la cantidad de $</w:t>
      </w:r>
      <w:r w:rsidR="004F649F" w:rsidRPr="008C5EBD">
        <w:rPr>
          <w:rFonts w:ascii="Arial" w:hAnsi="Arial" w:cs="Arial"/>
        </w:rPr>
        <w:t>55,717,088.20</w:t>
      </w:r>
      <w:r w:rsidRPr="008C5EBD">
        <w:rPr>
          <w:rFonts w:ascii="Arial" w:hAnsi="Arial" w:cs="Arial"/>
          <w:b/>
          <w:sz w:val="18"/>
          <w:szCs w:val="18"/>
        </w:rPr>
        <w:t>,</w:t>
      </w:r>
      <w:r w:rsidRPr="008C5EBD">
        <w:rPr>
          <w:rFonts w:ascii="Arial" w:hAnsi="Arial" w:cs="Arial"/>
        </w:rPr>
        <w:t xml:space="preserve"> los cuales no se contemplaron en el monto de la muestra auditada, quedando integrada la población objetivo únicamente por recursos </w:t>
      </w:r>
      <w:r w:rsidR="00991258">
        <w:rPr>
          <w:rFonts w:ascii="Arial" w:hAnsi="Arial" w:cs="Arial"/>
        </w:rPr>
        <w:t xml:space="preserve">de </w:t>
      </w:r>
      <w:r w:rsidR="00A26CA4">
        <w:rPr>
          <w:rFonts w:ascii="Arial" w:hAnsi="Arial" w:cs="Arial"/>
        </w:rPr>
        <w:t xml:space="preserve">aportaciones </w:t>
      </w:r>
      <w:r w:rsidRPr="008C5EBD">
        <w:rPr>
          <w:rFonts w:ascii="Arial" w:hAnsi="Arial" w:cs="Arial"/>
        </w:rPr>
        <w:t xml:space="preserve">estatales y </w:t>
      </w:r>
      <w:r w:rsidR="004F649F" w:rsidRPr="008C5EBD">
        <w:rPr>
          <w:rFonts w:ascii="Arial" w:hAnsi="Arial" w:cs="Arial"/>
        </w:rPr>
        <w:t xml:space="preserve">otros </w:t>
      </w:r>
      <w:r w:rsidRPr="008C5EBD">
        <w:rPr>
          <w:rFonts w:ascii="Arial" w:hAnsi="Arial" w:cs="Arial"/>
        </w:rPr>
        <w:t>pro</w:t>
      </w:r>
      <w:r w:rsidR="004F649F" w:rsidRPr="008C5EBD">
        <w:rPr>
          <w:rFonts w:ascii="Arial" w:hAnsi="Arial" w:cs="Arial"/>
        </w:rPr>
        <w:t>gramas</w:t>
      </w:r>
      <w:r w:rsidRPr="008C5EBD">
        <w:rPr>
          <w:rFonts w:ascii="Arial" w:hAnsi="Arial" w:cs="Arial"/>
        </w:rPr>
        <w:t>.</w:t>
      </w:r>
    </w:p>
    <w:p w14:paraId="2B6E8631" w14:textId="77777777" w:rsidR="00535E61" w:rsidRPr="006F79C4" w:rsidRDefault="00535E61" w:rsidP="00535E61">
      <w:pPr>
        <w:spacing w:line="360" w:lineRule="auto"/>
        <w:ind w:right="49"/>
        <w:jc w:val="both"/>
        <w:rPr>
          <w:rFonts w:ascii="Arial" w:hAnsi="Arial" w:cs="Arial"/>
          <w:sz w:val="20"/>
          <w:highlight w:val="yellow"/>
        </w:rPr>
      </w:pPr>
    </w:p>
    <w:p w14:paraId="4A1EC198" w14:textId="74E079BF" w:rsidR="00535E61" w:rsidRPr="008C5EBD" w:rsidRDefault="00535E61" w:rsidP="00535E61">
      <w:pPr>
        <w:spacing w:line="360" w:lineRule="auto"/>
        <w:ind w:right="49"/>
        <w:jc w:val="both"/>
        <w:rPr>
          <w:rFonts w:ascii="Arial" w:hAnsi="Arial" w:cs="Arial"/>
        </w:rPr>
      </w:pPr>
      <w:r w:rsidRPr="008C5EBD">
        <w:rPr>
          <w:rFonts w:ascii="Arial" w:hAnsi="Arial" w:cs="Arial"/>
        </w:rPr>
        <w:t>La población objetivo se determinó sobre la base de los gastos y otras pérdidas que forman parte del Estado de Actividades por el período comprendido del 1º de enero al 31 de diciembre de 201</w:t>
      </w:r>
      <w:r w:rsidR="008C5EBD" w:rsidRPr="008C5EBD">
        <w:rPr>
          <w:rFonts w:ascii="Arial" w:hAnsi="Arial" w:cs="Arial"/>
        </w:rPr>
        <w:t>9</w:t>
      </w:r>
      <w:r w:rsidR="00760678">
        <w:rPr>
          <w:rFonts w:ascii="Arial" w:hAnsi="Arial" w:cs="Arial"/>
        </w:rPr>
        <w:t>.</w:t>
      </w:r>
    </w:p>
    <w:p w14:paraId="18F5BC1D" w14:textId="77777777" w:rsidR="00535E61" w:rsidRPr="006F79C4" w:rsidRDefault="00535E61" w:rsidP="00535E61">
      <w:pPr>
        <w:spacing w:line="360" w:lineRule="auto"/>
        <w:jc w:val="both"/>
        <w:rPr>
          <w:rFonts w:ascii="Arial" w:hAnsi="Arial" w:cs="Arial"/>
          <w:sz w:val="20"/>
        </w:rPr>
      </w:pPr>
    </w:p>
    <w:p w14:paraId="219C4E60" w14:textId="7C6CE4AE" w:rsidR="00535E61" w:rsidRDefault="00535E61" w:rsidP="00535E61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047780BC" w14:textId="77777777" w:rsidR="00535E61" w:rsidRPr="00EC2A4E" w:rsidRDefault="00535E61" w:rsidP="00535E61">
      <w:pPr>
        <w:tabs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  <w:sz w:val="20"/>
          <w:szCs w:val="20"/>
        </w:rPr>
      </w:pPr>
    </w:p>
    <w:p w14:paraId="77926730" w14:textId="53ECA974" w:rsidR="00535E61" w:rsidRDefault="00535E61" w:rsidP="00535E61">
      <w:pPr>
        <w:tabs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>
        <w:rPr>
          <w:rFonts w:ascii="Arial" w:hAnsi="Arial" w:cs="Arial"/>
          <w:bCs/>
        </w:rPr>
        <w:t>gastos y otras pérdidas,</w:t>
      </w:r>
      <w:r w:rsidRPr="009879F6">
        <w:rPr>
          <w:rFonts w:ascii="Arial" w:hAnsi="Arial" w:cs="Arial"/>
          <w:bCs/>
        </w:rPr>
        <w:t xml:space="preserve"> hayan cumplido con los aspectos y criterios apegados a las Normas Profesionales de Auditoría del Sistema Nacional de Fiscalización</w:t>
      </w:r>
      <w:r>
        <w:rPr>
          <w:rFonts w:ascii="Arial" w:hAnsi="Arial" w:cs="Arial"/>
          <w:bCs/>
        </w:rPr>
        <w:t xml:space="preserve"> (NPASNF)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468D93CC" w14:textId="77777777" w:rsidR="00535E61" w:rsidRPr="009879F6" w:rsidRDefault="00535E61" w:rsidP="00535E61">
      <w:pPr>
        <w:tabs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06BE096" w14:textId="77777777" w:rsidR="00535E61" w:rsidRDefault="00535E61" w:rsidP="00535E61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al </w:t>
      </w:r>
      <w:r w:rsidRPr="004673C2">
        <w:rPr>
          <w:rFonts w:ascii="Arial" w:hAnsi="Arial" w:cs="Arial"/>
          <w:b/>
          <w:bCs/>
        </w:rPr>
        <w:t xml:space="preserve">Instituto </w:t>
      </w:r>
      <w:r>
        <w:rPr>
          <w:rFonts w:ascii="Arial" w:hAnsi="Arial" w:cs="Arial"/>
          <w:b/>
          <w:bCs/>
        </w:rPr>
        <w:t>Estatal para la Educación de Jóvenes y Adultos,</w:t>
      </w:r>
      <w:r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 xml:space="preserve">información </w:t>
      </w:r>
      <w:r w:rsidRPr="00872711">
        <w:rPr>
          <w:rFonts w:ascii="Arial" w:hAnsi="Arial" w:cs="Arial"/>
          <w:bCs/>
        </w:rPr>
        <w:t>histórica que se encuentra en los antecedentes de las auditorías practicadas 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0593AE6A" w14:textId="77777777" w:rsidR="00535E61" w:rsidRDefault="00535E61" w:rsidP="00535E61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0D96DCC5" w14:textId="79EFCBA7" w:rsidR="00535E61" w:rsidRDefault="00535E61" w:rsidP="00535E61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determinándose </w:t>
      </w:r>
      <w:r w:rsidRPr="00A05588">
        <w:rPr>
          <w:rFonts w:ascii="Arial" w:hAnsi="Arial" w:cs="Arial"/>
          <w:bCs/>
        </w:rPr>
        <w:t>mediante el juicio profesional del auditor,</w:t>
      </w:r>
      <w:r>
        <w:rPr>
          <w:rFonts w:ascii="Arial" w:hAnsi="Arial" w:cs="Arial"/>
          <w:bCs/>
        </w:rPr>
        <w:t xml:space="preserve"> la actuación fiscalizadora basada 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</w:t>
      </w:r>
      <w:r w:rsidR="00A32862">
        <w:rPr>
          <w:rFonts w:ascii="Arial" w:hAnsi="Arial" w:cs="Arial"/>
          <w:bCs/>
        </w:rPr>
        <w:t xml:space="preserve">genérica, la planeación </w:t>
      </w:r>
      <w:r w:rsidRPr="00A05588">
        <w:rPr>
          <w:rFonts w:ascii="Arial" w:hAnsi="Arial" w:cs="Arial"/>
          <w:bCs/>
        </w:rPr>
        <w:t>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6FA0373F" w14:textId="77777777" w:rsidR="00535E61" w:rsidRPr="00B35791" w:rsidRDefault="00535E61" w:rsidP="00535E61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7074693D" w14:textId="77777777" w:rsidR="00535E61" w:rsidRPr="008D4630" w:rsidRDefault="00535E61" w:rsidP="00535E61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3CF64504" w14:textId="77777777" w:rsidR="00535E61" w:rsidRPr="008D4630" w:rsidRDefault="00535E61" w:rsidP="00535E61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4EC28E08" w14:textId="26811F35" w:rsidR="00535E61" w:rsidRDefault="00535E61" w:rsidP="00535E61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781F51">
        <w:rPr>
          <w:rFonts w:ascii="Arial" w:hAnsi="Arial" w:cs="Arial"/>
        </w:rPr>
        <w:t xml:space="preserve">Se revisaron las oficinas de la Dirección General, la Dirección de Administración y Finanzas y los Departamentos de Recursos Humanos y Recursos Materiales del </w:t>
      </w:r>
      <w:r w:rsidRPr="00781F51">
        <w:rPr>
          <w:rFonts w:ascii="Arial" w:hAnsi="Arial" w:cs="Arial"/>
          <w:b/>
          <w:bCs/>
        </w:rPr>
        <w:t>Instituto Estatal para la Educación de Jóvenes y Adultos</w:t>
      </w:r>
      <w:r w:rsidRPr="00781F51">
        <w:rPr>
          <w:rFonts w:ascii="Arial" w:hAnsi="Arial" w:cs="Arial"/>
          <w:bCs/>
        </w:rPr>
        <w:t>.</w:t>
      </w:r>
    </w:p>
    <w:p w14:paraId="72F0908B" w14:textId="77777777" w:rsidR="00535E61" w:rsidRDefault="00535E61" w:rsidP="00535E61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11E6236E" w14:textId="77777777" w:rsidR="00535E61" w:rsidRPr="00321730" w:rsidRDefault="00535E61" w:rsidP="00535E61">
      <w:pPr>
        <w:spacing w:line="360" w:lineRule="auto"/>
        <w:ind w:right="49"/>
        <w:jc w:val="both"/>
        <w:rPr>
          <w:rFonts w:ascii="Arial" w:hAnsi="Arial" w:cs="Arial"/>
          <w:b/>
          <w:sz w:val="22"/>
        </w:rPr>
      </w:pPr>
    </w:p>
    <w:p w14:paraId="73C3C178" w14:textId="77777777" w:rsidR="00A503A4" w:rsidRPr="00C47B98" w:rsidRDefault="00A503A4" w:rsidP="00A503A4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7E20384" w14:textId="77777777" w:rsidR="00A503A4" w:rsidRPr="00321730" w:rsidRDefault="00A503A4" w:rsidP="00A503A4">
      <w:pPr>
        <w:spacing w:line="360" w:lineRule="auto"/>
        <w:jc w:val="both"/>
        <w:rPr>
          <w:rFonts w:ascii="Arial" w:hAnsi="Arial" w:cs="Arial"/>
          <w:bCs/>
          <w:sz w:val="22"/>
        </w:rPr>
      </w:pPr>
    </w:p>
    <w:p w14:paraId="74ADC095" w14:textId="77777777" w:rsidR="00A503A4" w:rsidRPr="00C47B98" w:rsidRDefault="00A503A4" w:rsidP="00A503A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48C207F8" w14:textId="77777777" w:rsidR="00A503A4" w:rsidRPr="00671D1D" w:rsidRDefault="00A503A4" w:rsidP="00A503A4">
      <w:pPr>
        <w:spacing w:line="360" w:lineRule="auto"/>
        <w:jc w:val="both"/>
        <w:rPr>
          <w:rFonts w:ascii="Arial" w:hAnsi="Arial" w:cs="Arial"/>
          <w:bCs/>
        </w:rPr>
      </w:pPr>
    </w:p>
    <w:p w14:paraId="56B8880A" w14:textId="77777777" w:rsidR="00A503A4" w:rsidRPr="00C47B98" w:rsidRDefault="00A503A4" w:rsidP="00A503A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5C462B95" w14:textId="77777777" w:rsidR="00A503A4" w:rsidRDefault="00A503A4" w:rsidP="00A503A4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45EDF849" w14:textId="77777777" w:rsidR="00535E61" w:rsidRPr="00671D1D" w:rsidRDefault="00535E61" w:rsidP="00535E61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555AD698" w14:textId="7CD10210" w:rsidR="00535E61" w:rsidRDefault="00535E61" w:rsidP="00535E61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  <w:r w:rsidRPr="00200BF1">
        <w:rPr>
          <w:rFonts w:ascii="Arial" w:hAnsi="Arial" w:cs="Arial"/>
          <w:bCs/>
        </w:rPr>
        <w:t xml:space="preserve">1. </w:t>
      </w:r>
      <w:r w:rsidRPr="00200BF1">
        <w:rPr>
          <w:rFonts w:ascii="Arial" w:hAnsi="Arial" w:cs="Arial"/>
          <w:lang w:val="es-ES"/>
        </w:rPr>
        <w:t>Verificar que el saldo de las cuentas del Estado de Situación Financiera al final del ejercicio inmediato anterior coincida con el saldo inicial del siguiente ejercicio.</w:t>
      </w:r>
    </w:p>
    <w:p w14:paraId="79491885" w14:textId="77777777" w:rsidR="00BA3CFA" w:rsidRDefault="00BA3CFA" w:rsidP="00535E61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</w:p>
    <w:p w14:paraId="00C34247" w14:textId="20D56CE9" w:rsidR="00535E61" w:rsidRDefault="00535E61" w:rsidP="00535E61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  <w:r w:rsidRPr="00200BF1">
        <w:rPr>
          <w:rFonts w:ascii="Arial" w:hAnsi="Arial" w:cs="Arial"/>
          <w:bCs/>
        </w:rPr>
        <w:t xml:space="preserve">2. </w:t>
      </w:r>
      <w:r w:rsidRPr="00200BF1">
        <w:rPr>
          <w:rFonts w:ascii="Arial" w:hAnsi="Arial" w:cs="Arial"/>
          <w:lang w:val="es-ES"/>
        </w:rPr>
        <w:t>Verificar que en los registros contables se observaron las disposiciones de la Ley General de Contabilidad Gubernamental (LGCG) y lo emitido por el Consejo Nacional de Armonización Contable (CONAC).</w:t>
      </w:r>
    </w:p>
    <w:p w14:paraId="36BFE057" w14:textId="77777777" w:rsidR="00671D1D" w:rsidRPr="00200BF1" w:rsidRDefault="00671D1D" w:rsidP="00535E61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</w:p>
    <w:p w14:paraId="56552E21" w14:textId="77777777" w:rsidR="00A520A6" w:rsidRPr="00A520A6" w:rsidRDefault="00535E61" w:rsidP="00A520A6">
      <w:pPr>
        <w:spacing w:line="360" w:lineRule="auto"/>
        <w:ind w:right="190"/>
        <w:jc w:val="both"/>
        <w:rPr>
          <w:rFonts w:ascii="Arial" w:hAnsi="Arial" w:cs="Arial"/>
          <w:lang w:val="es-ES"/>
        </w:rPr>
      </w:pPr>
      <w:r w:rsidRPr="00200BF1">
        <w:rPr>
          <w:rFonts w:ascii="Arial" w:hAnsi="Arial" w:cs="Arial"/>
          <w:bCs/>
        </w:rPr>
        <w:t xml:space="preserve">3. </w:t>
      </w:r>
      <w:r w:rsidR="00A520A6" w:rsidRPr="00A520A6">
        <w:rPr>
          <w:rFonts w:ascii="Arial" w:hAnsi="Arial" w:cs="Arial"/>
          <w:lang w:val="es-ES"/>
        </w:rPr>
        <w:t xml:space="preserve">Verificar la correcta revelación de estados financieros e informes contables, presupuestarios y programáticos de conformidad con la Ley General de Contabilidad Gubernamental y demás normativa aplicable. </w:t>
      </w:r>
    </w:p>
    <w:p w14:paraId="708C1754" w14:textId="065A6EB1" w:rsidR="00535E61" w:rsidRPr="0051106D" w:rsidRDefault="00535E61" w:rsidP="00535E61">
      <w:pPr>
        <w:spacing w:line="360" w:lineRule="auto"/>
        <w:ind w:right="49"/>
        <w:jc w:val="both"/>
        <w:rPr>
          <w:rFonts w:ascii="Arial" w:hAnsi="Arial" w:cs="Arial"/>
          <w:bCs/>
          <w:highlight w:val="yellow"/>
        </w:rPr>
      </w:pPr>
      <w:r w:rsidRPr="0051106D">
        <w:rPr>
          <w:rFonts w:ascii="Arial" w:hAnsi="Arial" w:cs="Arial"/>
          <w:bCs/>
          <w:highlight w:val="yellow"/>
        </w:rPr>
        <w:t xml:space="preserve"> </w:t>
      </w:r>
    </w:p>
    <w:p w14:paraId="31FCFB13" w14:textId="77777777" w:rsidR="00A520A6" w:rsidRPr="00A520A6" w:rsidRDefault="00535E61" w:rsidP="00A520A6">
      <w:pPr>
        <w:spacing w:line="360" w:lineRule="auto"/>
        <w:ind w:right="190"/>
        <w:jc w:val="both"/>
        <w:rPr>
          <w:rFonts w:ascii="Arial" w:hAnsi="Arial" w:cs="Arial"/>
          <w:lang w:val="es-ES"/>
        </w:rPr>
      </w:pPr>
      <w:r w:rsidRPr="002332FA">
        <w:rPr>
          <w:rFonts w:ascii="Arial" w:hAnsi="Arial" w:cs="Arial"/>
          <w:lang w:val="es-ES"/>
        </w:rPr>
        <w:t xml:space="preserve">4. </w:t>
      </w:r>
      <w:r w:rsidR="00A520A6" w:rsidRPr="00A520A6">
        <w:rPr>
          <w:rFonts w:ascii="Arial" w:hAnsi="Arial" w:cs="Arial"/>
          <w:lang w:val="es-ES"/>
        </w:rPr>
        <w:t>Comprobar que el ejercicio del presupuesto se ajustó a los montos aprobados; que las modificaciones presupuestales tuvieron sustento financiero y que fueron aprobadas por quien era competente para ello, así como publicadas en el Periódico Oficial o gaceta correspondiente.</w:t>
      </w:r>
    </w:p>
    <w:p w14:paraId="25F1528A" w14:textId="77777777" w:rsidR="002332FA" w:rsidRPr="0051106D" w:rsidRDefault="002332FA" w:rsidP="00535E61">
      <w:pPr>
        <w:spacing w:line="360" w:lineRule="auto"/>
        <w:ind w:right="49"/>
        <w:jc w:val="both"/>
        <w:rPr>
          <w:rFonts w:ascii="Arial" w:hAnsi="Arial" w:cs="Arial"/>
          <w:highlight w:val="yellow"/>
          <w:lang w:val="es-ES"/>
        </w:rPr>
      </w:pPr>
    </w:p>
    <w:p w14:paraId="14622ED7" w14:textId="65E0348A" w:rsidR="00535E61" w:rsidRDefault="00A520A6" w:rsidP="00535E61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5</w:t>
      </w:r>
      <w:r w:rsidR="00535E61" w:rsidRPr="002332FA">
        <w:rPr>
          <w:rFonts w:ascii="Arial" w:hAnsi="Arial" w:cs="Arial"/>
          <w:lang w:val="es-ES"/>
        </w:rPr>
        <w:t xml:space="preserve">. </w:t>
      </w:r>
      <w:r w:rsidR="002332FA" w:rsidRPr="002332FA">
        <w:rPr>
          <w:rFonts w:ascii="Arial" w:hAnsi="Arial" w:cs="Arial"/>
          <w:lang w:val="es-ES"/>
        </w:rPr>
        <w:t>Verificar que los bienes muebles cuenten con las facturas o documentos legales que acrediten su propiedad o posesión a favor de la entidad.</w:t>
      </w:r>
    </w:p>
    <w:p w14:paraId="25A65F89" w14:textId="77777777" w:rsidR="002332FA" w:rsidRPr="002332FA" w:rsidRDefault="002332FA" w:rsidP="00535E61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</w:p>
    <w:p w14:paraId="64B8C12C" w14:textId="14538DCA" w:rsidR="00535E61" w:rsidRDefault="00A520A6" w:rsidP="00535E61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6.</w:t>
      </w:r>
      <w:r w:rsidR="00535E61" w:rsidRPr="002332FA">
        <w:rPr>
          <w:rFonts w:ascii="Arial" w:hAnsi="Arial" w:cs="Arial"/>
          <w:lang w:val="es-ES"/>
        </w:rPr>
        <w:t xml:space="preserve"> Verificar </w:t>
      </w:r>
      <w:r w:rsidR="002332FA" w:rsidRPr="002332FA">
        <w:rPr>
          <w:rFonts w:ascii="Arial" w:hAnsi="Arial" w:cs="Arial"/>
          <w:lang w:val="es-ES"/>
        </w:rPr>
        <w:t>que</w:t>
      </w:r>
      <w:r w:rsidR="002332FA">
        <w:rPr>
          <w:rFonts w:ascii="Arial" w:hAnsi="Arial" w:cs="Arial"/>
          <w:lang w:val="es-ES"/>
        </w:rPr>
        <w:t>,</w:t>
      </w:r>
      <w:r w:rsidR="002332FA" w:rsidRPr="002332FA">
        <w:rPr>
          <w:rFonts w:ascii="Arial" w:hAnsi="Arial" w:cs="Arial"/>
          <w:lang w:val="es-ES"/>
        </w:rPr>
        <w:t xml:space="preserve"> las adquisiciones realizadas durante el ejercicio en revisión, sea acorde al presupuesto, que cuenten con la debida autorización, así como toda la documentación que lo respalde.  </w:t>
      </w:r>
    </w:p>
    <w:p w14:paraId="2C4C0DA9" w14:textId="6DBCE0EF" w:rsidR="002332FA" w:rsidRDefault="002332FA" w:rsidP="00535E61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</w:p>
    <w:p w14:paraId="020E2FC2" w14:textId="4EE05C20" w:rsidR="002332FA" w:rsidRDefault="00A520A6" w:rsidP="00535E61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7</w:t>
      </w:r>
      <w:r w:rsidR="002332FA">
        <w:rPr>
          <w:rFonts w:ascii="Arial" w:hAnsi="Arial" w:cs="Arial"/>
          <w:lang w:val="es-ES"/>
        </w:rPr>
        <w:t>. Verificar</w:t>
      </w:r>
      <w:r w:rsidR="002332FA" w:rsidRPr="002332FA">
        <w:rPr>
          <w:rFonts w:ascii="Arial" w:hAnsi="Arial" w:cs="Arial"/>
          <w:lang w:val="es-ES"/>
        </w:rPr>
        <w:t xml:space="preserve"> que</w:t>
      </w:r>
      <w:r w:rsidR="002332FA">
        <w:rPr>
          <w:rFonts w:ascii="Arial" w:hAnsi="Arial" w:cs="Arial"/>
          <w:lang w:val="es-ES"/>
        </w:rPr>
        <w:t xml:space="preserve"> las nóminas de pago al personal </w:t>
      </w:r>
      <w:r w:rsidR="002332FA" w:rsidRPr="002332FA">
        <w:rPr>
          <w:rFonts w:ascii="Arial" w:hAnsi="Arial" w:cs="Arial"/>
          <w:lang w:val="es-ES"/>
        </w:rPr>
        <w:t xml:space="preserve">estén debidamente </w:t>
      </w:r>
      <w:proofErr w:type="spellStart"/>
      <w:r w:rsidR="002332FA" w:rsidRPr="002332FA">
        <w:rPr>
          <w:rFonts w:ascii="Arial" w:hAnsi="Arial" w:cs="Arial"/>
          <w:lang w:val="es-ES"/>
        </w:rPr>
        <w:t>requisitadas</w:t>
      </w:r>
      <w:proofErr w:type="spellEnd"/>
      <w:r w:rsidR="002332FA" w:rsidRPr="002332FA">
        <w:rPr>
          <w:rFonts w:ascii="Arial" w:hAnsi="Arial" w:cs="Arial"/>
          <w:lang w:val="es-ES"/>
        </w:rPr>
        <w:t xml:space="preserve"> con las firmas de autorizado de los funcionarios correspon</w:t>
      </w:r>
      <w:r w:rsidR="002332FA">
        <w:rPr>
          <w:rFonts w:ascii="Arial" w:hAnsi="Arial" w:cs="Arial"/>
          <w:lang w:val="es-ES"/>
        </w:rPr>
        <w:t xml:space="preserve">dientes y por los beneficiarios y que </w:t>
      </w:r>
      <w:r w:rsidR="002332FA" w:rsidRPr="002332FA">
        <w:rPr>
          <w:rFonts w:ascii="Arial" w:hAnsi="Arial" w:cs="Arial"/>
          <w:lang w:val="es-ES"/>
        </w:rPr>
        <w:t>se cumplen con las disposiciones fiscales respectivas (se encuentren timbradas).</w:t>
      </w:r>
    </w:p>
    <w:p w14:paraId="0B73A063" w14:textId="3B6AFEB3" w:rsidR="002332FA" w:rsidRDefault="002332FA" w:rsidP="00535E61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</w:p>
    <w:p w14:paraId="12B9D9B2" w14:textId="213FBAE9" w:rsidR="002332FA" w:rsidRDefault="00A752DA" w:rsidP="00535E61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8</w:t>
      </w:r>
      <w:r w:rsidR="002332FA">
        <w:rPr>
          <w:rFonts w:ascii="Arial" w:hAnsi="Arial" w:cs="Arial"/>
          <w:lang w:val="es-ES"/>
        </w:rPr>
        <w:t xml:space="preserve">. </w:t>
      </w:r>
      <w:r w:rsidR="002332FA" w:rsidRPr="002332FA">
        <w:rPr>
          <w:rFonts w:ascii="Arial" w:hAnsi="Arial" w:cs="Arial"/>
          <w:lang w:val="es-ES"/>
        </w:rPr>
        <w:t>Verificar que los sueldos y prestaciones contemplados en la nómina correspondan a los establecidos en el tabulador autorizado vigente para verificar que hayan sido aprobados y autorizados.</w:t>
      </w:r>
    </w:p>
    <w:p w14:paraId="3A6596F7" w14:textId="51C5D224" w:rsidR="002332FA" w:rsidRDefault="002332FA" w:rsidP="00535E61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</w:p>
    <w:p w14:paraId="2D1B7F7A" w14:textId="1D585939" w:rsidR="002332FA" w:rsidRDefault="00A752DA" w:rsidP="00535E61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9</w:t>
      </w:r>
      <w:r w:rsidR="002332FA">
        <w:rPr>
          <w:rFonts w:ascii="Arial" w:hAnsi="Arial" w:cs="Arial"/>
          <w:lang w:val="es-ES"/>
        </w:rPr>
        <w:t xml:space="preserve">. </w:t>
      </w:r>
      <w:r w:rsidR="002332FA" w:rsidRPr="002332FA">
        <w:rPr>
          <w:rFonts w:ascii="Arial" w:hAnsi="Arial" w:cs="Arial"/>
          <w:lang w:val="es-ES"/>
        </w:rPr>
        <w:t>Verificar la documentación comprobatoria cumpla con los requisitos fiscales, corresponda al ejercicio sujeto a revisión, que no se trate de documentación alterada, ficticia o apócrifa y, en su caso, se encuentre debidamente sellada con la identificación del origen de los recursos y ejercicio fiscal correspondiente.</w:t>
      </w:r>
    </w:p>
    <w:p w14:paraId="6163A3D1" w14:textId="77777777" w:rsidR="00671D1D" w:rsidRDefault="00671D1D" w:rsidP="00535E61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</w:p>
    <w:p w14:paraId="53482F47" w14:textId="464BEC7A" w:rsidR="002332FA" w:rsidRPr="002332FA" w:rsidRDefault="002332FA" w:rsidP="00535E61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</w:t>
      </w:r>
      <w:r w:rsidR="00A752DA">
        <w:rPr>
          <w:rFonts w:ascii="Arial" w:hAnsi="Arial" w:cs="Arial"/>
          <w:lang w:val="es-ES"/>
        </w:rPr>
        <w:t>0</w:t>
      </w:r>
      <w:r>
        <w:rPr>
          <w:rFonts w:ascii="Arial" w:hAnsi="Arial" w:cs="Arial"/>
          <w:lang w:val="es-ES"/>
        </w:rPr>
        <w:t xml:space="preserve">. </w:t>
      </w:r>
      <w:r w:rsidR="00553856" w:rsidRPr="00553856">
        <w:rPr>
          <w:rFonts w:ascii="Arial" w:hAnsi="Arial" w:cs="Arial"/>
          <w:lang w:val="es-ES"/>
        </w:rPr>
        <w:t>Verificar que los contratos que amparen las adquisiciones, se encuentren debidamente formalizados, que contengan los requisitos conforme a lo señalado en las disposiciones legales, reglamentos correspondientes y su cumplimiento.</w:t>
      </w:r>
    </w:p>
    <w:p w14:paraId="7AE42121" w14:textId="77777777" w:rsidR="002332FA" w:rsidRPr="00991258" w:rsidRDefault="002332FA" w:rsidP="00535E61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</w:p>
    <w:p w14:paraId="1ED78F5A" w14:textId="77777777" w:rsidR="00535E61" w:rsidRPr="00C47B98" w:rsidRDefault="00535E61" w:rsidP="00535E61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4EA3256B" w14:textId="77777777" w:rsidR="00535E61" w:rsidRPr="00991258" w:rsidRDefault="00535E61" w:rsidP="00535E61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63DF5CC6" w14:textId="26789210" w:rsidR="00535E61" w:rsidRPr="002E2A36" w:rsidRDefault="00535E61" w:rsidP="00535E61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 xml:space="preserve">G. Servidores Públicos </w:t>
      </w:r>
      <w:r w:rsidR="0026575A">
        <w:rPr>
          <w:rFonts w:ascii="Arial" w:hAnsi="Arial" w:cs="Arial"/>
          <w:b/>
        </w:rPr>
        <w:t xml:space="preserve">que intervinieron en la </w:t>
      </w:r>
      <w:r w:rsidRPr="002E2A36">
        <w:rPr>
          <w:rFonts w:ascii="Arial" w:hAnsi="Arial" w:cs="Arial"/>
          <w:b/>
        </w:rPr>
        <w:t>Auditoría</w:t>
      </w:r>
    </w:p>
    <w:p w14:paraId="0AF70F25" w14:textId="77777777" w:rsidR="00535E61" w:rsidRPr="00991258" w:rsidRDefault="00535E61" w:rsidP="00535E61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ED19C4E" w14:textId="77777777" w:rsidR="006464F5" w:rsidRDefault="00535E61" w:rsidP="006464F5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acreditó como personal de este Órgano Técnico de Fiscalización, </w:t>
      </w:r>
      <w:r w:rsidR="006464F5" w:rsidRPr="00D079F8">
        <w:rPr>
          <w:rFonts w:ascii="Arial" w:hAnsi="Arial" w:cs="Arial"/>
          <w:bCs/>
        </w:rPr>
        <w:t>se encuentra referido en la orden emitida con oficio número</w:t>
      </w:r>
      <w:r w:rsidR="006464F5">
        <w:rPr>
          <w:rFonts w:ascii="Arial" w:hAnsi="Arial" w:cs="Arial"/>
          <w:bCs/>
        </w:rPr>
        <w:t xml:space="preserve"> ASEQROO/ASE/AEMF/0596/08/2020</w:t>
      </w:r>
      <w:r w:rsidR="006464F5" w:rsidRPr="00D079F8">
        <w:rPr>
          <w:rFonts w:ascii="Arial" w:hAnsi="Arial" w:cs="Arial"/>
          <w:bCs/>
        </w:rPr>
        <w:t>, siendo los servidores públicos a cargo de coordinar y supervisar</w:t>
      </w:r>
      <w:r w:rsidR="006464F5">
        <w:rPr>
          <w:rFonts w:ascii="Arial" w:hAnsi="Arial" w:cs="Arial"/>
          <w:bCs/>
        </w:rPr>
        <w:t xml:space="preserve"> la auditoría, los siguientes:</w:t>
      </w:r>
    </w:p>
    <w:p w14:paraId="5903F6B0" w14:textId="77777777" w:rsidR="00535E61" w:rsidRPr="00E20724" w:rsidRDefault="00535E61" w:rsidP="00535E61">
      <w:pPr>
        <w:spacing w:line="360" w:lineRule="auto"/>
        <w:jc w:val="both"/>
        <w:rPr>
          <w:rFonts w:ascii="Arial" w:hAnsi="Arial" w:cs="Arial"/>
          <w:bCs/>
          <w:szCs w:val="32"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535E61" w:rsidRPr="00845B1A" w14:paraId="1302E7B6" w14:textId="77777777" w:rsidTr="00187C25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081BABF0" w14:textId="77777777" w:rsidR="00535E61" w:rsidRPr="00845B1A" w:rsidRDefault="00535E61" w:rsidP="00187C2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289FBC2E" w14:textId="77777777" w:rsidR="00535E61" w:rsidRPr="00845B1A" w:rsidRDefault="00535E61" w:rsidP="00187C2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535E61" w:rsidRPr="00845B1A" w14:paraId="6613EA11" w14:textId="77777777" w:rsidTr="00187C25">
        <w:trPr>
          <w:jc w:val="center"/>
        </w:trPr>
        <w:tc>
          <w:tcPr>
            <w:tcW w:w="6374" w:type="dxa"/>
            <w:shd w:val="clear" w:color="auto" w:fill="auto"/>
          </w:tcPr>
          <w:p w14:paraId="717FF107" w14:textId="77777777" w:rsidR="00535E61" w:rsidRPr="00845B1A" w:rsidRDefault="00535E61" w:rsidP="00187C25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L.A.E. Juan Gilberto Ayala Zavalegui</w:t>
            </w:r>
          </w:p>
        </w:tc>
        <w:tc>
          <w:tcPr>
            <w:tcW w:w="2977" w:type="dxa"/>
            <w:shd w:val="clear" w:color="auto" w:fill="auto"/>
          </w:tcPr>
          <w:p w14:paraId="544E976C" w14:textId="77777777" w:rsidR="00535E61" w:rsidRPr="00845B1A" w:rsidRDefault="00535E61" w:rsidP="00187C2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535E61" w:rsidRPr="00845B1A" w14:paraId="46419831" w14:textId="77777777" w:rsidTr="00187C25">
        <w:trPr>
          <w:jc w:val="center"/>
        </w:trPr>
        <w:tc>
          <w:tcPr>
            <w:tcW w:w="6374" w:type="dxa"/>
            <w:shd w:val="clear" w:color="auto" w:fill="auto"/>
          </w:tcPr>
          <w:p w14:paraId="2507743B" w14:textId="77777777" w:rsidR="00535E61" w:rsidRPr="00845B1A" w:rsidRDefault="00535E61" w:rsidP="00187C25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 xml:space="preserve">. Minerva </w:t>
            </w:r>
            <w:proofErr w:type="spellStart"/>
            <w:r>
              <w:rPr>
                <w:rFonts w:ascii="Arial" w:hAnsi="Arial" w:cs="Arial"/>
                <w:bCs/>
              </w:rPr>
              <w:t>Lissete</w:t>
            </w:r>
            <w:proofErr w:type="spellEnd"/>
            <w:r>
              <w:rPr>
                <w:rFonts w:ascii="Arial" w:hAnsi="Arial" w:cs="Arial"/>
                <w:bCs/>
              </w:rPr>
              <w:t xml:space="preserve"> Herrera Flores</w:t>
            </w:r>
          </w:p>
        </w:tc>
        <w:tc>
          <w:tcPr>
            <w:tcW w:w="2977" w:type="dxa"/>
            <w:shd w:val="clear" w:color="auto" w:fill="auto"/>
          </w:tcPr>
          <w:p w14:paraId="2A02BE0C" w14:textId="77777777" w:rsidR="00535E61" w:rsidRPr="00845B1A" w:rsidRDefault="00535E61" w:rsidP="00187C2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4B74F400" w14:textId="448A2392" w:rsidR="00321730" w:rsidRPr="00E20724" w:rsidRDefault="00321730" w:rsidP="00535E61">
      <w:pPr>
        <w:spacing w:line="360" w:lineRule="auto"/>
        <w:ind w:right="190"/>
        <w:jc w:val="both"/>
        <w:rPr>
          <w:rFonts w:ascii="Arial" w:hAnsi="Arial" w:cs="Arial"/>
          <w:b/>
          <w:sz w:val="32"/>
          <w:szCs w:val="28"/>
        </w:rPr>
      </w:pPr>
    </w:p>
    <w:p w14:paraId="7122F71B" w14:textId="2FE1544D" w:rsidR="00535E61" w:rsidRPr="00845B1A" w:rsidRDefault="00535E61" w:rsidP="00535E61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845B1A">
        <w:rPr>
          <w:rFonts w:ascii="Arial" w:hAnsi="Arial" w:cs="Arial"/>
          <w:b/>
        </w:rPr>
        <w:t>I.2. CUMPLIMIENTO DE DISPOSICIONES LEGALES Y NORMATIVAS</w:t>
      </w:r>
    </w:p>
    <w:p w14:paraId="656ECA75" w14:textId="77777777" w:rsidR="00535E61" w:rsidRPr="00E20724" w:rsidRDefault="00535E61" w:rsidP="00535E61">
      <w:pPr>
        <w:spacing w:line="360" w:lineRule="auto"/>
        <w:ind w:right="49"/>
        <w:jc w:val="both"/>
        <w:rPr>
          <w:rFonts w:ascii="Arial" w:hAnsi="Arial" w:cs="Arial"/>
        </w:rPr>
      </w:pPr>
    </w:p>
    <w:p w14:paraId="6659C9E3" w14:textId="3510690D" w:rsidR="00535E61" w:rsidRPr="00845B1A" w:rsidRDefault="00535E61" w:rsidP="00535E61">
      <w:pPr>
        <w:spacing w:line="360" w:lineRule="auto"/>
        <w:ind w:right="49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>La revisión se llevó a cabo aplicando Normas Profesionales de Auditoría del Sistema Nacional de Fiscalización, así como en apego a la Ley General</w:t>
      </w:r>
      <w:r>
        <w:rPr>
          <w:rFonts w:ascii="Arial" w:hAnsi="Arial" w:cs="Arial"/>
        </w:rPr>
        <w:t xml:space="preserve"> de Contabilidad Gubernamental, el Presupuesto de Egresos del Gobierno del Estado de Quintana Roo, para el ejercicio </w:t>
      </w:r>
      <w:r w:rsidRPr="00A84761">
        <w:rPr>
          <w:rFonts w:ascii="Arial" w:hAnsi="Arial" w:cs="Arial"/>
        </w:rPr>
        <w:t>fiscal 201</w:t>
      </w:r>
      <w:r w:rsidR="00A84761" w:rsidRPr="00A84761">
        <w:rPr>
          <w:rFonts w:ascii="Arial" w:hAnsi="Arial" w:cs="Arial"/>
        </w:rPr>
        <w:t>9</w:t>
      </w:r>
      <w:r w:rsidRPr="00845B1A">
        <w:rPr>
          <w:rFonts w:ascii="Arial" w:hAnsi="Arial" w:cs="Arial"/>
        </w:rPr>
        <w:t xml:space="preserve"> 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 xml:space="preserve">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</w:t>
      </w:r>
      <w:r w:rsidRPr="00553856">
        <w:rPr>
          <w:rFonts w:ascii="Arial" w:hAnsi="Arial" w:cs="Arial"/>
        </w:rPr>
        <w:t>dictamen del Informe Individual.</w:t>
      </w:r>
    </w:p>
    <w:p w14:paraId="1DA2EC13" w14:textId="77777777" w:rsidR="00535E61" w:rsidRPr="00E20724" w:rsidRDefault="00535E61" w:rsidP="00535E61">
      <w:pPr>
        <w:spacing w:line="360" w:lineRule="auto"/>
        <w:ind w:right="49"/>
        <w:jc w:val="both"/>
        <w:rPr>
          <w:rFonts w:ascii="Arial" w:hAnsi="Arial" w:cs="Arial"/>
          <w:sz w:val="28"/>
        </w:rPr>
      </w:pPr>
    </w:p>
    <w:p w14:paraId="0E4749E1" w14:textId="77777777" w:rsidR="00535E61" w:rsidRPr="00845B1A" w:rsidRDefault="00535E61" w:rsidP="00535E61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5FEA0052" w14:textId="77777777" w:rsidR="00535E61" w:rsidRPr="00E20724" w:rsidRDefault="00535E61" w:rsidP="00535E61">
      <w:pPr>
        <w:spacing w:line="360" w:lineRule="auto"/>
        <w:ind w:right="49"/>
        <w:jc w:val="both"/>
        <w:rPr>
          <w:rFonts w:ascii="Arial" w:hAnsi="Arial" w:cs="Arial"/>
          <w:sz w:val="28"/>
        </w:rPr>
      </w:pPr>
    </w:p>
    <w:p w14:paraId="2F1B43D9" w14:textId="72C2EEBC" w:rsidR="00535E61" w:rsidRDefault="00535E61" w:rsidP="00535E61">
      <w:pPr>
        <w:spacing w:line="360" w:lineRule="auto"/>
        <w:ind w:right="49"/>
        <w:jc w:val="both"/>
        <w:rPr>
          <w:rFonts w:ascii="Arial" w:hAnsi="Arial" w:cs="Arial"/>
          <w:color w:val="000000" w:themeColor="text1"/>
        </w:rPr>
      </w:pPr>
      <w:r w:rsidRPr="00A1369F">
        <w:rPr>
          <w:rFonts w:ascii="Arial" w:hAnsi="Arial" w:cs="Arial"/>
          <w:color w:val="000000" w:themeColor="text1"/>
        </w:rPr>
        <w:t xml:space="preserve">Se constató el cumplimiento de la Ley General de Contabilidad Gubernamental, </w:t>
      </w:r>
      <w:r w:rsidR="00553856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>l</w:t>
      </w:r>
      <w:r>
        <w:rPr>
          <w:rFonts w:ascii="Arial" w:hAnsi="Arial" w:cs="Arial"/>
        </w:rPr>
        <w:t xml:space="preserve"> Presupuesto de Egresos del Gobierno del Estado de Quintana Roo, </w:t>
      </w:r>
      <w:r w:rsidRPr="00A1369F">
        <w:rPr>
          <w:rFonts w:ascii="Arial" w:hAnsi="Arial" w:cs="Arial"/>
          <w:color w:val="000000" w:themeColor="text1"/>
        </w:rPr>
        <w:t xml:space="preserve">para el </w:t>
      </w:r>
      <w:r w:rsidR="00A520A6">
        <w:rPr>
          <w:rFonts w:ascii="Arial" w:hAnsi="Arial" w:cs="Arial"/>
          <w:color w:val="000000" w:themeColor="text1"/>
        </w:rPr>
        <w:t>E</w:t>
      </w:r>
      <w:r w:rsidRPr="00A1369F">
        <w:rPr>
          <w:rFonts w:ascii="Arial" w:hAnsi="Arial" w:cs="Arial"/>
          <w:color w:val="000000" w:themeColor="text1"/>
        </w:rPr>
        <w:t xml:space="preserve">jercicio </w:t>
      </w:r>
      <w:r w:rsidR="00A520A6">
        <w:rPr>
          <w:rFonts w:ascii="Arial" w:hAnsi="Arial" w:cs="Arial"/>
          <w:color w:val="000000" w:themeColor="text1"/>
        </w:rPr>
        <w:t>F</w:t>
      </w:r>
      <w:r w:rsidRPr="00A1369F">
        <w:rPr>
          <w:rFonts w:ascii="Arial" w:hAnsi="Arial" w:cs="Arial"/>
          <w:color w:val="000000" w:themeColor="text1"/>
        </w:rPr>
        <w:t xml:space="preserve">iscal </w:t>
      </w:r>
      <w:r w:rsidRPr="00A84761">
        <w:rPr>
          <w:rFonts w:ascii="Arial" w:hAnsi="Arial" w:cs="Arial"/>
          <w:color w:val="000000" w:themeColor="text1"/>
        </w:rPr>
        <w:t>201</w:t>
      </w:r>
      <w:r w:rsidR="00A84761" w:rsidRPr="00A84761">
        <w:rPr>
          <w:rFonts w:ascii="Arial" w:hAnsi="Arial" w:cs="Arial"/>
          <w:color w:val="000000" w:themeColor="text1"/>
        </w:rPr>
        <w:t>9</w:t>
      </w:r>
      <w:r w:rsidR="00A520A6">
        <w:rPr>
          <w:rFonts w:ascii="Arial" w:hAnsi="Arial" w:cs="Arial"/>
          <w:color w:val="000000" w:themeColor="text1"/>
        </w:rPr>
        <w:t xml:space="preserve">, así como lo emitido </w:t>
      </w:r>
      <w:r w:rsidRPr="00A1369F">
        <w:rPr>
          <w:rFonts w:ascii="Arial" w:hAnsi="Arial" w:cs="Arial"/>
          <w:color w:val="000000" w:themeColor="text1"/>
        </w:rPr>
        <w:t>por el Consejo Nacional de Armonización Contabl</w:t>
      </w:r>
      <w:r w:rsidR="00A520A6">
        <w:rPr>
          <w:rFonts w:ascii="Arial" w:hAnsi="Arial" w:cs="Arial"/>
          <w:color w:val="000000" w:themeColor="text1"/>
        </w:rPr>
        <w:t xml:space="preserve">e (CONAC), y demás </w:t>
      </w:r>
      <w:r w:rsidRPr="00A1369F">
        <w:rPr>
          <w:rFonts w:ascii="Arial" w:hAnsi="Arial" w:cs="Arial"/>
          <w:color w:val="000000" w:themeColor="text1"/>
        </w:rPr>
        <w:t>disposiciones legales y normativas aplicables</w:t>
      </w:r>
      <w:r w:rsidR="00A520A6">
        <w:rPr>
          <w:rFonts w:ascii="Arial" w:hAnsi="Arial" w:cs="Arial"/>
          <w:color w:val="000000" w:themeColor="text1"/>
        </w:rPr>
        <w:t>,</w:t>
      </w:r>
      <w:r w:rsidRPr="003F427C">
        <w:rPr>
          <w:rFonts w:ascii="Arial" w:hAnsi="Arial" w:cs="Arial"/>
          <w:color w:val="FF0000"/>
        </w:rPr>
        <w:t xml:space="preserve"> </w:t>
      </w:r>
      <w:r w:rsidRPr="00A1369F">
        <w:rPr>
          <w:rFonts w:ascii="Arial" w:hAnsi="Arial" w:cs="Arial"/>
          <w:color w:val="000000" w:themeColor="text1"/>
        </w:rPr>
        <w:t xml:space="preserve">excepto por las acciones emitidas descritas en el </w:t>
      </w:r>
      <w:r w:rsidRPr="00A32862">
        <w:rPr>
          <w:rFonts w:ascii="Arial" w:hAnsi="Arial" w:cs="Arial"/>
          <w:color w:val="000000" w:themeColor="text1"/>
        </w:rPr>
        <w:t xml:space="preserve">punto </w:t>
      </w:r>
      <w:r w:rsidR="00553856" w:rsidRPr="00A32862">
        <w:rPr>
          <w:rFonts w:ascii="Arial" w:hAnsi="Arial" w:cs="Arial"/>
          <w:color w:val="000000" w:themeColor="text1"/>
        </w:rPr>
        <w:t>I</w:t>
      </w:r>
      <w:r w:rsidR="00A520A6">
        <w:rPr>
          <w:rFonts w:ascii="Arial" w:hAnsi="Arial" w:cs="Arial"/>
          <w:color w:val="000000" w:themeColor="text1"/>
        </w:rPr>
        <w:t>I.3. a</w:t>
      </w:r>
      <w:r w:rsidRPr="00A32862">
        <w:rPr>
          <w:rFonts w:ascii="Arial" w:hAnsi="Arial" w:cs="Arial"/>
          <w:color w:val="000000" w:themeColor="text1"/>
        </w:rPr>
        <w:t>partado B.</w:t>
      </w:r>
    </w:p>
    <w:p w14:paraId="169AF101" w14:textId="1297651C" w:rsidR="00A26CA4" w:rsidRDefault="00A26CA4" w:rsidP="00535E61">
      <w:pPr>
        <w:spacing w:line="360" w:lineRule="auto"/>
        <w:ind w:right="49"/>
        <w:jc w:val="both"/>
        <w:rPr>
          <w:sz w:val="20"/>
        </w:rPr>
      </w:pPr>
    </w:p>
    <w:p w14:paraId="550E93CD" w14:textId="77777777" w:rsidR="00E20724" w:rsidRPr="00E20724" w:rsidRDefault="00E20724" w:rsidP="00535E61">
      <w:pPr>
        <w:spacing w:line="360" w:lineRule="auto"/>
        <w:ind w:right="49"/>
        <w:jc w:val="both"/>
        <w:rPr>
          <w:sz w:val="20"/>
        </w:rPr>
      </w:pPr>
    </w:p>
    <w:p w14:paraId="4FD64045" w14:textId="519D9CE5" w:rsidR="00535E61" w:rsidRDefault="00535E61" w:rsidP="00535E61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II.3</w:t>
      </w:r>
      <w:r w:rsidRPr="00A05588">
        <w:rPr>
          <w:rFonts w:ascii="Arial" w:hAnsi="Arial" w:cs="Arial"/>
          <w:b/>
        </w:rPr>
        <w:t>. RESULTADOS DE LA FISCALIZACIÓN EFECTUADA</w:t>
      </w:r>
    </w:p>
    <w:p w14:paraId="2698D383" w14:textId="77777777" w:rsidR="00E20724" w:rsidRPr="00A05588" w:rsidRDefault="00E20724" w:rsidP="00535E61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7F9BECCE" w14:textId="475C33BD" w:rsidR="00535E61" w:rsidRDefault="00535E61" w:rsidP="00535E61">
      <w:pPr>
        <w:spacing w:line="360" w:lineRule="auto"/>
        <w:ind w:right="49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>De conformidad con los artículos 17</w:t>
      </w:r>
      <w:r w:rsidR="00A26CA4">
        <w:rPr>
          <w:rFonts w:ascii="Arial" w:hAnsi="Arial" w:cs="Arial"/>
        </w:rPr>
        <w:t>,</w:t>
      </w:r>
      <w:r w:rsidRPr="0084191C">
        <w:rPr>
          <w:rFonts w:ascii="Arial" w:hAnsi="Arial" w:cs="Arial"/>
        </w:rPr>
        <w:t xml:space="preserve">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</w:t>
      </w:r>
      <w:r w:rsidR="00A26CA4">
        <w:rPr>
          <w:rFonts w:ascii="Arial" w:hAnsi="Arial" w:cs="Arial"/>
        </w:rPr>
        <w:t>,</w:t>
      </w:r>
      <w:r w:rsidRPr="00CC4E23">
        <w:rPr>
          <w:rFonts w:ascii="Arial" w:hAnsi="Arial" w:cs="Arial"/>
        </w:rPr>
        <w:t xml:space="preserve">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de fiscalización se </w:t>
      </w:r>
      <w:r w:rsidRPr="006C01FF">
        <w:rPr>
          <w:rFonts w:ascii="Arial" w:hAnsi="Arial" w:cs="Arial"/>
        </w:rPr>
        <w:t xml:space="preserve">presentaron </w:t>
      </w:r>
      <w:r w:rsidR="006C01FF" w:rsidRPr="006C01FF">
        <w:rPr>
          <w:rFonts w:ascii="Arial" w:hAnsi="Arial" w:cs="Arial"/>
          <w:b/>
        </w:rPr>
        <w:t>4</w:t>
      </w:r>
      <w:r w:rsidRPr="006C01FF">
        <w:rPr>
          <w:rFonts w:ascii="Arial" w:hAnsi="Arial" w:cs="Arial"/>
          <w:b/>
          <w:highlight w:val="yellow"/>
        </w:rPr>
        <w:t xml:space="preserve"> </w:t>
      </w:r>
      <w:r w:rsidRPr="006C01FF">
        <w:rPr>
          <w:rFonts w:ascii="Arial" w:hAnsi="Arial" w:cs="Arial"/>
        </w:rPr>
        <w:t xml:space="preserve">resultados finales de auditoría y se determinaron </w:t>
      </w:r>
      <w:r w:rsidR="006C01FF" w:rsidRPr="006C01FF">
        <w:rPr>
          <w:rFonts w:ascii="Arial" w:hAnsi="Arial" w:cs="Arial"/>
          <w:b/>
        </w:rPr>
        <w:t>8</w:t>
      </w:r>
      <w:r w:rsidRPr="006C01FF">
        <w:rPr>
          <w:rFonts w:ascii="Arial" w:hAnsi="Arial" w:cs="Arial"/>
          <w:b/>
        </w:rPr>
        <w:t xml:space="preserve"> </w:t>
      </w:r>
      <w:r w:rsidRPr="006C01FF">
        <w:rPr>
          <w:rFonts w:ascii="Arial" w:hAnsi="Arial" w:cs="Arial"/>
        </w:rPr>
        <w:t xml:space="preserve">observaciones, de las cuales </w:t>
      </w:r>
      <w:r w:rsidR="00215F14" w:rsidRPr="009C5FE3">
        <w:rPr>
          <w:rFonts w:ascii="Arial" w:hAnsi="Arial" w:cs="Arial"/>
        </w:rPr>
        <w:t>3</w:t>
      </w:r>
      <w:r w:rsidRPr="009C5FE3">
        <w:rPr>
          <w:rFonts w:ascii="Arial" w:hAnsi="Arial" w:cs="Arial"/>
        </w:rPr>
        <w:t xml:space="preserve"> fueron solventadas, y </w:t>
      </w:r>
      <w:r w:rsidR="009C5FE3" w:rsidRPr="009C5FE3">
        <w:rPr>
          <w:rFonts w:ascii="Arial" w:hAnsi="Arial" w:cs="Arial"/>
        </w:rPr>
        <w:t>5</w:t>
      </w:r>
      <w:r w:rsidRPr="009C5FE3">
        <w:rPr>
          <w:rFonts w:ascii="Arial" w:hAnsi="Arial" w:cs="Arial"/>
        </w:rPr>
        <w:t xml:space="preserve"> se encuentran pendientes de solventar; emitiéndo</w:t>
      </w:r>
      <w:r w:rsidR="00215F14" w:rsidRPr="009C5FE3">
        <w:rPr>
          <w:rFonts w:ascii="Arial" w:hAnsi="Arial" w:cs="Arial"/>
        </w:rPr>
        <w:t>se 2</w:t>
      </w:r>
      <w:r w:rsidR="0080216E" w:rsidRPr="009C5FE3">
        <w:rPr>
          <w:rFonts w:ascii="Arial" w:hAnsi="Arial" w:cs="Arial"/>
        </w:rPr>
        <w:t xml:space="preserve"> pliego</w:t>
      </w:r>
      <w:r w:rsidR="00215F14" w:rsidRPr="009C5FE3">
        <w:rPr>
          <w:rFonts w:ascii="Arial" w:hAnsi="Arial" w:cs="Arial"/>
        </w:rPr>
        <w:t>s</w:t>
      </w:r>
      <w:r w:rsidR="009C5FE3" w:rsidRPr="009C5FE3">
        <w:rPr>
          <w:rFonts w:ascii="Arial" w:hAnsi="Arial" w:cs="Arial"/>
        </w:rPr>
        <w:t xml:space="preserve"> de observaciones y 3</w:t>
      </w:r>
      <w:r w:rsidRPr="009C5FE3">
        <w:rPr>
          <w:rFonts w:ascii="Arial" w:hAnsi="Arial" w:cs="Arial"/>
        </w:rPr>
        <w:t xml:space="preserve"> recomendaciones.</w:t>
      </w:r>
    </w:p>
    <w:p w14:paraId="1BD88ED4" w14:textId="77777777" w:rsidR="00535E61" w:rsidRPr="00671D1D" w:rsidRDefault="00535E61" w:rsidP="00535E61">
      <w:pPr>
        <w:spacing w:line="360" w:lineRule="auto"/>
        <w:ind w:right="49"/>
        <w:jc w:val="both"/>
        <w:rPr>
          <w:rFonts w:ascii="Arial" w:hAnsi="Arial" w:cs="Arial"/>
          <w:iCs/>
        </w:rPr>
      </w:pPr>
    </w:p>
    <w:p w14:paraId="5DEC1562" w14:textId="16E56C73" w:rsidR="00535E61" w:rsidRDefault="00535E61" w:rsidP="00535E61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>A. Resumen de Resultados Finales de Auditoría y Observaciones Determinadas en Materia Financiera</w:t>
      </w:r>
    </w:p>
    <w:p w14:paraId="7A7E2C60" w14:textId="77777777" w:rsidR="00991258" w:rsidRPr="00671D1D" w:rsidRDefault="00991258" w:rsidP="00535E61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422F01BF" w14:textId="46E94CF7" w:rsidR="00535E61" w:rsidRDefault="00535E61" w:rsidP="00535E61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Derivado del proceso de fiscalización al ente auditado se determinaron resultados finales de auditoría y observaciones en materia financiera, los cuales se presentan en la tabla siguiente:</w:t>
      </w:r>
    </w:p>
    <w:p w14:paraId="7F3A8913" w14:textId="77777777" w:rsidR="00671D1D" w:rsidRPr="00321730" w:rsidRDefault="00671D1D" w:rsidP="00535E61">
      <w:pPr>
        <w:spacing w:line="360" w:lineRule="auto"/>
        <w:ind w:right="49"/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4829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3213"/>
        <w:gridCol w:w="2772"/>
        <w:gridCol w:w="1561"/>
      </w:tblGrid>
      <w:tr w:rsidR="006C01FF" w:rsidRPr="00AE3682" w14:paraId="2E883570" w14:textId="77777777" w:rsidTr="006C01FF">
        <w:trPr>
          <w:trHeight w:val="553"/>
          <w:tblHeader/>
          <w:jc w:val="center"/>
        </w:trPr>
        <w:tc>
          <w:tcPr>
            <w:tcW w:w="968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0CECE" w:themeFill="background2" w:themeFillShade="E6"/>
            <w:vAlign w:val="center"/>
          </w:tcPr>
          <w:p w14:paraId="34B57DBD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3682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0CECE" w:themeFill="background2" w:themeFillShade="E6"/>
            <w:vAlign w:val="center"/>
          </w:tcPr>
          <w:p w14:paraId="31A59281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3682">
              <w:rPr>
                <w:rFonts w:ascii="Arial" w:hAnsi="Arial" w:cs="Arial"/>
                <w:b/>
                <w:sz w:val="18"/>
                <w:szCs w:val="18"/>
              </w:rPr>
              <w:t>Concepto del Resultado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0CECE" w:themeFill="background2" w:themeFillShade="E6"/>
            <w:vAlign w:val="center"/>
          </w:tcPr>
          <w:p w14:paraId="37F22658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3682">
              <w:rPr>
                <w:rFonts w:ascii="Arial" w:hAnsi="Arial" w:cs="Arial"/>
                <w:b/>
                <w:sz w:val="18"/>
                <w:szCs w:val="18"/>
              </w:rPr>
              <w:t>Tipo de Observación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0CECE" w:themeFill="background2" w:themeFillShade="E6"/>
            <w:vAlign w:val="center"/>
          </w:tcPr>
          <w:p w14:paraId="5FB5E2BF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3682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  <w:p w14:paraId="5FC89EFD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3682">
              <w:rPr>
                <w:rFonts w:ascii="Arial" w:hAnsi="Arial" w:cs="Arial"/>
                <w:b/>
                <w:sz w:val="18"/>
                <w:szCs w:val="18"/>
              </w:rPr>
              <w:t>Observado</w:t>
            </w:r>
          </w:p>
        </w:tc>
      </w:tr>
      <w:tr w:rsidR="006C01FF" w:rsidRPr="00AE3682" w14:paraId="0D8B3A2A" w14:textId="77777777" w:rsidTr="006C01FF">
        <w:trPr>
          <w:trHeight w:val="724"/>
          <w:jc w:val="center"/>
        </w:trPr>
        <w:tc>
          <w:tcPr>
            <w:tcW w:w="9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76E83F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7EB89B90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Observación: 1</w:t>
            </w:r>
          </w:p>
        </w:tc>
        <w:tc>
          <w:tcPr>
            <w:tcW w:w="1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34EBFC" w14:textId="77777777" w:rsidR="006C01FF" w:rsidRPr="00AE3682" w:rsidRDefault="006C01FF" w:rsidP="006C01FF">
            <w:pPr>
              <w:spacing w:line="360" w:lineRule="auto"/>
              <w:ind w:right="19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  <w:lang w:eastAsia="es-MX"/>
              </w:rPr>
              <w:t xml:space="preserve">Revisión de la cuenta Deudores Diversos </w:t>
            </w:r>
          </w:p>
          <w:p w14:paraId="084DE204" w14:textId="77777777" w:rsidR="006C01FF" w:rsidRPr="00AE3682" w:rsidRDefault="006C01FF" w:rsidP="006C01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E46129" w14:textId="13FAA1AD" w:rsidR="006C01FF" w:rsidRPr="00AE3682" w:rsidRDefault="007D6D41" w:rsidP="006C01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(</w:t>
            </w:r>
            <w:r w:rsidR="006C01FF" w:rsidRPr="00AE368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6C01FF" w:rsidRPr="00AE3682">
              <w:rPr>
                <w:rFonts w:ascii="Arial" w:hAnsi="Arial" w:cs="Arial"/>
                <w:sz w:val="18"/>
                <w:szCs w:val="18"/>
                <w:lang w:eastAsia="es-MX"/>
              </w:rPr>
              <w:t>D) Falta de recuperación de anticipos a proveedores, títulos de crédito, garantías, seguros o adeudos</w:t>
            </w:r>
          </w:p>
        </w:tc>
        <w:tc>
          <w:tcPr>
            <w:tcW w:w="8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703418" w14:textId="7CD304E1" w:rsidR="006C01FF" w:rsidRPr="00A84376" w:rsidRDefault="00A752DA" w:rsidP="00A3286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Aspectos de Control Interno</w:t>
            </w:r>
          </w:p>
        </w:tc>
      </w:tr>
      <w:tr w:rsidR="006C01FF" w:rsidRPr="00AE3682" w14:paraId="07ABB67D" w14:textId="77777777" w:rsidTr="006C01FF">
        <w:trPr>
          <w:trHeight w:val="595"/>
          <w:jc w:val="center"/>
        </w:trPr>
        <w:tc>
          <w:tcPr>
            <w:tcW w:w="9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430EA3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74955196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Observación: 2</w:t>
            </w:r>
          </w:p>
        </w:tc>
        <w:tc>
          <w:tcPr>
            <w:tcW w:w="1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7E78C" w14:textId="77777777" w:rsidR="006C01FF" w:rsidRPr="00AE3682" w:rsidRDefault="006C01FF" w:rsidP="006C01FF">
            <w:pPr>
              <w:spacing w:line="360" w:lineRule="auto"/>
              <w:ind w:right="19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  <w:lang w:eastAsia="es-MX"/>
              </w:rPr>
              <w:t xml:space="preserve">Revisión de la cuenta Deudores Diversos </w:t>
            </w:r>
          </w:p>
          <w:p w14:paraId="702AA9AB" w14:textId="77777777" w:rsidR="006C01FF" w:rsidRPr="00AE3682" w:rsidRDefault="006C01FF" w:rsidP="006C01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BBEDB9" w14:textId="4E2795F7" w:rsidR="006C01FF" w:rsidRPr="00AE3682" w:rsidRDefault="007D6D41" w:rsidP="006C01FF">
            <w:pPr>
              <w:spacing w:line="360" w:lineRule="auto"/>
              <w:ind w:right="193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(</w:t>
            </w:r>
            <w:r w:rsidR="006C01FF" w:rsidRPr="00AE368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4B) Operaciones o bienes no registrados o registrados errónea o extemporáneamente</w:t>
            </w:r>
          </w:p>
        </w:tc>
        <w:tc>
          <w:tcPr>
            <w:tcW w:w="8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9B9B90" w14:textId="61C51057" w:rsidR="006C01FF" w:rsidRPr="00A84376" w:rsidRDefault="00A32862" w:rsidP="00A3286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Aspectos de Control Interno</w:t>
            </w:r>
          </w:p>
        </w:tc>
      </w:tr>
      <w:tr w:rsidR="006C01FF" w:rsidRPr="00AE3682" w14:paraId="04546350" w14:textId="77777777" w:rsidTr="006C01FF">
        <w:trPr>
          <w:trHeight w:val="1031"/>
          <w:jc w:val="center"/>
        </w:trPr>
        <w:tc>
          <w:tcPr>
            <w:tcW w:w="9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847E59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32F00B3A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Observación: 3</w:t>
            </w:r>
          </w:p>
        </w:tc>
        <w:tc>
          <w:tcPr>
            <w:tcW w:w="1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EB8351" w14:textId="77777777" w:rsidR="006C01FF" w:rsidRPr="00AE3682" w:rsidRDefault="006C01FF" w:rsidP="006C01FF">
            <w:pPr>
              <w:spacing w:line="360" w:lineRule="auto"/>
              <w:ind w:right="19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  <w:lang w:eastAsia="es-MX"/>
              </w:rPr>
              <w:t xml:space="preserve">Revisión de la cuenta Deudores Diversos </w:t>
            </w:r>
          </w:p>
        </w:tc>
        <w:tc>
          <w:tcPr>
            <w:tcW w:w="1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198CB3" w14:textId="76AF98B8" w:rsidR="006C01FF" w:rsidRPr="00AE3682" w:rsidRDefault="007D6D41" w:rsidP="006C01FF">
            <w:pPr>
              <w:spacing w:line="360" w:lineRule="auto"/>
              <w:ind w:right="193"/>
              <w:jc w:val="both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(</w:t>
            </w:r>
            <w:r w:rsidR="006C01FF" w:rsidRPr="00AE368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6C01FF" w:rsidRPr="00AE3682">
              <w:rPr>
                <w:rFonts w:ascii="Arial" w:hAnsi="Arial" w:cs="Arial"/>
                <w:sz w:val="18"/>
                <w:szCs w:val="18"/>
                <w:lang w:eastAsia="es-MX"/>
              </w:rPr>
              <w:t>D) Falta de recuperación de anticipos a proveedores, títulos de crédito, garantías, seguros o adeudos</w:t>
            </w:r>
          </w:p>
        </w:tc>
        <w:tc>
          <w:tcPr>
            <w:tcW w:w="8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7736F" w14:textId="77777777" w:rsidR="006C01FF" w:rsidRPr="00721DBE" w:rsidRDefault="006C01FF" w:rsidP="006C01FF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721DBE">
              <w:rPr>
                <w:rFonts w:ascii="Arial" w:hAnsi="Arial" w:cs="Arial"/>
                <w:sz w:val="18"/>
                <w:szCs w:val="18"/>
              </w:rPr>
              <w:t>186,03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21DB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</w:tr>
      <w:tr w:rsidR="006C01FF" w:rsidRPr="00AE3682" w14:paraId="2D37B99C" w14:textId="77777777" w:rsidTr="006C01FF">
        <w:trPr>
          <w:trHeight w:val="1031"/>
          <w:jc w:val="center"/>
        </w:trPr>
        <w:tc>
          <w:tcPr>
            <w:tcW w:w="9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729C73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2BE8BDF2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Observación: 4</w:t>
            </w:r>
          </w:p>
        </w:tc>
        <w:tc>
          <w:tcPr>
            <w:tcW w:w="1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CBC269" w14:textId="77777777" w:rsidR="006C01FF" w:rsidRPr="00AE3682" w:rsidRDefault="006C01FF" w:rsidP="006C01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Verificación del origen, destino, comprobación y justificación del gasto</w:t>
            </w:r>
          </w:p>
        </w:tc>
        <w:tc>
          <w:tcPr>
            <w:tcW w:w="1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DF34A" w14:textId="68DE2853" w:rsidR="006C01FF" w:rsidRPr="00AE3682" w:rsidRDefault="007D6D41" w:rsidP="006C01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C01FF" w:rsidRPr="00AE3682">
              <w:rPr>
                <w:rFonts w:ascii="Arial" w:hAnsi="Arial" w:cs="Arial"/>
                <w:sz w:val="18"/>
                <w:szCs w:val="18"/>
              </w:rPr>
              <w:t>1B) Falta de documentación comprobatoria de las erogaciones o que no reúne requisitos fiscales</w:t>
            </w:r>
          </w:p>
        </w:tc>
        <w:tc>
          <w:tcPr>
            <w:tcW w:w="8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B19C0" w14:textId="71F9D25C" w:rsidR="006C01FF" w:rsidRPr="00721DBE" w:rsidRDefault="006C01FF" w:rsidP="006C01FF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1DBE">
              <w:rPr>
                <w:rFonts w:ascii="Arial" w:hAnsi="Arial" w:cs="Arial"/>
                <w:sz w:val="18"/>
                <w:szCs w:val="18"/>
              </w:rPr>
              <w:t>20,000.00</w:t>
            </w:r>
          </w:p>
        </w:tc>
      </w:tr>
      <w:tr w:rsidR="006C01FF" w:rsidRPr="00AE3682" w14:paraId="3951C1A0" w14:textId="77777777" w:rsidTr="006C01FF">
        <w:trPr>
          <w:trHeight w:val="1031"/>
          <w:jc w:val="center"/>
        </w:trPr>
        <w:tc>
          <w:tcPr>
            <w:tcW w:w="9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D86DDD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02FB891C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Observación: 5</w:t>
            </w:r>
          </w:p>
        </w:tc>
        <w:tc>
          <w:tcPr>
            <w:tcW w:w="1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C7B823" w14:textId="77777777" w:rsidR="006C01FF" w:rsidRPr="00AE3682" w:rsidRDefault="006C01FF" w:rsidP="006C01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Verificación del origen, destino, comprobación y justificación del gasto</w:t>
            </w:r>
          </w:p>
        </w:tc>
        <w:tc>
          <w:tcPr>
            <w:tcW w:w="1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FDCB3" w14:textId="17261E3C" w:rsidR="006C01FF" w:rsidRPr="00AE3682" w:rsidRDefault="007D6D41" w:rsidP="006C01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(</w:t>
            </w:r>
            <w:r w:rsidR="006C01FF" w:rsidRPr="00AE3682">
              <w:rPr>
                <w:rFonts w:ascii="Arial" w:hAnsi="Arial" w:cs="Arial"/>
                <w:sz w:val="18"/>
                <w:szCs w:val="18"/>
                <w:lang w:eastAsia="es-MX"/>
              </w:rPr>
              <w:t>1B) Falta de documentación comprobatoria de las erogaciones o que no reúne los requisitos fiscales</w:t>
            </w:r>
          </w:p>
        </w:tc>
        <w:tc>
          <w:tcPr>
            <w:tcW w:w="8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2A286" w14:textId="77777777" w:rsidR="006C01FF" w:rsidRPr="00721DBE" w:rsidRDefault="006C01FF" w:rsidP="006C01FF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1DBE">
              <w:rPr>
                <w:rFonts w:ascii="Arial" w:hAnsi="Arial" w:cs="Arial"/>
                <w:sz w:val="18"/>
                <w:szCs w:val="18"/>
              </w:rPr>
              <w:t>25,720.00</w:t>
            </w:r>
          </w:p>
        </w:tc>
      </w:tr>
      <w:tr w:rsidR="006C01FF" w:rsidRPr="00AE3682" w14:paraId="255F9F07" w14:textId="77777777" w:rsidTr="006C01FF">
        <w:trPr>
          <w:trHeight w:val="1031"/>
          <w:jc w:val="center"/>
        </w:trPr>
        <w:tc>
          <w:tcPr>
            <w:tcW w:w="9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7DF3E4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4B02205C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Observación: 6</w:t>
            </w:r>
          </w:p>
        </w:tc>
        <w:tc>
          <w:tcPr>
            <w:tcW w:w="1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A03B8B" w14:textId="77777777" w:rsidR="006C01FF" w:rsidRPr="00AE3682" w:rsidRDefault="006C01FF" w:rsidP="006C01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Verificación del origen, destino, comprobación y justificación del gasto</w:t>
            </w:r>
          </w:p>
        </w:tc>
        <w:tc>
          <w:tcPr>
            <w:tcW w:w="1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192055" w14:textId="4B1A928C" w:rsidR="006C01FF" w:rsidRPr="00AE3682" w:rsidRDefault="007D6D41" w:rsidP="006C01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(</w:t>
            </w:r>
            <w:r w:rsidR="006C01FF" w:rsidRPr="00AE3682">
              <w:rPr>
                <w:rFonts w:ascii="Arial" w:hAnsi="Arial" w:cs="Arial"/>
                <w:sz w:val="18"/>
                <w:szCs w:val="18"/>
                <w:lang w:eastAsia="es-MX"/>
              </w:rPr>
              <w:t>1B) Falta de documentación comprobatoria de las erogaciones o que no reúne los requisitos fiscales</w:t>
            </w:r>
          </w:p>
        </w:tc>
        <w:tc>
          <w:tcPr>
            <w:tcW w:w="8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FA38BF" w14:textId="13E09FED" w:rsidR="006C01FF" w:rsidRPr="00721DBE" w:rsidRDefault="0058639F" w:rsidP="00A3286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1,750</w:t>
            </w:r>
            <w:r w:rsidR="006C01FF" w:rsidRPr="00721DBE">
              <w:rPr>
                <w:rFonts w:ascii="Arial" w:hAnsi="Arial" w:cs="Arial"/>
                <w:sz w:val="18"/>
                <w:szCs w:val="18"/>
              </w:rPr>
              <w:t>,501.00</w:t>
            </w:r>
          </w:p>
        </w:tc>
      </w:tr>
      <w:tr w:rsidR="006C01FF" w:rsidRPr="00AE3682" w14:paraId="77038F4A" w14:textId="77777777" w:rsidTr="006C01FF">
        <w:trPr>
          <w:trHeight w:val="1031"/>
          <w:jc w:val="center"/>
        </w:trPr>
        <w:tc>
          <w:tcPr>
            <w:tcW w:w="9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648664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Resultado: 3</w:t>
            </w:r>
          </w:p>
          <w:p w14:paraId="0B8482AC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Observación: 7</w:t>
            </w:r>
          </w:p>
        </w:tc>
        <w:tc>
          <w:tcPr>
            <w:tcW w:w="1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95B9E0" w14:textId="77777777" w:rsidR="006C01FF" w:rsidRPr="00AE3682" w:rsidRDefault="006C01FF" w:rsidP="006C01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 xml:space="preserve">Verificación de los </w:t>
            </w:r>
            <w:r w:rsidRPr="00AE3682">
              <w:rPr>
                <w:rFonts w:ascii="Arial" w:eastAsia="Calibri" w:hAnsi="Arial" w:cs="Arial"/>
                <w:spacing w:val="1"/>
                <w:sz w:val="18"/>
                <w:szCs w:val="18"/>
              </w:rPr>
              <w:t>expedientes por adquisición de bienes o servicios</w:t>
            </w:r>
          </w:p>
        </w:tc>
        <w:tc>
          <w:tcPr>
            <w:tcW w:w="1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08CBD3" w14:textId="4C6E3049" w:rsidR="006C01FF" w:rsidRPr="00AE3682" w:rsidRDefault="007D6D41" w:rsidP="006C01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(</w:t>
            </w:r>
            <w:r w:rsidR="006C01FF" w:rsidRPr="00AE3682">
              <w:rPr>
                <w:rFonts w:ascii="Arial" w:hAnsi="Arial" w:cs="Arial"/>
                <w:sz w:val="18"/>
                <w:szCs w:val="18"/>
                <w:lang w:eastAsia="es-MX"/>
              </w:rPr>
              <w:t>1B) Falta de documentación comprobatoria de las erogaciones o que no reúne los requisitos fiscales</w:t>
            </w:r>
            <w:r w:rsidR="006C01FF" w:rsidRPr="00AE368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802476" w14:textId="38AB017B" w:rsidR="006C01FF" w:rsidRPr="00721DBE" w:rsidRDefault="00A32862" w:rsidP="00A3286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Cumplimiento Legal </w:t>
            </w:r>
          </w:p>
        </w:tc>
      </w:tr>
      <w:tr w:rsidR="006C01FF" w:rsidRPr="00AE3682" w14:paraId="57A7E1A4" w14:textId="77777777" w:rsidTr="006C01FF">
        <w:trPr>
          <w:trHeight w:val="1031"/>
          <w:jc w:val="center"/>
        </w:trPr>
        <w:tc>
          <w:tcPr>
            <w:tcW w:w="9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9D1493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Resultado: 4</w:t>
            </w:r>
          </w:p>
          <w:p w14:paraId="4B2B2DA2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Observación: 8</w:t>
            </w:r>
          </w:p>
        </w:tc>
        <w:tc>
          <w:tcPr>
            <w:tcW w:w="1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827EB6" w14:textId="77777777" w:rsidR="006C01FF" w:rsidRPr="00AE3682" w:rsidRDefault="006C01FF" w:rsidP="006C01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E3682">
              <w:rPr>
                <w:rFonts w:ascii="Arial" w:hAnsi="Arial" w:cs="Arial"/>
                <w:sz w:val="18"/>
                <w:szCs w:val="18"/>
                <w:lang w:eastAsia="es-MX"/>
              </w:rPr>
              <w:t>Revisión de pago de impuestos 3% sobre nómina</w:t>
            </w:r>
          </w:p>
        </w:tc>
        <w:tc>
          <w:tcPr>
            <w:tcW w:w="1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43E44E" w14:textId="033CD51B" w:rsidR="006C01FF" w:rsidRPr="00AE3682" w:rsidRDefault="007D6D41" w:rsidP="006C01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(</w:t>
            </w:r>
            <w:r w:rsidR="006C01FF" w:rsidRPr="00AE3682">
              <w:rPr>
                <w:rFonts w:ascii="Arial" w:hAnsi="Arial" w:cs="Arial"/>
                <w:sz w:val="18"/>
                <w:szCs w:val="18"/>
                <w:lang w:eastAsia="es-MX"/>
              </w:rPr>
              <w:t xml:space="preserve">3B) </w:t>
            </w:r>
            <w:r w:rsidR="006C01FF" w:rsidRPr="007A0D17">
              <w:rPr>
                <w:rFonts w:ascii="Arial" w:hAnsi="Arial" w:cs="Arial"/>
                <w:sz w:val="18"/>
                <w:szCs w:val="18"/>
                <w:lang w:eastAsia="es-MX"/>
              </w:rPr>
              <w:t>Omisión, error o presentación extemporánea de retenciones o entero de impuestos, cuotas, derechos o cualquier otra obligación fiscal</w:t>
            </w:r>
          </w:p>
        </w:tc>
        <w:tc>
          <w:tcPr>
            <w:tcW w:w="8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A7C86" w14:textId="1433CD34" w:rsidR="006C01FF" w:rsidRPr="00721DBE" w:rsidRDefault="00A32862" w:rsidP="00A3286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Cumplimiento Legal</w:t>
            </w:r>
          </w:p>
        </w:tc>
      </w:tr>
      <w:tr w:rsidR="006C01FF" w:rsidRPr="00AE3682" w14:paraId="069FC933" w14:textId="77777777" w:rsidTr="006C01FF">
        <w:trPr>
          <w:trHeight w:val="363"/>
          <w:jc w:val="center"/>
        </w:trPr>
        <w:tc>
          <w:tcPr>
            <w:tcW w:w="9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883CEC" w14:textId="77777777" w:rsidR="006C01FF" w:rsidRPr="00AE3682" w:rsidRDefault="006C01FF" w:rsidP="006C01F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961C9A" w14:textId="77777777" w:rsidR="006C01FF" w:rsidRPr="00AE3682" w:rsidRDefault="006C01FF" w:rsidP="006C01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D404E1" w14:textId="77777777" w:rsidR="006C01FF" w:rsidRPr="00AE3682" w:rsidRDefault="006C01FF" w:rsidP="006C01FF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E3682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BFBFBF" w:themeColor="background1" w:themeShade="BF"/>
              <w:bottom w:val="double" w:sz="4" w:space="0" w:color="auto"/>
              <w:right w:val="single" w:sz="4" w:space="0" w:color="BFBFBF" w:themeColor="background1" w:themeShade="BF"/>
            </w:tcBorders>
          </w:tcPr>
          <w:p w14:paraId="38CC09C6" w14:textId="2FB7A452" w:rsidR="006C01FF" w:rsidRPr="00AE3682" w:rsidRDefault="006C01FF" w:rsidP="006C01FF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$ </w:t>
            </w:r>
            <w:r w:rsidRPr="00AE3682">
              <w:rPr>
                <w:rFonts w:ascii="Arial" w:hAnsi="Arial" w:cs="Arial"/>
                <w:b/>
                <w:sz w:val="18"/>
                <w:szCs w:val="18"/>
              </w:rPr>
              <w:t>1,</w:t>
            </w:r>
            <w:r w:rsidR="0058639F">
              <w:rPr>
                <w:rFonts w:ascii="Arial" w:hAnsi="Arial" w:cs="Arial"/>
                <w:b/>
                <w:sz w:val="18"/>
                <w:szCs w:val="18"/>
              </w:rPr>
              <w:t>982</w:t>
            </w:r>
            <w:r>
              <w:rPr>
                <w:rFonts w:ascii="Arial" w:hAnsi="Arial" w:cs="Arial"/>
                <w:b/>
                <w:sz w:val="18"/>
                <w:szCs w:val="18"/>
              </w:rPr>
              <w:t>,253.86</w:t>
            </w:r>
          </w:p>
        </w:tc>
      </w:tr>
    </w:tbl>
    <w:p w14:paraId="3AA789B8" w14:textId="77777777" w:rsidR="006C01FF" w:rsidRPr="00E20724" w:rsidRDefault="006C01FF" w:rsidP="00535E61">
      <w:pPr>
        <w:spacing w:line="360" w:lineRule="auto"/>
        <w:ind w:right="49"/>
        <w:jc w:val="both"/>
        <w:rPr>
          <w:rFonts w:ascii="Arial" w:hAnsi="Arial" w:cs="Arial"/>
          <w:sz w:val="28"/>
          <w:szCs w:val="32"/>
        </w:rPr>
      </w:pPr>
    </w:p>
    <w:p w14:paraId="1DEC131A" w14:textId="17BCAC90" w:rsidR="00535E61" w:rsidRDefault="00535E61" w:rsidP="00535E61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E3352A">
        <w:rPr>
          <w:rFonts w:ascii="Arial" w:hAnsi="Arial" w:cs="Arial"/>
          <w:b/>
        </w:rPr>
        <w:t xml:space="preserve">B. </w:t>
      </w:r>
      <w:r w:rsidRPr="00E3352A">
        <w:rPr>
          <w:rFonts w:ascii="Arial" w:hAnsi="Arial" w:cs="Arial"/>
          <w:b/>
          <w:bCs/>
        </w:rPr>
        <w:t xml:space="preserve">Observaciones Determinadas, </w:t>
      </w:r>
      <w:r w:rsidR="00DD4983">
        <w:rPr>
          <w:rFonts w:ascii="Arial" w:hAnsi="Arial" w:cs="Arial"/>
          <w:b/>
          <w:bCs/>
        </w:rPr>
        <w:t xml:space="preserve">por Auditoría en Materia Financiera, </w:t>
      </w:r>
      <w:r w:rsidR="006C01FF">
        <w:rPr>
          <w:rFonts w:ascii="Arial" w:hAnsi="Arial" w:cs="Arial"/>
          <w:b/>
          <w:bCs/>
        </w:rPr>
        <w:t xml:space="preserve">Justificaciones </w:t>
      </w:r>
      <w:r w:rsidRPr="00E3352A">
        <w:rPr>
          <w:rFonts w:ascii="Arial" w:hAnsi="Arial" w:cs="Arial"/>
          <w:b/>
          <w:bCs/>
        </w:rPr>
        <w:t>y Aclaraciones de la Entidad Fiscalizada</w:t>
      </w:r>
      <w:r>
        <w:rPr>
          <w:rFonts w:ascii="Arial" w:hAnsi="Arial" w:cs="Arial"/>
          <w:b/>
          <w:bCs/>
        </w:rPr>
        <w:t>,</w:t>
      </w:r>
      <w:r w:rsidRPr="00E3352A">
        <w:rPr>
          <w:rFonts w:ascii="Arial" w:hAnsi="Arial" w:cs="Arial"/>
          <w:b/>
          <w:bCs/>
        </w:rPr>
        <w:t xml:space="preserve"> Acciones</w:t>
      </w:r>
      <w:r w:rsidR="00D34694">
        <w:rPr>
          <w:rFonts w:ascii="Arial" w:hAnsi="Arial" w:cs="Arial"/>
          <w:b/>
          <w:bCs/>
        </w:rPr>
        <w:t xml:space="preserve"> y Recomendaciones</w:t>
      </w:r>
      <w:r>
        <w:rPr>
          <w:rFonts w:ascii="Arial" w:hAnsi="Arial" w:cs="Arial"/>
          <w:b/>
          <w:bCs/>
        </w:rPr>
        <w:t xml:space="preserve"> </w:t>
      </w:r>
      <w:r w:rsidRPr="00E3352A">
        <w:rPr>
          <w:rFonts w:ascii="Arial" w:hAnsi="Arial" w:cs="Arial"/>
          <w:b/>
          <w:bCs/>
        </w:rPr>
        <w:t>Emitidas</w:t>
      </w:r>
    </w:p>
    <w:p w14:paraId="04A581B9" w14:textId="77777777" w:rsidR="00535E61" w:rsidRPr="00E20724" w:rsidRDefault="00535E61" w:rsidP="00535E61">
      <w:pPr>
        <w:spacing w:line="276" w:lineRule="auto"/>
        <w:ind w:right="49"/>
        <w:jc w:val="both"/>
        <w:rPr>
          <w:rFonts w:ascii="Arial" w:hAnsi="Arial" w:cs="Arial"/>
          <w:b/>
          <w:sz w:val="28"/>
        </w:rPr>
      </w:pPr>
    </w:p>
    <w:p w14:paraId="5C6E4F4D" w14:textId="77777777" w:rsidR="00535E61" w:rsidRPr="00541C99" w:rsidRDefault="00535E61" w:rsidP="00535E61">
      <w:pPr>
        <w:spacing w:line="360" w:lineRule="auto"/>
        <w:ind w:right="49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como resultado de los procedimientos de auditoría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se realizaron observaciones de las cuales se recibieron </w:t>
      </w:r>
      <w:proofErr w:type="spellStart"/>
      <w:r w:rsidRPr="00001B26">
        <w:rPr>
          <w:rFonts w:ascii="Arial" w:hAnsi="Arial" w:cs="Arial"/>
        </w:rPr>
        <w:t>solventaciones</w:t>
      </w:r>
      <w:proofErr w:type="spellEnd"/>
      <w:r w:rsidRPr="00001B26">
        <w:rPr>
          <w:rFonts w:ascii="Arial" w:hAnsi="Arial" w:cs="Arial"/>
        </w:rPr>
        <w:t xml:space="preserve"> por parte del ente auditado como se detalla en el cuadro siguiente:</w:t>
      </w:r>
    </w:p>
    <w:p w14:paraId="0EE5268D" w14:textId="77777777" w:rsidR="00535E61" w:rsidRPr="00671D1D" w:rsidRDefault="00535E61" w:rsidP="00535E6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1896"/>
        <w:gridCol w:w="8"/>
      </w:tblGrid>
      <w:tr w:rsidR="00535E61" w:rsidRPr="0051106D" w14:paraId="347DE33A" w14:textId="77777777" w:rsidTr="00187C25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804A014" w14:textId="77777777" w:rsidR="00535E61" w:rsidRPr="002B761E" w:rsidRDefault="00535E61" w:rsidP="00187C2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61E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2B761E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2B761E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535E61" w:rsidRPr="0051106D" w14:paraId="0FA11653" w14:textId="77777777" w:rsidTr="00187C25">
        <w:trPr>
          <w:gridAfter w:val="1"/>
          <w:wAfter w:w="8" w:type="dxa"/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C82F83E" w14:textId="77777777" w:rsidR="00535E61" w:rsidRPr="002B761E" w:rsidRDefault="00535E61" w:rsidP="00187C2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61E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77A4A00" w14:textId="77777777" w:rsidR="00535E61" w:rsidRPr="002B761E" w:rsidRDefault="00535E61" w:rsidP="00187C2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61E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975B5EC" w14:textId="77777777" w:rsidR="00535E61" w:rsidRPr="002B761E" w:rsidRDefault="00535E61" w:rsidP="00187C2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61E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2B761E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9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3D0E2FE" w14:textId="77777777" w:rsidR="00535E61" w:rsidRPr="002B761E" w:rsidRDefault="00535E61" w:rsidP="00187C2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61E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535E61" w:rsidRPr="0051106D" w14:paraId="19A7649D" w14:textId="77777777" w:rsidTr="00187C25">
        <w:trPr>
          <w:gridAfter w:val="1"/>
          <w:wAfter w:w="8" w:type="dxa"/>
          <w:tblHeader/>
          <w:jc w:val="center"/>
        </w:trPr>
        <w:tc>
          <w:tcPr>
            <w:tcW w:w="226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1E21EC8" w14:textId="77777777" w:rsidR="00535E61" w:rsidRPr="002B761E" w:rsidRDefault="00535E61" w:rsidP="00187C2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AC3B413" w14:textId="77777777" w:rsidR="00535E61" w:rsidRPr="002B761E" w:rsidRDefault="00535E61" w:rsidP="00187C2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0E01970" w14:textId="77777777" w:rsidR="00535E61" w:rsidRPr="002B761E" w:rsidRDefault="00535E61" w:rsidP="00187C2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61E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03CC40A" w14:textId="77777777" w:rsidR="00535E61" w:rsidRPr="002B761E" w:rsidRDefault="00535E61" w:rsidP="00187C2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61E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639921D" w14:textId="77777777" w:rsidR="00535E61" w:rsidRPr="002B761E" w:rsidRDefault="00535E61" w:rsidP="00187C2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E61" w:rsidRPr="0051106D" w14:paraId="1A9D00A4" w14:textId="77777777" w:rsidTr="00187C25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5CB9B19" w14:textId="0CCDE6D0" w:rsidR="00535E61" w:rsidRPr="002B761E" w:rsidRDefault="00181E4C" w:rsidP="002B76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B761E" w:rsidRPr="002B761E">
              <w:rPr>
                <w:rFonts w:ascii="Arial" w:hAnsi="Arial" w:cs="Arial"/>
                <w:sz w:val="18"/>
                <w:szCs w:val="18"/>
              </w:rPr>
              <w:t>1D) Falta de recuperación de anticipos a proveedores, títulos de crédito, garantías, seguros o adeudos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F09F389" w14:textId="55F36C99" w:rsidR="00535E61" w:rsidRPr="002B761E" w:rsidRDefault="00535E61" w:rsidP="005863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61E">
              <w:rPr>
                <w:rFonts w:ascii="Arial" w:hAnsi="Arial" w:cs="Arial"/>
                <w:sz w:val="20"/>
                <w:szCs w:val="20"/>
              </w:rPr>
              <w:t>$1</w:t>
            </w:r>
            <w:r w:rsidR="002B761E">
              <w:rPr>
                <w:rFonts w:ascii="Arial" w:hAnsi="Arial" w:cs="Arial"/>
                <w:sz w:val="20"/>
                <w:szCs w:val="20"/>
              </w:rPr>
              <w:t>86</w:t>
            </w:r>
            <w:r w:rsidRPr="002B761E">
              <w:rPr>
                <w:rFonts w:ascii="Arial" w:hAnsi="Arial" w:cs="Arial"/>
                <w:sz w:val="20"/>
                <w:szCs w:val="20"/>
              </w:rPr>
              <w:t>,</w:t>
            </w:r>
            <w:r w:rsidR="00DE27FF">
              <w:rPr>
                <w:rFonts w:ascii="Arial" w:hAnsi="Arial" w:cs="Arial"/>
                <w:sz w:val="20"/>
                <w:szCs w:val="20"/>
              </w:rPr>
              <w:t>032.8</w:t>
            </w:r>
            <w:r w:rsidR="002B761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BD0A65D" w14:textId="31AF62C9" w:rsidR="00535E61" w:rsidRPr="0058639F" w:rsidRDefault="00BD0FE8" w:rsidP="00BD0F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39F">
              <w:rPr>
                <w:rFonts w:ascii="Arial" w:hAnsi="Arial" w:cs="Arial"/>
                <w:sz w:val="20"/>
                <w:szCs w:val="20"/>
              </w:rPr>
              <w:t>$842.00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E8AFE38" w14:textId="745DA56C" w:rsidR="00535E61" w:rsidRPr="0058639F" w:rsidRDefault="001A6A90" w:rsidP="001A6A9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39F">
              <w:rPr>
                <w:rFonts w:ascii="Arial" w:hAnsi="Arial" w:cs="Arial"/>
                <w:sz w:val="20"/>
                <w:szCs w:val="20"/>
              </w:rPr>
              <w:t>$587.31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547B2A4" w14:textId="2FA50EE7" w:rsidR="00535E61" w:rsidRPr="0058639F" w:rsidRDefault="00BD0FE8" w:rsidP="00BD0FE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39F">
              <w:rPr>
                <w:rFonts w:ascii="Arial" w:hAnsi="Arial" w:cs="Arial"/>
                <w:sz w:val="20"/>
                <w:szCs w:val="20"/>
              </w:rPr>
              <w:t>$184,603.55</w:t>
            </w:r>
          </w:p>
        </w:tc>
      </w:tr>
      <w:tr w:rsidR="00535E61" w:rsidRPr="0051106D" w14:paraId="2E26F29D" w14:textId="77777777" w:rsidTr="00187C25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42E5CDC" w14:textId="6B5F31D3" w:rsidR="00535E61" w:rsidRPr="002B761E" w:rsidRDefault="00181E4C" w:rsidP="002B76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B761E" w:rsidRPr="007D073D">
              <w:rPr>
                <w:rFonts w:ascii="Arial" w:hAnsi="Arial" w:cs="Arial"/>
                <w:sz w:val="18"/>
                <w:szCs w:val="18"/>
              </w:rPr>
              <w:t>1B) Falta de documentación comprobatoria de las erogaciones o que no reúne requisitos fiscales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1AD3020" w14:textId="138BEACB" w:rsidR="00535E61" w:rsidRPr="002B761E" w:rsidRDefault="0097059C" w:rsidP="0097059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1,796,221.00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C1C0B0C" w14:textId="33CAFBA5" w:rsidR="00535E61" w:rsidRPr="002B761E" w:rsidRDefault="0097059C" w:rsidP="0097059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1,476,866.00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AE0B9E1" w14:textId="250FF69E" w:rsidR="00535E61" w:rsidRPr="002B761E" w:rsidRDefault="00535E61" w:rsidP="00187C2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61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A47C394" w14:textId="1BE73729" w:rsidR="00535E61" w:rsidRPr="002B761E" w:rsidRDefault="0097059C" w:rsidP="0097059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319,355.00</w:t>
            </w:r>
          </w:p>
        </w:tc>
      </w:tr>
      <w:tr w:rsidR="00535E61" w:rsidRPr="009658B6" w14:paraId="20D36FFC" w14:textId="77777777" w:rsidTr="00991258">
        <w:trPr>
          <w:gridAfter w:val="1"/>
          <w:wAfter w:w="8" w:type="dxa"/>
          <w:trHeight w:val="292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01F8B08" w14:textId="77777777" w:rsidR="00535E61" w:rsidRPr="002B761E" w:rsidRDefault="00535E61" w:rsidP="00187C2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B761E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152596FD" w14:textId="2DC38828" w:rsidR="00535E61" w:rsidRPr="002B761E" w:rsidRDefault="0058639F" w:rsidP="0058639F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</w:t>
            </w:r>
            <w:r w:rsidR="00AA7445">
              <w:rPr>
                <w:rFonts w:ascii="Arial" w:hAnsi="Arial" w:cs="Arial"/>
                <w:b/>
                <w:sz w:val="20"/>
                <w:szCs w:val="20"/>
              </w:rPr>
              <w:t>,982</w:t>
            </w:r>
            <w:r w:rsidR="00DE27FF">
              <w:rPr>
                <w:rFonts w:ascii="Arial" w:hAnsi="Arial" w:cs="Arial"/>
                <w:b/>
                <w:sz w:val="20"/>
                <w:szCs w:val="20"/>
              </w:rPr>
              <w:t>,253.86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5E1E1CA8" w14:textId="212E902C" w:rsidR="00535E61" w:rsidRPr="002B761E" w:rsidRDefault="00535E61" w:rsidP="00DE27F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61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8639F">
              <w:rPr>
                <w:rFonts w:ascii="Arial" w:hAnsi="Arial" w:cs="Arial"/>
                <w:b/>
                <w:sz w:val="20"/>
                <w:szCs w:val="20"/>
              </w:rPr>
              <w:t>1,477,708.00</w:t>
            </w:r>
            <w:r w:rsidRPr="002B76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443E5470" w14:textId="6719A928" w:rsidR="00535E61" w:rsidRPr="002B761E" w:rsidRDefault="00535E61" w:rsidP="005863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61E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58639F">
              <w:rPr>
                <w:rFonts w:ascii="Arial" w:hAnsi="Arial" w:cs="Arial"/>
                <w:b/>
                <w:sz w:val="20"/>
                <w:szCs w:val="20"/>
              </w:rPr>
              <w:t>587.31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263A2CBF" w14:textId="3B014FA6" w:rsidR="00535E61" w:rsidRPr="002B761E" w:rsidRDefault="00535E61" w:rsidP="00DE27F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761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8639F">
              <w:rPr>
                <w:rFonts w:ascii="Arial" w:hAnsi="Arial" w:cs="Arial"/>
                <w:b/>
                <w:sz w:val="20"/>
                <w:szCs w:val="20"/>
              </w:rPr>
              <w:t>503,958.55</w:t>
            </w:r>
            <w:r w:rsidRPr="002B76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6A7BCCCB" w14:textId="77777777" w:rsidR="00535E61" w:rsidRPr="00321730" w:rsidRDefault="00535E61" w:rsidP="00535E61">
      <w:pPr>
        <w:tabs>
          <w:tab w:val="left" w:pos="426"/>
        </w:tabs>
        <w:spacing w:line="360" w:lineRule="auto"/>
        <w:rPr>
          <w:rFonts w:ascii="Arial" w:hAnsi="Arial" w:cs="Arial"/>
          <w:szCs w:val="32"/>
          <w:highlight w:val="yellow"/>
        </w:rPr>
      </w:pPr>
    </w:p>
    <w:p w14:paraId="1DD3E78B" w14:textId="6061F4E0" w:rsidR="00535E61" w:rsidRDefault="00535E61" w:rsidP="00535E61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 la entidad fiscalizada presentó en reunión de trabajo efectuada</w:t>
      </w:r>
      <w:r w:rsidRPr="00A32862">
        <w:rPr>
          <w:rFonts w:ascii="Arial" w:hAnsi="Arial" w:cs="Arial"/>
          <w:szCs w:val="28"/>
        </w:rPr>
        <w:t>,</w:t>
      </w:r>
      <w:r w:rsidRPr="00845B1A">
        <w:rPr>
          <w:rFonts w:ascii="Arial" w:hAnsi="Arial" w:cs="Arial"/>
          <w:szCs w:val="28"/>
        </w:rPr>
        <w:t xml:space="preserve"> las justificaciones y aclaraciones relacionadas con los conceptos observados de los resultados de auditoría en materia financiera, las cuales se detallan a continuación:</w:t>
      </w:r>
    </w:p>
    <w:p w14:paraId="1841A2B5" w14:textId="58F866F1" w:rsidR="003D5A8B" w:rsidRDefault="003D5A8B" w:rsidP="00535E61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tbl>
      <w:tblPr>
        <w:tblStyle w:val="Tablaconcuadrcula"/>
        <w:tblW w:w="4824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36"/>
        <w:gridCol w:w="2410"/>
        <w:gridCol w:w="1692"/>
      </w:tblGrid>
      <w:tr w:rsidR="00336056" w:rsidRPr="00C75133" w14:paraId="6F55351F" w14:textId="77777777" w:rsidTr="003554C3">
        <w:trPr>
          <w:trHeight w:val="553"/>
          <w:tblHeader/>
          <w:jc w:val="center"/>
        </w:trPr>
        <w:tc>
          <w:tcPr>
            <w:tcW w:w="968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0CECE" w:themeFill="background2" w:themeFillShade="E6"/>
            <w:vAlign w:val="center"/>
          </w:tcPr>
          <w:p w14:paraId="39F29C8A" w14:textId="77777777" w:rsidR="00336056" w:rsidRPr="00C75133" w:rsidRDefault="00336056" w:rsidP="003360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133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838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0CECE" w:themeFill="background2" w:themeFillShade="E6"/>
            <w:vAlign w:val="center"/>
          </w:tcPr>
          <w:p w14:paraId="2B6C2B48" w14:textId="4961CBD0" w:rsidR="00336056" w:rsidRPr="00C75133" w:rsidRDefault="00336056" w:rsidP="003360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0C5">
              <w:rPr>
                <w:rFonts w:ascii="Arial" w:hAnsi="Arial" w:cs="Arial"/>
                <w:b/>
                <w:sz w:val="18"/>
                <w:szCs w:val="18"/>
              </w:rPr>
              <w:t>Concepto de la Observación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0CECE" w:themeFill="background2" w:themeFillShade="E6"/>
          </w:tcPr>
          <w:p w14:paraId="6FC53821" w14:textId="475A4248" w:rsidR="00336056" w:rsidRPr="00C75133" w:rsidRDefault="00336056" w:rsidP="003360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Síntesis de Justificaciones y Aclaraciones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0CECE" w:themeFill="background2" w:themeFillShade="E6"/>
            <w:vAlign w:val="center"/>
          </w:tcPr>
          <w:p w14:paraId="5B4294EE" w14:textId="77777777" w:rsidR="00336056" w:rsidRDefault="00336056" w:rsidP="0033605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0C5">
              <w:rPr>
                <w:rFonts w:ascii="Arial" w:hAnsi="Arial" w:cs="Arial"/>
                <w:b/>
                <w:sz w:val="18"/>
                <w:szCs w:val="18"/>
              </w:rPr>
              <w:t>Acción Promovida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3B8B7005" w14:textId="2458484D" w:rsidR="00336056" w:rsidRPr="00C75133" w:rsidRDefault="00336056" w:rsidP="003360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Recomendación</w:t>
            </w:r>
          </w:p>
        </w:tc>
      </w:tr>
      <w:tr w:rsidR="00680B4C" w:rsidRPr="002349AF" w14:paraId="1B9EE31D" w14:textId="77777777" w:rsidTr="0011139E">
        <w:trPr>
          <w:trHeight w:val="724"/>
          <w:jc w:val="center"/>
        </w:trPr>
        <w:tc>
          <w:tcPr>
            <w:tcW w:w="9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D7994" w14:textId="77777777" w:rsidR="00680B4C" w:rsidRPr="00AE3682" w:rsidRDefault="00680B4C" w:rsidP="00680B4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6C2713BC" w14:textId="649DF27D" w:rsidR="00680B4C" w:rsidRPr="00F152AF" w:rsidRDefault="00680B4C" w:rsidP="00680B4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Observación: 1</w:t>
            </w:r>
          </w:p>
        </w:tc>
        <w:tc>
          <w:tcPr>
            <w:tcW w:w="18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D1453" w14:textId="6D69DA7E" w:rsidR="00680B4C" w:rsidRPr="00E01E62" w:rsidRDefault="00680B4C" w:rsidP="00680B4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  <w:lang w:eastAsia="es-MX"/>
              </w:rPr>
              <w:t>Falta de recuperación de anticipos a proveedores, títulos de crédito, garantías, seguros o adeudos</w:t>
            </w:r>
          </w:p>
        </w:tc>
        <w:tc>
          <w:tcPr>
            <w:tcW w:w="12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7185E7" w14:textId="7DBC5557" w:rsidR="00680B4C" w:rsidRPr="00680B4C" w:rsidRDefault="00680B4C" w:rsidP="0011139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80B4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Argumentación y justificación no satisfactoria</w:t>
            </w:r>
          </w:p>
        </w:tc>
        <w:tc>
          <w:tcPr>
            <w:tcW w:w="9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AA8E9" w14:textId="33E59CB7" w:rsidR="00680B4C" w:rsidRPr="00E01E62" w:rsidRDefault="00680B4C" w:rsidP="00680B4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Recomendación</w:t>
            </w:r>
          </w:p>
        </w:tc>
      </w:tr>
      <w:tr w:rsidR="00680B4C" w:rsidRPr="002349AF" w14:paraId="23606F01" w14:textId="77777777" w:rsidTr="0011139E">
        <w:trPr>
          <w:trHeight w:val="595"/>
          <w:jc w:val="center"/>
        </w:trPr>
        <w:tc>
          <w:tcPr>
            <w:tcW w:w="9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E17A55" w14:textId="77777777" w:rsidR="00680B4C" w:rsidRPr="00AE3682" w:rsidRDefault="00680B4C" w:rsidP="00680B4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560F9136" w14:textId="751EF740" w:rsidR="00680B4C" w:rsidRPr="00F152AF" w:rsidRDefault="00680B4C" w:rsidP="00680B4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Observación: 2</w:t>
            </w:r>
          </w:p>
        </w:tc>
        <w:tc>
          <w:tcPr>
            <w:tcW w:w="18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42B742" w14:textId="30B4B5B8" w:rsidR="00680B4C" w:rsidRPr="00E01E62" w:rsidRDefault="00680B4C" w:rsidP="00680B4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Operaciones o bienes no registrados o registrados errónea o extemporáneamente</w:t>
            </w:r>
          </w:p>
        </w:tc>
        <w:tc>
          <w:tcPr>
            <w:tcW w:w="12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7D355E" w14:textId="0165A40E" w:rsidR="00680B4C" w:rsidRPr="00680B4C" w:rsidRDefault="00680B4C" w:rsidP="0011139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80B4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Argumentación y justificación no satisfactoria</w:t>
            </w:r>
          </w:p>
        </w:tc>
        <w:tc>
          <w:tcPr>
            <w:tcW w:w="9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5418B" w14:textId="1C3EC06E" w:rsidR="00680B4C" w:rsidRPr="00E01E62" w:rsidRDefault="00680B4C" w:rsidP="00680B4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Recomendación</w:t>
            </w:r>
          </w:p>
        </w:tc>
      </w:tr>
      <w:tr w:rsidR="000F5AD2" w:rsidRPr="002349AF" w14:paraId="2C19D013" w14:textId="77777777" w:rsidTr="0011139E">
        <w:trPr>
          <w:trHeight w:val="977"/>
          <w:jc w:val="center"/>
        </w:trPr>
        <w:tc>
          <w:tcPr>
            <w:tcW w:w="9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8D5C21" w14:textId="77777777" w:rsidR="000F5AD2" w:rsidRPr="00AE3682" w:rsidRDefault="000F5AD2" w:rsidP="000F5AD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2227F53A" w14:textId="35144E88" w:rsidR="000F5AD2" w:rsidRPr="00F14CE9" w:rsidRDefault="000F5AD2" w:rsidP="000F5A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Observación: 3</w:t>
            </w:r>
          </w:p>
        </w:tc>
        <w:tc>
          <w:tcPr>
            <w:tcW w:w="18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76EAF" w14:textId="6458D76D" w:rsidR="000F5AD2" w:rsidRPr="00E01E62" w:rsidRDefault="000F5AD2" w:rsidP="000F5A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  <w:lang w:eastAsia="es-MX"/>
              </w:rPr>
              <w:t>Falta de recuperación de anticipos a proveedores, títulos de crédito, garantías, seguros o adeudos</w:t>
            </w:r>
          </w:p>
        </w:tc>
        <w:tc>
          <w:tcPr>
            <w:tcW w:w="12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5E2DC1" w14:textId="6BD32B16" w:rsidR="000F5AD2" w:rsidRPr="00680B4C" w:rsidRDefault="00680B4C" w:rsidP="0011139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80B4C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Argumentación y justificación no satisfactoria</w:t>
            </w:r>
          </w:p>
        </w:tc>
        <w:tc>
          <w:tcPr>
            <w:tcW w:w="9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0E1A76" w14:textId="7908DC8D" w:rsidR="000F5AD2" w:rsidRPr="00E01E62" w:rsidRDefault="000F5AD2" w:rsidP="000F5AD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Pliego de observaciones </w:t>
            </w:r>
          </w:p>
        </w:tc>
      </w:tr>
      <w:tr w:rsidR="000F5AD2" w:rsidRPr="002349AF" w14:paraId="00F97C0B" w14:textId="77777777" w:rsidTr="0011139E">
        <w:trPr>
          <w:trHeight w:val="864"/>
          <w:jc w:val="center"/>
        </w:trPr>
        <w:tc>
          <w:tcPr>
            <w:tcW w:w="9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6F3B33" w14:textId="77777777" w:rsidR="000F5AD2" w:rsidRPr="00AE3682" w:rsidRDefault="000F5AD2" w:rsidP="000F5AD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1FDBAA34" w14:textId="063EE02F" w:rsidR="000F5AD2" w:rsidRPr="00F14CE9" w:rsidRDefault="000F5AD2" w:rsidP="000F5A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Observación: 4</w:t>
            </w:r>
          </w:p>
        </w:tc>
        <w:tc>
          <w:tcPr>
            <w:tcW w:w="18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1D45C3" w14:textId="3E4F1784" w:rsidR="000F5AD2" w:rsidRPr="00E01E62" w:rsidRDefault="000F5AD2" w:rsidP="000F5A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12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A1E83" w14:textId="7FB1E94C" w:rsidR="000F5AD2" w:rsidRPr="00E01E62" w:rsidRDefault="000F5AD2" w:rsidP="0011139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01E62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4144CF" w14:textId="77777777" w:rsidR="000F5AD2" w:rsidRPr="00E01E62" w:rsidRDefault="000F5AD2" w:rsidP="000F5AD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1E62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0F5AD2" w:rsidRPr="002349AF" w14:paraId="1FD0E083" w14:textId="77777777" w:rsidTr="0011139E">
        <w:trPr>
          <w:trHeight w:val="1031"/>
          <w:jc w:val="center"/>
        </w:trPr>
        <w:tc>
          <w:tcPr>
            <w:tcW w:w="9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484EC" w14:textId="77777777" w:rsidR="000F5AD2" w:rsidRPr="00AE3682" w:rsidRDefault="000F5AD2" w:rsidP="000F5AD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06CEDD98" w14:textId="66DC2ABF" w:rsidR="000F5AD2" w:rsidRPr="00EC28D2" w:rsidRDefault="000F5AD2" w:rsidP="000F5A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Observación: 5</w:t>
            </w:r>
          </w:p>
        </w:tc>
        <w:tc>
          <w:tcPr>
            <w:tcW w:w="18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17C498" w14:textId="3BB9A191" w:rsidR="000F5AD2" w:rsidRPr="00E01E62" w:rsidRDefault="000F5AD2" w:rsidP="000F5A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  <w:lang w:eastAsia="es-MX"/>
              </w:rPr>
              <w:t>Falta de documentación comprobatoria de las erogaciones o que no reúne los requisitos fiscales</w:t>
            </w:r>
          </w:p>
        </w:tc>
        <w:tc>
          <w:tcPr>
            <w:tcW w:w="12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DDD3C9" w14:textId="70FE522E" w:rsidR="000F5AD2" w:rsidRPr="00E01E62" w:rsidRDefault="00680B4C" w:rsidP="0011139E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01E62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129451" w14:textId="79045790" w:rsidR="000F5AD2" w:rsidRPr="00E01E62" w:rsidRDefault="003B162D" w:rsidP="003B162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0F5AD2" w:rsidRPr="002349AF" w14:paraId="2C3CB0EB" w14:textId="77777777" w:rsidTr="0011139E">
        <w:trPr>
          <w:trHeight w:val="1031"/>
          <w:jc w:val="center"/>
        </w:trPr>
        <w:tc>
          <w:tcPr>
            <w:tcW w:w="9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84BD7F" w14:textId="77777777" w:rsidR="000F5AD2" w:rsidRPr="00AE3682" w:rsidRDefault="000F5AD2" w:rsidP="000F5AD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15D9FBAD" w14:textId="04667B3F" w:rsidR="000F5AD2" w:rsidRPr="006A348E" w:rsidRDefault="000F5AD2" w:rsidP="000F5A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Observación: 6</w:t>
            </w:r>
          </w:p>
        </w:tc>
        <w:tc>
          <w:tcPr>
            <w:tcW w:w="18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034417" w14:textId="67FB7892" w:rsidR="000F5AD2" w:rsidRPr="00E01E62" w:rsidRDefault="000F5AD2" w:rsidP="000F5A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  <w:lang w:eastAsia="es-MX"/>
              </w:rPr>
              <w:t>Falta de documentación comprobatoria de las erogaciones o que no reúne los requisitos fiscales</w:t>
            </w:r>
          </w:p>
        </w:tc>
        <w:tc>
          <w:tcPr>
            <w:tcW w:w="12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57CCF2" w14:textId="2B465A7B" w:rsidR="000F5AD2" w:rsidRPr="00E01E62" w:rsidRDefault="00680B4C" w:rsidP="0011139E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01E62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E284B" w14:textId="30756E9E" w:rsidR="000F5AD2" w:rsidRPr="00E01E62" w:rsidRDefault="003B162D" w:rsidP="003B162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Pliego de observaciones</w:t>
            </w:r>
          </w:p>
        </w:tc>
      </w:tr>
      <w:tr w:rsidR="000F5AD2" w:rsidRPr="002349AF" w14:paraId="1165C2F4" w14:textId="77777777" w:rsidTr="0011139E">
        <w:trPr>
          <w:trHeight w:val="1031"/>
          <w:jc w:val="center"/>
        </w:trPr>
        <w:tc>
          <w:tcPr>
            <w:tcW w:w="9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56020" w14:textId="77777777" w:rsidR="000F5AD2" w:rsidRPr="00AE3682" w:rsidRDefault="000F5AD2" w:rsidP="000F5AD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Resultado: 3</w:t>
            </w:r>
          </w:p>
          <w:p w14:paraId="77C404FE" w14:textId="183577E8" w:rsidR="000F5AD2" w:rsidRPr="006A348E" w:rsidRDefault="000F5AD2" w:rsidP="000F5A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Observación: 7</w:t>
            </w:r>
          </w:p>
        </w:tc>
        <w:tc>
          <w:tcPr>
            <w:tcW w:w="18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00812E" w14:textId="37A120C8" w:rsidR="000F5AD2" w:rsidRPr="00E01E62" w:rsidRDefault="000F5AD2" w:rsidP="000F5A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AE3682">
              <w:rPr>
                <w:rFonts w:ascii="Arial" w:hAnsi="Arial" w:cs="Arial"/>
                <w:sz w:val="18"/>
                <w:szCs w:val="18"/>
                <w:lang w:eastAsia="es-MX"/>
              </w:rPr>
              <w:t>Falta de documentación comprobatoria de las erogaciones o que no reúne los requisitos fiscales</w:t>
            </w:r>
            <w:r w:rsidRPr="00AE3682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2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6893C2" w14:textId="08155C17" w:rsidR="000F5AD2" w:rsidRPr="00E01E62" w:rsidRDefault="000F5AD2" w:rsidP="0011139E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1E62">
              <w:rPr>
                <w:rFonts w:ascii="Arial" w:hAnsi="Arial" w:cs="Arial"/>
                <w:sz w:val="18"/>
                <w:szCs w:val="18"/>
              </w:rPr>
              <w:t>Presentó documentación soporte y justificación en la reunión de trabajo</w:t>
            </w:r>
          </w:p>
        </w:tc>
        <w:tc>
          <w:tcPr>
            <w:tcW w:w="9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F94F58" w14:textId="77777777" w:rsidR="000F5AD2" w:rsidRPr="00E01E62" w:rsidRDefault="000F5AD2" w:rsidP="000F5AD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1E62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0F5AD2" w:rsidRPr="002349AF" w14:paraId="005B3521" w14:textId="77777777" w:rsidTr="0011139E">
        <w:trPr>
          <w:trHeight w:val="1031"/>
          <w:jc w:val="center"/>
        </w:trPr>
        <w:tc>
          <w:tcPr>
            <w:tcW w:w="96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635419" w14:textId="77777777" w:rsidR="000F5AD2" w:rsidRPr="00AE3682" w:rsidRDefault="000F5AD2" w:rsidP="000F5AD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Resultado: 4</w:t>
            </w:r>
          </w:p>
          <w:p w14:paraId="5719896F" w14:textId="5F9E1A39" w:rsidR="000F5AD2" w:rsidRPr="006A348E" w:rsidRDefault="000F5AD2" w:rsidP="000F5A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AE3682">
              <w:rPr>
                <w:rFonts w:ascii="Arial" w:hAnsi="Arial" w:cs="Arial"/>
                <w:sz w:val="18"/>
                <w:szCs w:val="18"/>
              </w:rPr>
              <w:t>Observación: 8</w:t>
            </w:r>
          </w:p>
        </w:tc>
        <w:tc>
          <w:tcPr>
            <w:tcW w:w="18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BA5446" w14:textId="5B7C7397" w:rsidR="000F5AD2" w:rsidRPr="00E01E62" w:rsidRDefault="000F5AD2" w:rsidP="000F5A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7A0D17">
              <w:rPr>
                <w:rFonts w:ascii="Arial" w:hAnsi="Arial" w:cs="Arial"/>
                <w:sz w:val="18"/>
                <w:szCs w:val="18"/>
                <w:lang w:eastAsia="es-MX"/>
              </w:rPr>
              <w:t>Omisión, error o presentación extemporánea de retenciones o entero de impuestos, cuotas, derechos o cualquier otra obligación fiscal</w:t>
            </w:r>
          </w:p>
        </w:tc>
        <w:tc>
          <w:tcPr>
            <w:tcW w:w="12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3FB8F3" w14:textId="367A8F36" w:rsidR="000F5AD2" w:rsidRPr="00E01E62" w:rsidRDefault="000F5AD2" w:rsidP="0011139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01E62">
              <w:rPr>
                <w:rFonts w:ascii="Arial" w:hAnsi="Arial" w:cs="Arial"/>
                <w:sz w:val="18"/>
                <w:szCs w:val="18"/>
              </w:rPr>
              <w:t>Argumentación y justificación no satisfactoria</w:t>
            </w:r>
          </w:p>
        </w:tc>
        <w:tc>
          <w:tcPr>
            <w:tcW w:w="90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A732F8" w14:textId="77777777" w:rsidR="000F5AD2" w:rsidRPr="00E01E62" w:rsidRDefault="000F5AD2" w:rsidP="000F5AD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1E62">
              <w:rPr>
                <w:rFonts w:ascii="Arial" w:hAnsi="Arial" w:cs="Arial"/>
                <w:sz w:val="18"/>
                <w:szCs w:val="18"/>
              </w:rPr>
              <w:t>Recomendación</w:t>
            </w:r>
          </w:p>
        </w:tc>
      </w:tr>
    </w:tbl>
    <w:p w14:paraId="07E56C98" w14:textId="77777777" w:rsidR="006C01FF" w:rsidRPr="00E20724" w:rsidRDefault="006C01FF" w:rsidP="00D730EA">
      <w:pPr>
        <w:spacing w:line="360" w:lineRule="auto"/>
        <w:ind w:right="49"/>
        <w:jc w:val="both"/>
        <w:rPr>
          <w:rFonts w:ascii="Arial" w:hAnsi="Arial" w:cs="Arial"/>
          <w:sz w:val="28"/>
        </w:rPr>
      </w:pPr>
    </w:p>
    <w:p w14:paraId="63C331E3" w14:textId="7E08D4F1" w:rsidR="00D253A9" w:rsidRPr="00336056" w:rsidRDefault="00841DB3" w:rsidP="00D730EA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  <w:b/>
        </w:rPr>
      </w:pPr>
      <w:r w:rsidRPr="00336056">
        <w:rPr>
          <w:rFonts w:ascii="Arial" w:hAnsi="Arial" w:cs="Arial"/>
          <w:b/>
        </w:rPr>
        <w:t>I</w:t>
      </w:r>
      <w:r w:rsidR="00D253A9" w:rsidRPr="00336056">
        <w:rPr>
          <w:rFonts w:ascii="Arial" w:hAnsi="Arial" w:cs="Arial"/>
          <w:b/>
        </w:rPr>
        <w:t>II. DICTAMEN DE</w:t>
      </w:r>
      <w:r w:rsidR="00A84761" w:rsidRPr="00336056">
        <w:rPr>
          <w:rFonts w:ascii="Arial" w:hAnsi="Arial" w:cs="Arial"/>
          <w:b/>
        </w:rPr>
        <w:t xml:space="preserve"> </w:t>
      </w:r>
      <w:r w:rsidR="00D253A9" w:rsidRPr="00336056">
        <w:rPr>
          <w:rFonts w:ascii="Arial" w:hAnsi="Arial" w:cs="Arial"/>
          <w:b/>
        </w:rPr>
        <w:t>L</w:t>
      </w:r>
      <w:r w:rsidR="00A84761" w:rsidRPr="00336056">
        <w:rPr>
          <w:rFonts w:ascii="Arial" w:hAnsi="Arial" w:cs="Arial"/>
          <w:b/>
        </w:rPr>
        <w:t>OS</w:t>
      </w:r>
      <w:r w:rsidR="00D253A9" w:rsidRPr="00336056">
        <w:rPr>
          <w:rFonts w:ascii="Arial" w:hAnsi="Arial" w:cs="Arial"/>
          <w:b/>
        </w:rPr>
        <w:t xml:space="preserve"> INFORME</w:t>
      </w:r>
      <w:r w:rsidR="00A84761" w:rsidRPr="00336056">
        <w:rPr>
          <w:rFonts w:ascii="Arial" w:hAnsi="Arial" w:cs="Arial"/>
          <w:b/>
        </w:rPr>
        <w:t>S</w:t>
      </w:r>
      <w:r w:rsidR="00D253A9" w:rsidRPr="00336056">
        <w:rPr>
          <w:rFonts w:ascii="Arial" w:hAnsi="Arial" w:cs="Arial"/>
          <w:b/>
        </w:rPr>
        <w:t xml:space="preserve"> INDIVIDUAL</w:t>
      </w:r>
      <w:r w:rsidR="00A84761" w:rsidRPr="00336056">
        <w:rPr>
          <w:rFonts w:ascii="Arial" w:hAnsi="Arial" w:cs="Arial"/>
          <w:b/>
        </w:rPr>
        <w:t>ES</w:t>
      </w:r>
      <w:r w:rsidR="00D253A9" w:rsidRPr="00336056">
        <w:rPr>
          <w:rFonts w:ascii="Arial" w:hAnsi="Arial" w:cs="Arial"/>
          <w:b/>
        </w:rPr>
        <w:t xml:space="preserve"> DE AUDITORÍA</w:t>
      </w:r>
    </w:p>
    <w:p w14:paraId="525DC800" w14:textId="77777777" w:rsidR="00D253A9" w:rsidRPr="00336056" w:rsidRDefault="00D253A9" w:rsidP="00D730EA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  <w:b/>
        </w:rPr>
      </w:pPr>
    </w:p>
    <w:p w14:paraId="72CE8F79" w14:textId="0ED21D4F" w:rsidR="00D253A9" w:rsidRPr="00336056" w:rsidRDefault="00D253A9" w:rsidP="00D730EA">
      <w:pPr>
        <w:spacing w:line="360" w:lineRule="auto"/>
        <w:ind w:right="49"/>
        <w:jc w:val="both"/>
        <w:rPr>
          <w:rFonts w:ascii="Arial" w:hAnsi="Arial" w:cs="Arial"/>
        </w:rPr>
      </w:pPr>
      <w:r w:rsidRPr="00336056">
        <w:rPr>
          <w:rFonts w:ascii="Arial" w:hAnsi="Arial" w:cs="Arial"/>
        </w:rPr>
        <w:t xml:space="preserve">El presente dictamen se emite </w:t>
      </w:r>
      <w:r w:rsidR="00B859A7" w:rsidRPr="00336056">
        <w:rPr>
          <w:rFonts w:ascii="Arial" w:hAnsi="Arial" w:cs="Arial"/>
        </w:rPr>
        <w:t xml:space="preserve">el </w:t>
      </w:r>
      <w:r w:rsidR="00781F51" w:rsidRPr="00336056">
        <w:rPr>
          <w:rFonts w:ascii="Arial" w:hAnsi="Arial" w:cs="Arial"/>
        </w:rPr>
        <w:t>13</w:t>
      </w:r>
      <w:r w:rsidR="008A50B9" w:rsidRPr="00336056">
        <w:rPr>
          <w:rFonts w:ascii="Arial" w:hAnsi="Arial" w:cs="Arial"/>
        </w:rPr>
        <w:t xml:space="preserve"> de octubre de </w:t>
      </w:r>
      <w:r w:rsidRPr="00336056">
        <w:rPr>
          <w:rFonts w:ascii="Arial" w:hAnsi="Arial" w:cs="Arial"/>
        </w:rPr>
        <w:t xml:space="preserve">2020,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A84761" w:rsidRPr="00336056">
        <w:rPr>
          <w:rFonts w:ascii="Arial" w:hAnsi="Arial" w:cs="Arial"/>
        </w:rPr>
        <w:t>2019</w:t>
      </w:r>
      <w:r w:rsidRPr="00336056">
        <w:rPr>
          <w:rFonts w:ascii="Arial" w:hAnsi="Arial" w:cs="Arial"/>
        </w:rPr>
        <w:t xml:space="preserve">, formulados, integrados y presentados por el </w:t>
      </w:r>
      <w:r w:rsidRPr="00336056">
        <w:rPr>
          <w:rFonts w:ascii="Arial" w:hAnsi="Arial" w:cs="Arial"/>
          <w:b/>
          <w:bCs/>
        </w:rPr>
        <w:t>Instituto Estatal para la Educación de Jóvenes y Adultos.</w:t>
      </w:r>
    </w:p>
    <w:p w14:paraId="79630F3D" w14:textId="77777777" w:rsidR="00D253A9" w:rsidRPr="00336056" w:rsidRDefault="00D253A9" w:rsidP="00D730EA">
      <w:pPr>
        <w:spacing w:line="360" w:lineRule="auto"/>
        <w:ind w:right="49"/>
        <w:jc w:val="both"/>
        <w:rPr>
          <w:rFonts w:ascii="Arial" w:hAnsi="Arial" w:cs="Arial"/>
        </w:rPr>
      </w:pPr>
    </w:p>
    <w:p w14:paraId="684C81C8" w14:textId="77777777" w:rsidR="00D253A9" w:rsidRPr="00336056" w:rsidRDefault="00D253A9" w:rsidP="00D730EA">
      <w:pPr>
        <w:spacing w:line="360" w:lineRule="auto"/>
        <w:ind w:right="49"/>
        <w:jc w:val="both"/>
        <w:rPr>
          <w:rFonts w:ascii="Arial" w:hAnsi="Arial" w:cs="Arial"/>
        </w:rPr>
      </w:pPr>
      <w:r w:rsidRPr="00336056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5A1BC1C7" w14:textId="77777777" w:rsidR="00D253A9" w:rsidRPr="00336056" w:rsidRDefault="00D253A9" w:rsidP="00D730EA">
      <w:pPr>
        <w:spacing w:line="360" w:lineRule="auto"/>
        <w:ind w:right="49"/>
        <w:jc w:val="both"/>
        <w:rPr>
          <w:rFonts w:ascii="Arial" w:hAnsi="Arial" w:cs="Arial"/>
        </w:rPr>
      </w:pPr>
    </w:p>
    <w:p w14:paraId="75E5CD40" w14:textId="246AA526" w:rsidR="00D253A9" w:rsidRPr="00336056" w:rsidRDefault="00D253A9" w:rsidP="00D730EA">
      <w:pPr>
        <w:spacing w:line="360" w:lineRule="auto"/>
        <w:ind w:right="49"/>
        <w:jc w:val="both"/>
        <w:rPr>
          <w:rFonts w:ascii="Arial" w:hAnsi="Arial" w:cs="Arial"/>
        </w:rPr>
      </w:pPr>
      <w:r w:rsidRPr="00336056">
        <w:rPr>
          <w:rFonts w:ascii="Arial" w:hAnsi="Arial" w:cs="Arial"/>
        </w:rPr>
        <w:t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</w:t>
      </w:r>
      <w:r w:rsidRPr="00E024A3">
        <w:rPr>
          <w:rFonts w:ascii="Arial" w:hAnsi="Arial" w:cs="Arial"/>
        </w:rPr>
        <w:t xml:space="preserve"> de la auditoría con base en la información financiera de la Cuenta Pública presentada por la entidad fiscalizada y de cuya veracidad es responsable, no presenta errores u omisiones importantes y que están preparados con base </w:t>
      </w:r>
      <w:r w:rsidRPr="00436F16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Gubernamental. </w:t>
      </w:r>
      <w:r w:rsidR="00246449" w:rsidRPr="00246449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</w:t>
      </w:r>
      <w:r w:rsidR="00246449">
        <w:rPr>
          <w:rFonts w:ascii="Arial" w:hAnsi="Arial" w:cs="Arial"/>
        </w:rPr>
        <w:t xml:space="preserve"> encargo de auditorí</w:t>
      </w:r>
      <w:r w:rsidR="00246449" w:rsidRPr="00246449">
        <w:rPr>
          <w:rFonts w:ascii="Arial" w:hAnsi="Arial" w:cs="Arial"/>
        </w:rPr>
        <w:t>a, incluida la evaluación de los riesgos de irregularidad financiera y la materialidad en los estados contables y presupuestarios.</w:t>
      </w:r>
      <w:r w:rsidRPr="00E024A3">
        <w:rPr>
          <w:rFonts w:ascii="Arial" w:hAnsi="Arial" w:cs="Arial"/>
        </w:rPr>
        <w:t xml:space="preserve">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E024A3">
        <w:rPr>
          <w:rFonts w:ascii="Arial" w:hAnsi="Arial" w:cs="Arial"/>
        </w:rPr>
        <w:t>y</w:t>
      </w:r>
      <w:proofErr w:type="gramEnd"/>
      <w:r w:rsidRPr="00E024A3">
        <w:rPr>
          <w:rFonts w:ascii="Arial" w:hAnsi="Arial" w:cs="Arial"/>
        </w:rPr>
        <w:t xml:space="preserve"> en consecuencia, se considera que la evidencia obtenida de la </w:t>
      </w:r>
      <w:r w:rsidRPr="00336056">
        <w:rPr>
          <w:rFonts w:ascii="Arial" w:hAnsi="Arial" w:cs="Arial"/>
        </w:rPr>
        <w:t>fiscalización proporciona una base suficiente y adecuada para emitir el siguiente dictamen de auditoría que se refiere a la muestra de los rubros revisados:</w:t>
      </w:r>
    </w:p>
    <w:p w14:paraId="0C0007EA" w14:textId="77777777" w:rsidR="00D253A9" w:rsidRPr="00336056" w:rsidRDefault="00D253A9" w:rsidP="00D730EA">
      <w:pPr>
        <w:spacing w:line="360" w:lineRule="auto"/>
        <w:ind w:right="49"/>
        <w:jc w:val="both"/>
        <w:rPr>
          <w:rFonts w:ascii="Arial" w:hAnsi="Arial" w:cs="Arial"/>
        </w:rPr>
      </w:pPr>
    </w:p>
    <w:p w14:paraId="783C52A1" w14:textId="5995FFC8" w:rsidR="00D253A9" w:rsidRPr="00336056" w:rsidRDefault="00D253A9" w:rsidP="00D730EA">
      <w:pPr>
        <w:spacing w:line="360" w:lineRule="auto"/>
        <w:ind w:right="49"/>
        <w:jc w:val="both"/>
        <w:rPr>
          <w:rFonts w:ascii="Arial" w:hAnsi="Arial" w:cs="Arial"/>
        </w:rPr>
      </w:pPr>
      <w:r w:rsidRPr="00336056">
        <w:rPr>
          <w:rFonts w:ascii="Arial" w:hAnsi="Arial" w:cs="Arial"/>
        </w:rPr>
        <w:t xml:space="preserve">Con base en los resultados obtenidos en la auditoría practicada al </w:t>
      </w:r>
      <w:r w:rsidRPr="00336056">
        <w:rPr>
          <w:rFonts w:ascii="Arial" w:hAnsi="Arial" w:cs="Arial"/>
          <w:b/>
          <w:bCs/>
        </w:rPr>
        <w:t>Instituto Estatal para la Educación</w:t>
      </w:r>
      <w:r>
        <w:rPr>
          <w:rFonts w:ascii="Arial" w:hAnsi="Arial" w:cs="Arial"/>
          <w:b/>
          <w:bCs/>
        </w:rPr>
        <w:t xml:space="preserve"> de Jóvenes y Adultos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A84761" w:rsidRPr="00187C25">
        <w:rPr>
          <w:rFonts w:ascii="Arial" w:hAnsi="Arial" w:cs="Arial"/>
          <w:b/>
          <w:lang w:val="en-US"/>
        </w:rPr>
        <w:t>19-AEMF-C-GOB-036-07</w:t>
      </w:r>
      <w:r w:rsidR="00A84761">
        <w:rPr>
          <w:rFonts w:ascii="Arial" w:hAnsi="Arial" w:cs="Arial"/>
          <w:b/>
          <w:lang w:val="en-US"/>
        </w:rPr>
        <w:t>7</w:t>
      </w:r>
      <w:r>
        <w:rPr>
          <w:rFonts w:ascii="Arial" w:hAnsi="Arial" w:cs="Arial"/>
        </w:rPr>
        <w:t>, denominada “</w:t>
      </w:r>
      <w:r w:rsidRPr="00E227D6">
        <w:rPr>
          <w:rFonts w:ascii="Arial" w:hAnsi="Arial" w:cs="Arial"/>
          <w:bCs/>
        </w:rPr>
        <w:t>Auditoría de Cumplimiento Financiero de Ingresos y Otros Beneficios</w:t>
      </w:r>
      <w:r w:rsidR="004E1FB0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 xml:space="preserve">; </w:t>
      </w:r>
      <w:r w:rsidRPr="00E024A3">
        <w:rPr>
          <w:rFonts w:ascii="Arial" w:hAnsi="Arial" w:cs="Arial"/>
        </w:rPr>
        <w:t xml:space="preserve">cuyo objetivo </w:t>
      </w:r>
      <w:r w:rsidRPr="002B2279">
        <w:rPr>
          <w:rFonts w:ascii="Arial" w:hAnsi="Arial" w:cs="Arial"/>
        </w:rPr>
        <w:t>fue</w:t>
      </w:r>
      <w:r w:rsidRPr="00E024A3">
        <w:rPr>
          <w:rFonts w:ascii="Arial" w:hAnsi="Arial" w:cs="Arial"/>
        </w:rPr>
        <w:t xml:space="preserve"> </w:t>
      </w:r>
      <w:r w:rsidRPr="008A50B9">
        <w:rPr>
          <w:rFonts w:ascii="Arial" w:hAnsi="Arial" w:cs="Arial"/>
          <w:bCs/>
        </w:rPr>
        <w:t>fiscalizar la gestión financiera para comprobar el cumplimiento de lo dispuesto en la Ley de Ingr</w:t>
      </w:r>
      <w:r w:rsidR="008A50B9" w:rsidRPr="008A50B9">
        <w:rPr>
          <w:rFonts w:ascii="Arial" w:hAnsi="Arial" w:cs="Arial"/>
          <w:bCs/>
        </w:rPr>
        <w:t>esos del Estado de Quintana Roo,</w:t>
      </w:r>
      <w:r w:rsidRPr="008A50B9">
        <w:rPr>
          <w:rFonts w:ascii="Arial" w:hAnsi="Arial" w:cs="Arial"/>
          <w:bCs/>
        </w:rPr>
        <w:t xml:space="preserve"> </w:t>
      </w:r>
      <w:r w:rsidR="00432D6B" w:rsidRPr="008A50B9">
        <w:rPr>
          <w:rFonts w:ascii="Arial" w:hAnsi="Arial" w:cs="Arial"/>
          <w:bCs/>
        </w:rPr>
        <w:t>p</w:t>
      </w:r>
      <w:r w:rsidRPr="008A50B9">
        <w:rPr>
          <w:rFonts w:ascii="Arial" w:hAnsi="Arial" w:cs="Arial"/>
          <w:bCs/>
        </w:rPr>
        <w:t>ara el</w:t>
      </w:r>
      <w:r w:rsidR="008A50B9" w:rsidRPr="008A50B9">
        <w:rPr>
          <w:rFonts w:ascii="Arial" w:hAnsi="Arial" w:cs="Arial"/>
          <w:bCs/>
        </w:rPr>
        <w:t xml:space="preserve"> ejercicio fiscal 2019</w:t>
      </w:r>
      <w:r w:rsidRPr="008A50B9">
        <w:rPr>
          <w:rFonts w:ascii="Arial" w:hAnsi="Arial" w:cs="Arial"/>
          <w:bCs/>
        </w:rPr>
        <w:t xml:space="preserve">, así como de lo emitido por el Consejo Nacional de Armonización Contable (CONAC), y demás disposiciones legales aplicables, en cuanto a los ingresos públicos, incluyendo la revisión del manejo, la custodia y la aplicación de recursos públicos estatales, así como de la demás información financiera, contable, patrimonial, presupuestaria y programática, </w:t>
      </w:r>
      <w:r w:rsidRPr="008A50B9">
        <w:rPr>
          <w:rFonts w:ascii="Arial" w:hAnsi="Arial" w:cs="Arial"/>
        </w:rPr>
        <w:t xml:space="preserve">para verificar que el presupuesto asignado al </w:t>
      </w:r>
      <w:r w:rsidRPr="008A50B9">
        <w:rPr>
          <w:rFonts w:ascii="Arial" w:hAnsi="Arial" w:cs="Arial"/>
          <w:b/>
          <w:bCs/>
        </w:rPr>
        <w:t>Instituto Estatal para la Educación de Jóvenes y Adultos,</w:t>
      </w:r>
      <w:r w:rsidRPr="008A50B9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el </w:t>
      </w:r>
      <w:r w:rsidRPr="008A50B9">
        <w:rPr>
          <w:rFonts w:ascii="Arial" w:hAnsi="Arial" w:cs="Arial"/>
          <w:b/>
          <w:bCs/>
        </w:rPr>
        <w:t xml:space="preserve">Instituto Estatal para la Educación de Jóvenes </w:t>
      </w:r>
      <w:r w:rsidRPr="00336056">
        <w:rPr>
          <w:rFonts w:ascii="Arial" w:hAnsi="Arial" w:cs="Arial"/>
          <w:b/>
          <w:bCs/>
        </w:rPr>
        <w:t>y Adultos</w:t>
      </w:r>
      <w:r w:rsidRPr="00336056">
        <w:rPr>
          <w:rFonts w:ascii="Arial" w:hAnsi="Arial" w:cs="Arial"/>
        </w:rPr>
        <w:t>, cumplió con las disposiciones legales y normativas que son aplicables en la materia</w:t>
      </w:r>
      <w:r w:rsidR="008A50B9" w:rsidRPr="00336056">
        <w:rPr>
          <w:rFonts w:ascii="Arial" w:hAnsi="Arial" w:cs="Arial"/>
        </w:rPr>
        <w:t>.</w:t>
      </w:r>
    </w:p>
    <w:p w14:paraId="1427FBBD" w14:textId="39F0AFF4" w:rsidR="00044BCB" w:rsidRPr="00336056" w:rsidRDefault="00044BCB" w:rsidP="00D730EA">
      <w:pPr>
        <w:spacing w:line="360" w:lineRule="auto"/>
        <w:ind w:right="49"/>
        <w:jc w:val="both"/>
        <w:rPr>
          <w:rFonts w:ascii="Arial" w:hAnsi="Arial" w:cs="Arial"/>
        </w:rPr>
      </w:pPr>
    </w:p>
    <w:p w14:paraId="2142E30D" w14:textId="794362C1" w:rsidR="00A84761" w:rsidRPr="00336056" w:rsidRDefault="00A84761" w:rsidP="00A84761">
      <w:pPr>
        <w:spacing w:line="360" w:lineRule="auto"/>
        <w:ind w:right="49"/>
        <w:jc w:val="both"/>
        <w:rPr>
          <w:rFonts w:ascii="Arial" w:hAnsi="Arial" w:cs="Arial"/>
        </w:rPr>
      </w:pPr>
      <w:r w:rsidRPr="00336056">
        <w:rPr>
          <w:rFonts w:ascii="Arial" w:hAnsi="Arial" w:cs="Arial"/>
        </w:rPr>
        <w:t xml:space="preserve">Con base en los resultados obtenidos en la auditoría practicada al </w:t>
      </w:r>
      <w:r w:rsidRPr="00336056">
        <w:rPr>
          <w:rFonts w:ascii="Arial" w:hAnsi="Arial" w:cs="Arial"/>
          <w:b/>
          <w:bCs/>
        </w:rPr>
        <w:t>Instituto Estatal para la Educación de Jóvenes y Adultos</w:t>
      </w:r>
      <w:r w:rsidRPr="00336056">
        <w:rPr>
          <w:rFonts w:ascii="Arial" w:hAnsi="Arial" w:cs="Arial"/>
        </w:rPr>
        <w:t>,</w:t>
      </w:r>
      <w:r w:rsidRPr="00336056">
        <w:rPr>
          <w:rFonts w:ascii="Arial" w:hAnsi="Arial" w:cs="Arial"/>
          <w:b/>
        </w:rPr>
        <w:t xml:space="preserve"> </w:t>
      </w:r>
      <w:r w:rsidRPr="00336056">
        <w:rPr>
          <w:rFonts w:ascii="Arial" w:hAnsi="Arial" w:cs="Arial"/>
        </w:rPr>
        <w:t xml:space="preserve">número </w:t>
      </w:r>
      <w:r w:rsidRPr="00336056">
        <w:rPr>
          <w:rFonts w:ascii="Arial" w:hAnsi="Arial" w:cs="Arial"/>
          <w:b/>
          <w:lang w:val="en-US"/>
        </w:rPr>
        <w:t>19-AEMF-C-GOB-036-078</w:t>
      </w:r>
      <w:r w:rsidRPr="00336056">
        <w:rPr>
          <w:rFonts w:ascii="Arial" w:hAnsi="Arial" w:cs="Arial"/>
        </w:rPr>
        <w:t>, denominada “</w:t>
      </w:r>
      <w:r w:rsidRPr="00336056">
        <w:rPr>
          <w:rFonts w:ascii="Arial" w:hAnsi="Arial" w:cs="Arial"/>
          <w:bCs/>
        </w:rPr>
        <w:t xml:space="preserve">Auditoría de Cumplimiento Financiero de </w:t>
      </w:r>
      <w:r w:rsidR="00432D6B" w:rsidRPr="00336056">
        <w:rPr>
          <w:rFonts w:ascii="Arial" w:hAnsi="Arial" w:cs="Arial"/>
          <w:bCs/>
        </w:rPr>
        <w:t>Gastos y Otras Pérdidas</w:t>
      </w:r>
      <w:r w:rsidRPr="00336056">
        <w:rPr>
          <w:rFonts w:ascii="Arial" w:hAnsi="Arial" w:cs="Arial"/>
        </w:rPr>
        <w:t xml:space="preserve">”, cuyo objetivo fue </w:t>
      </w:r>
      <w:r w:rsidRPr="00336056">
        <w:rPr>
          <w:rFonts w:ascii="Arial" w:hAnsi="Arial" w:cs="Arial"/>
          <w:bCs/>
        </w:rPr>
        <w:t xml:space="preserve">fiscalizar la gestión financiera para comprobar el cumplimiento de lo dispuesto en </w:t>
      </w:r>
      <w:r w:rsidR="00432D6B" w:rsidRPr="00336056">
        <w:rPr>
          <w:rFonts w:ascii="Arial" w:hAnsi="Arial" w:cs="Arial"/>
          <w:bCs/>
        </w:rPr>
        <w:t>e</w:t>
      </w:r>
      <w:r w:rsidRPr="00336056">
        <w:rPr>
          <w:rFonts w:ascii="Arial" w:hAnsi="Arial" w:cs="Arial"/>
          <w:bCs/>
        </w:rPr>
        <w:t>l</w:t>
      </w:r>
      <w:r w:rsidR="00432D6B" w:rsidRPr="00336056">
        <w:rPr>
          <w:rFonts w:ascii="Arial" w:hAnsi="Arial" w:cs="Arial"/>
          <w:bCs/>
        </w:rPr>
        <w:t xml:space="preserve"> </w:t>
      </w:r>
      <w:r w:rsidRPr="00336056">
        <w:rPr>
          <w:rFonts w:ascii="Arial" w:hAnsi="Arial" w:cs="Arial"/>
          <w:bCs/>
        </w:rPr>
        <w:t xml:space="preserve">Presupuesto de Egresos del Gobierno del Estado de Quintana Roo, para el </w:t>
      </w:r>
      <w:r w:rsidR="004E1FB0" w:rsidRPr="00336056">
        <w:rPr>
          <w:rFonts w:ascii="Arial" w:hAnsi="Arial" w:cs="Arial"/>
          <w:bCs/>
        </w:rPr>
        <w:t xml:space="preserve">Ejercicio Fiscal </w:t>
      </w:r>
      <w:r w:rsidRPr="00336056">
        <w:rPr>
          <w:rFonts w:ascii="Arial" w:hAnsi="Arial" w:cs="Arial"/>
          <w:bCs/>
        </w:rPr>
        <w:t>201</w:t>
      </w:r>
      <w:r w:rsidR="00432D6B" w:rsidRPr="00336056">
        <w:rPr>
          <w:rFonts w:ascii="Arial" w:hAnsi="Arial" w:cs="Arial"/>
          <w:bCs/>
        </w:rPr>
        <w:t>9</w:t>
      </w:r>
      <w:r w:rsidRPr="00336056">
        <w:rPr>
          <w:rFonts w:ascii="Arial" w:hAnsi="Arial" w:cs="Arial"/>
          <w:bCs/>
        </w:rPr>
        <w:t xml:space="preserve">, así como de lo emitido por el Consejo Nacional de Armonización Contable (CONAC), y demás disposiciones legales aplicables, en cuanto a los ingresos y gastos públicos, incluyendo la revisión del manejo, la custodia y la aplicación de recursos públicos estatales, así como de la demás información financiera, contable, patrimonial, presupuestaria y programática, </w:t>
      </w:r>
      <w:r w:rsidRPr="00336056">
        <w:rPr>
          <w:rFonts w:ascii="Arial" w:hAnsi="Arial" w:cs="Arial"/>
        </w:rPr>
        <w:t xml:space="preserve">para verificar que el presupuesto asignado al </w:t>
      </w:r>
      <w:r w:rsidRPr="00336056">
        <w:rPr>
          <w:rFonts w:ascii="Arial" w:hAnsi="Arial" w:cs="Arial"/>
          <w:b/>
          <w:bCs/>
        </w:rPr>
        <w:t>Instituto Estatal para la Educación de Jóvenes y Adultos,</w:t>
      </w:r>
      <w:r w:rsidRPr="00336056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el </w:t>
      </w:r>
      <w:r w:rsidRPr="00336056">
        <w:rPr>
          <w:rFonts w:ascii="Arial" w:hAnsi="Arial" w:cs="Arial"/>
          <w:b/>
          <w:bCs/>
        </w:rPr>
        <w:t>Instituto Estatal para la Educación de Jóvenes y Adultos</w:t>
      </w:r>
      <w:r w:rsidRPr="00336056">
        <w:rPr>
          <w:rFonts w:ascii="Arial" w:hAnsi="Arial" w:cs="Arial"/>
        </w:rPr>
        <w:t xml:space="preserve">, cumplió con las disposiciones legales y normativas que son aplicables en la materia, </w:t>
      </w:r>
      <w:r w:rsidR="00766D6A" w:rsidRPr="00336056">
        <w:rPr>
          <w:rFonts w:ascii="Arial" w:hAnsi="Arial" w:cs="Arial"/>
        </w:rPr>
        <w:t>excepto por la</w:t>
      </w:r>
      <w:r w:rsidRPr="00336056">
        <w:rPr>
          <w:rFonts w:ascii="Arial" w:hAnsi="Arial" w:cs="Arial"/>
        </w:rPr>
        <w:t xml:space="preserve">s </w:t>
      </w:r>
      <w:r w:rsidR="00766D6A" w:rsidRPr="00336056">
        <w:rPr>
          <w:rFonts w:ascii="Arial" w:hAnsi="Arial" w:cs="Arial"/>
        </w:rPr>
        <w:t>acciones emitida</w:t>
      </w:r>
      <w:r w:rsidRPr="00336056">
        <w:rPr>
          <w:rFonts w:ascii="Arial" w:hAnsi="Arial" w:cs="Arial"/>
        </w:rPr>
        <w:t>s en el punto I</w:t>
      </w:r>
      <w:r w:rsidR="00432D6B" w:rsidRPr="00336056">
        <w:rPr>
          <w:rFonts w:ascii="Arial" w:hAnsi="Arial" w:cs="Arial"/>
        </w:rPr>
        <w:t>I</w:t>
      </w:r>
      <w:r w:rsidRPr="00336056">
        <w:rPr>
          <w:rFonts w:ascii="Arial" w:hAnsi="Arial" w:cs="Arial"/>
        </w:rPr>
        <w:t>.3 apartado B.</w:t>
      </w:r>
    </w:p>
    <w:p w14:paraId="456F6BC4" w14:textId="77777777" w:rsidR="00A84761" w:rsidRPr="00336056" w:rsidRDefault="00A84761" w:rsidP="00D730EA">
      <w:pPr>
        <w:spacing w:line="360" w:lineRule="auto"/>
        <w:ind w:right="49"/>
        <w:jc w:val="both"/>
        <w:rPr>
          <w:rFonts w:ascii="Arial" w:hAnsi="Arial" w:cs="Arial"/>
        </w:rPr>
      </w:pPr>
    </w:p>
    <w:p w14:paraId="06C58363" w14:textId="122F6E3E" w:rsidR="00766D6A" w:rsidRDefault="00766D6A" w:rsidP="00766D6A">
      <w:pPr>
        <w:spacing w:line="360" w:lineRule="auto"/>
        <w:ind w:right="190"/>
        <w:jc w:val="both"/>
        <w:rPr>
          <w:rFonts w:ascii="Arial" w:hAnsi="Arial" w:cs="Arial"/>
        </w:rPr>
      </w:pPr>
      <w:r w:rsidRPr="00336056">
        <w:rPr>
          <w:rFonts w:ascii="Arial" w:hAnsi="Arial" w:cs="Arial"/>
        </w:rPr>
        <w:t>Las acciones y recomendaciones emitidas quedarán formalmente promovidas a partir de la notificación</w:t>
      </w:r>
      <w:r w:rsidRPr="00E024A3">
        <w:rPr>
          <w:rFonts w:ascii="Arial" w:hAnsi="Arial" w:cs="Arial"/>
        </w:rPr>
        <w:t xml:space="preserve"> del Informe Individual de Auditoría al ente </w:t>
      </w:r>
      <w:proofErr w:type="spellStart"/>
      <w:r w:rsidRPr="00E024A3">
        <w:rPr>
          <w:rFonts w:ascii="Arial" w:hAnsi="Arial" w:cs="Arial"/>
        </w:rPr>
        <w:t>fiscalizado</w:t>
      </w:r>
      <w:proofErr w:type="spellEnd"/>
      <w:r w:rsidRPr="00E024A3">
        <w:rPr>
          <w:rFonts w:ascii="Arial" w:hAnsi="Arial" w:cs="Arial"/>
        </w:rPr>
        <w:t>, mediante el acta circunstanciada de término de auditoría, visita e inspección, para que éste presente ante la Dirección de Control y Seguimiento de Resultados de la Fiscalización de esta Auditoría Superior, la información correspondiente para la justificación y aclaración de las acciones, así como las mejoras realizadas y las acciones emprendidas por las recomendaciones, realizando las consideraciones pertinentes de acuerdo a la Ley de Fiscalización y Rendición de Cuentas del Estado de Quintana Roo.</w:t>
      </w:r>
    </w:p>
    <w:p w14:paraId="7B4712B7" w14:textId="77777777" w:rsidR="00A17418" w:rsidRDefault="00A17418" w:rsidP="008D65A9">
      <w:pPr>
        <w:spacing w:line="360" w:lineRule="auto"/>
        <w:ind w:right="49"/>
        <w:rPr>
          <w:rFonts w:ascii="Arial" w:hAnsi="Arial" w:cs="Arial"/>
          <w:b/>
        </w:rPr>
      </w:pPr>
    </w:p>
    <w:p w14:paraId="7184CAAB" w14:textId="3C072F10" w:rsidR="00E024A3" w:rsidRPr="00E024A3" w:rsidRDefault="00E024A3" w:rsidP="00435E9C">
      <w:pPr>
        <w:spacing w:line="360" w:lineRule="auto"/>
        <w:ind w:right="49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17FE3181" w:rsidR="00E024A3" w:rsidRDefault="00E024A3" w:rsidP="00435E9C">
      <w:pPr>
        <w:spacing w:line="360" w:lineRule="auto"/>
        <w:ind w:right="49"/>
        <w:jc w:val="center"/>
        <w:rPr>
          <w:rFonts w:ascii="Arial" w:hAnsi="Arial" w:cs="Arial"/>
          <w:b/>
        </w:rPr>
      </w:pPr>
    </w:p>
    <w:p w14:paraId="0DBDD890" w14:textId="77777777" w:rsidR="00463357" w:rsidRPr="00321730" w:rsidRDefault="00463357" w:rsidP="00435E9C">
      <w:pPr>
        <w:spacing w:line="360" w:lineRule="auto"/>
        <w:ind w:right="49"/>
        <w:jc w:val="center"/>
        <w:rPr>
          <w:rFonts w:ascii="Arial" w:hAnsi="Arial" w:cs="Arial"/>
          <w:b/>
          <w:sz w:val="8"/>
        </w:rPr>
      </w:pPr>
    </w:p>
    <w:p w14:paraId="4AE17F51" w14:textId="77777777" w:rsidR="00E024A3" w:rsidRPr="001B7F5F" w:rsidRDefault="00E024A3" w:rsidP="00435E9C">
      <w:pPr>
        <w:spacing w:line="360" w:lineRule="auto"/>
        <w:ind w:right="49"/>
        <w:jc w:val="center"/>
        <w:rPr>
          <w:rFonts w:ascii="Arial" w:hAnsi="Arial" w:cs="Arial"/>
          <w:b/>
          <w:sz w:val="14"/>
        </w:rPr>
      </w:pPr>
    </w:p>
    <w:p w14:paraId="27E78BFC" w14:textId="62075DB0" w:rsidR="004F5F5B" w:rsidRDefault="003149D7" w:rsidP="001B7F5F">
      <w:pPr>
        <w:spacing w:line="360" w:lineRule="auto"/>
        <w:ind w:right="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L.C.C. MANUEL PALACIOS HERRERA</w:t>
      </w:r>
    </w:p>
    <w:p w14:paraId="22EDF5EC" w14:textId="77777777" w:rsidR="00776D30" w:rsidRDefault="00776D30" w:rsidP="002805A6">
      <w:pPr>
        <w:spacing w:line="360" w:lineRule="auto"/>
        <w:ind w:right="190"/>
        <w:jc w:val="both"/>
        <w:rPr>
          <w:rFonts w:ascii="Arial" w:hAnsi="Arial" w:cs="Arial"/>
          <w:b/>
        </w:rPr>
      </w:pPr>
      <w:bookmarkStart w:id="8" w:name="_GoBack"/>
      <w:bookmarkEnd w:id="8"/>
    </w:p>
    <w:sectPr w:rsidR="00776D30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E2B98" w14:textId="77777777" w:rsidR="00760678" w:rsidRDefault="00760678">
      <w:r>
        <w:separator/>
      </w:r>
    </w:p>
  </w:endnote>
  <w:endnote w:type="continuationSeparator" w:id="0">
    <w:p w14:paraId="375F95B5" w14:textId="77777777" w:rsidR="00760678" w:rsidRDefault="00760678">
      <w:r>
        <w:continuationSeparator/>
      </w:r>
    </w:p>
  </w:endnote>
  <w:endnote w:type="continuationNotice" w:id="1">
    <w:p w14:paraId="1C479AEE" w14:textId="77777777" w:rsidR="00760678" w:rsidRDefault="00760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760678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760678" w:rsidRPr="00D875E2" w:rsidRDefault="00760678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371226A6" w:rsidR="00760678" w:rsidRPr="00B516B6" w:rsidRDefault="00760678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336056">
      <w:rPr>
        <w:rFonts w:ascii="Arial" w:hAnsi="Arial" w:cs="Arial"/>
        <w:b/>
        <w:bCs/>
        <w:noProof/>
        <w:sz w:val="18"/>
        <w:szCs w:val="18"/>
      </w:rPr>
      <w:t>25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336056">
      <w:rPr>
        <w:rFonts w:ascii="Arial" w:hAnsi="Arial" w:cs="Arial"/>
        <w:b/>
        <w:bCs/>
        <w:noProof/>
        <w:sz w:val="18"/>
        <w:szCs w:val="18"/>
      </w:rPr>
      <w:t>25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01C9D" w14:textId="77777777" w:rsidR="00760678" w:rsidRDefault="00760678">
      <w:r>
        <w:separator/>
      </w:r>
    </w:p>
  </w:footnote>
  <w:footnote w:type="continuationSeparator" w:id="0">
    <w:p w14:paraId="61DD6A9D" w14:textId="77777777" w:rsidR="00760678" w:rsidRDefault="00760678">
      <w:r>
        <w:continuationSeparator/>
      </w:r>
    </w:p>
  </w:footnote>
  <w:footnote w:type="continuationNotice" w:id="1">
    <w:p w14:paraId="41D67C03" w14:textId="77777777" w:rsidR="00760678" w:rsidRDefault="007606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760678" w:rsidRPr="006F757C" w14:paraId="13D791CC" w14:textId="77777777" w:rsidTr="007D48A8">
      <w:tc>
        <w:tcPr>
          <w:tcW w:w="2055" w:type="dxa"/>
          <w:vAlign w:val="center"/>
        </w:tcPr>
        <w:p w14:paraId="0A6D3F19" w14:textId="77777777" w:rsidR="00760678" w:rsidRPr="00CF3DF4" w:rsidRDefault="00760678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1C1A593B" w14:textId="77777777" w:rsidR="00760678" w:rsidRPr="00CF3DF4" w:rsidRDefault="00760678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39DDFA49" w14:textId="77777777" w:rsidR="00760678" w:rsidRPr="00207E4F" w:rsidRDefault="00760678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  <w:r w:rsidRPr="00207E4F">
            <w:rPr>
              <w:rFonts w:ascii="Arial" w:hAnsi="Arial" w:cs="Arial"/>
              <w:noProof/>
              <w:sz w:val="16"/>
              <w:szCs w:val="16"/>
              <w:lang w:eastAsia="es-MX"/>
            </w:rPr>
            <w:t>AEMF-FO-009-R01</w:t>
          </w:r>
        </w:p>
      </w:tc>
    </w:tr>
    <w:tr w:rsidR="00760678" w:rsidRPr="003316E8" w14:paraId="55006C5E" w14:textId="77777777" w:rsidTr="007D48A8">
      <w:tc>
        <w:tcPr>
          <w:tcW w:w="2055" w:type="dxa"/>
          <w:vAlign w:val="center"/>
          <w:hideMark/>
        </w:tcPr>
        <w:p w14:paraId="5000F954" w14:textId="77777777" w:rsidR="00760678" w:rsidRPr="003316E8" w:rsidRDefault="00760678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1E6876EA" wp14:editId="28A6BB96">
                <wp:extent cx="885825" cy="1231240"/>
                <wp:effectExtent l="0" t="0" r="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5069EA86" w14:textId="77777777" w:rsidR="00760678" w:rsidRDefault="00760678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0A56FCD0" w14:textId="77777777" w:rsidR="00760678" w:rsidRPr="003316E8" w:rsidRDefault="00760678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462D5AC7" w14:textId="77777777" w:rsidR="00760678" w:rsidRPr="003316E8" w:rsidRDefault="00760678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1F773566" wp14:editId="3B483D9B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0678" w:rsidRPr="003316E8" w14:paraId="1C20AE91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C4A3774" w14:textId="77777777" w:rsidR="00760678" w:rsidRPr="003316E8" w:rsidRDefault="00760678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163E26CC" w14:textId="77777777" w:rsidR="00760678" w:rsidRPr="003316E8" w:rsidRDefault="00760678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96328CA" w14:textId="77777777" w:rsidR="00760678" w:rsidRPr="003316E8" w:rsidRDefault="00760678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CD5BAB5" w14:textId="77777777" w:rsidR="00760678" w:rsidRPr="003C2FE7" w:rsidRDefault="00760678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13218"/>
    <w:multiLevelType w:val="hybridMultilevel"/>
    <w:tmpl w:val="CB7E2D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C0E36"/>
    <w:multiLevelType w:val="hybridMultilevel"/>
    <w:tmpl w:val="9A2404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0AE0"/>
    <w:multiLevelType w:val="hybridMultilevel"/>
    <w:tmpl w:val="1982DE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7C36F3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E47AD"/>
    <w:multiLevelType w:val="hybridMultilevel"/>
    <w:tmpl w:val="1744DE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10C56"/>
    <w:multiLevelType w:val="hybridMultilevel"/>
    <w:tmpl w:val="E2487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ABF4844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36649F5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C3761"/>
    <w:multiLevelType w:val="hybridMultilevel"/>
    <w:tmpl w:val="7AA0C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F2CF1"/>
    <w:multiLevelType w:val="hybridMultilevel"/>
    <w:tmpl w:val="4F0E54D8"/>
    <w:lvl w:ilvl="0" w:tplc="33604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958F0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646A3"/>
    <w:multiLevelType w:val="hybridMultilevel"/>
    <w:tmpl w:val="AA38A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6"/>
  </w:num>
  <w:num w:numId="5">
    <w:abstractNumId w:val="28"/>
  </w:num>
  <w:num w:numId="6">
    <w:abstractNumId w:val="13"/>
  </w:num>
  <w:num w:numId="7">
    <w:abstractNumId w:val="26"/>
  </w:num>
  <w:num w:numId="8">
    <w:abstractNumId w:val="15"/>
  </w:num>
  <w:num w:numId="9">
    <w:abstractNumId w:val="29"/>
  </w:num>
  <w:num w:numId="10">
    <w:abstractNumId w:val="3"/>
  </w:num>
  <w:num w:numId="11">
    <w:abstractNumId w:val="30"/>
  </w:num>
  <w:num w:numId="12">
    <w:abstractNumId w:val="1"/>
  </w:num>
  <w:num w:numId="13">
    <w:abstractNumId w:val="5"/>
  </w:num>
  <w:num w:numId="14">
    <w:abstractNumId w:val="14"/>
  </w:num>
  <w:num w:numId="15">
    <w:abstractNumId w:val="18"/>
  </w:num>
  <w:num w:numId="16">
    <w:abstractNumId w:val="17"/>
  </w:num>
  <w:num w:numId="17">
    <w:abstractNumId w:val="20"/>
  </w:num>
  <w:num w:numId="18">
    <w:abstractNumId w:val="19"/>
  </w:num>
  <w:num w:numId="19">
    <w:abstractNumId w:val="12"/>
  </w:num>
  <w:num w:numId="20">
    <w:abstractNumId w:val="22"/>
  </w:num>
  <w:num w:numId="21">
    <w:abstractNumId w:val="25"/>
  </w:num>
  <w:num w:numId="22">
    <w:abstractNumId w:val="9"/>
  </w:num>
  <w:num w:numId="23">
    <w:abstractNumId w:val="6"/>
  </w:num>
  <w:num w:numId="24">
    <w:abstractNumId w:val="24"/>
  </w:num>
  <w:num w:numId="25">
    <w:abstractNumId w:val="21"/>
  </w:num>
  <w:num w:numId="26">
    <w:abstractNumId w:val="2"/>
  </w:num>
  <w:num w:numId="27">
    <w:abstractNumId w:val="27"/>
  </w:num>
  <w:num w:numId="28">
    <w:abstractNumId w:val="10"/>
  </w:num>
  <w:num w:numId="29">
    <w:abstractNumId w:val="4"/>
  </w:num>
  <w:num w:numId="30">
    <w:abstractNumId w:val="11"/>
  </w:num>
  <w:num w:numId="31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1D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611"/>
    <w:rsid w:val="000148C8"/>
    <w:rsid w:val="00014A28"/>
    <w:rsid w:val="00014E52"/>
    <w:rsid w:val="00014ED2"/>
    <w:rsid w:val="0001571C"/>
    <w:rsid w:val="000167E4"/>
    <w:rsid w:val="00016AB1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2C47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C35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4D7"/>
    <w:rsid w:val="00041DBA"/>
    <w:rsid w:val="00041F03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4BCB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43E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1D60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7059"/>
    <w:rsid w:val="00070DAC"/>
    <w:rsid w:val="00070DE6"/>
    <w:rsid w:val="00072578"/>
    <w:rsid w:val="00072BEF"/>
    <w:rsid w:val="00073637"/>
    <w:rsid w:val="00073C40"/>
    <w:rsid w:val="000747BF"/>
    <w:rsid w:val="00075601"/>
    <w:rsid w:val="00076FE8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2D66"/>
    <w:rsid w:val="000B3119"/>
    <w:rsid w:val="000B3A60"/>
    <w:rsid w:val="000B3B23"/>
    <w:rsid w:val="000B3D2D"/>
    <w:rsid w:val="000B43BB"/>
    <w:rsid w:val="000B4ACD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68A7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976"/>
    <w:rsid w:val="000E3AD7"/>
    <w:rsid w:val="000E3F1B"/>
    <w:rsid w:val="000E4C4E"/>
    <w:rsid w:val="000E4E46"/>
    <w:rsid w:val="000E536B"/>
    <w:rsid w:val="000E5FE8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AD2"/>
    <w:rsid w:val="000F5ECA"/>
    <w:rsid w:val="000F60F5"/>
    <w:rsid w:val="000F626C"/>
    <w:rsid w:val="000F6372"/>
    <w:rsid w:val="000F6F79"/>
    <w:rsid w:val="000F7622"/>
    <w:rsid w:val="000F7E2E"/>
    <w:rsid w:val="001005E9"/>
    <w:rsid w:val="001006FF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2B1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39E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A70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2AA8"/>
    <w:rsid w:val="00133431"/>
    <w:rsid w:val="001337A2"/>
    <w:rsid w:val="001337C0"/>
    <w:rsid w:val="00134690"/>
    <w:rsid w:val="00134D2A"/>
    <w:rsid w:val="00134FD5"/>
    <w:rsid w:val="00135240"/>
    <w:rsid w:val="00135F57"/>
    <w:rsid w:val="0013639E"/>
    <w:rsid w:val="00137DA4"/>
    <w:rsid w:val="0014030E"/>
    <w:rsid w:val="00140585"/>
    <w:rsid w:val="0014093C"/>
    <w:rsid w:val="0014161A"/>
    <w:rsid w:val="001419EA"/>
    <w:rsid w:val="00141DB8"/>
    <w:rsid w:val="0014229F"/>
    <w:rsid w:val="00142790"/>
    <w:rsid w:val="0014294F"/>
    <w:rsid w:val="00142B74"/>
    <w:rsid w:val="00142DBB"/>
    <w:rsid w:val="001433AF"/>
    <w:rsid w:val="00143890"/>
    <w:rsid w:val="001446DA"/>
    <w:rsid w:val="0014492E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1D8E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150D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E4C"/>
    <w:rsid w:val="00181F3F"/>
    <w:rsid w:val="00182043"/>
    <w:rsid w:val="0018206D"/>
    <w:rsid w:val="00182121"/>
    <w:rsid w:val="0018235A"/>
    <w:rsid w:val="00182F12"/>
    <w:rsid w:val="00183532"/>
    <w:rsid w:val="00183903"/>
    <w:rsid w:val="00183A85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87C25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37B"/>
    <w:rsid w:val="001964BB"/>
    <w:rsid w:val="00196503"/>
    <w:rsid w:val="001971A8"/>
    <w:rsid w:val="00197E18"/>
    <w:rsid w:val="00197F01"/>
    <w:rsid w:val="001A09C4"/>
    <w:rsid w:val="001A0C45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6A86"/>
    <w:rsid w:val="001A6A90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5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214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0BF1"/>
    <w:rsid w:val="00200F29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5F14"/>
    <w:rsid w:val="00216164"/>
    <w:rsid w:val="00216830"/>
    <w:rsid w:val="00217071"/>
    <w:rsid w:val="0021776A"/>
    <w:rsid w:val="00217835"/>
    <w:rsid w:val="00217B4F"/>
    <w:rsid w:val="00217D14"/>
    <w:rsid w:val="0022001A"/>
    <w:rsid w:val="00220AC1"/>
    <w:rsid w:val="00221480"/>
    <w:rsid w:val="00221A68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37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2FA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449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2A50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B92"/>
    <w:rsid w:val="00257CE6"/>
    <w:rsid w:val="00257DE2"/>
    <w:rsid w:val="0026021B"/>
    <w:rsid w:val="00260790"/>
    <w:rsid w:val="0026088D"/>
    <w:rsid w:val="002608B9"/>
    <w:rsid w:val="00260AC1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DD8"/>
    <w:rsid w:val="00264F9B"/>
    <w:rsid w:val="00265084"/>
    <w:rsid w:val="0026575A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962"/>
    <w:rsid w:val="00277ADD"/>
    <w:rsid w:val="00277E06"/>
    <w:rsid w:val="002805A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37E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837"/>
    <w:rsid w:val="002A7CE2"/>
    <w:rsid w:val="002B0162"/>
    <w:rsid w:val="002B0887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61E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B8B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5B44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1B41"/>
    <w:rsid w:val="00302340"/>
    <w:rsid w:val="0030277E"/>
    <w:rsid w:val="00302C52"/>
    <w:rsid w:val="00302E7B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9EB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9D7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6A96"/>
    <w:rsid w:val="0031738C"/>
    <w:rsid w:val="0031779A"/>
    <w:rsid w:val="0031787B"/>
    <w:rsid w:val="00317CB9"/>
    <w:rsid w:val="00317DFD"/>
    <w:rsid w:val="00320F32"/>
    <w:rsid w:val="0032112A"/>
    <w:rsid w:val="003213E6"/>
    <w:rsid w:val="00321730"/>
    <w:rsid w:val="003228D3"/>
    <w:rsid w:val="00323257"/>
    <w:rsid w:val="003237D9"/>
    <w:rsid w:val="00324EFC"/>
    <w:rsid w:val="003252B1"/>
    <w:rsid w:val="003256F4"/>
    <w:rsid w:val="003268E1"/>
    <w:rsid w:val="0032692B"/>
    <w:rsid w:val="00326B85"/>
    <w:rsid w:val="00326ECA"/>
    <w:rsid w:val="00326ECD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056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AE0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1987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0B41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5F93"/>
    <w:rsid w:val="00366698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77FF0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0E16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938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353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10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62D"/>
    <w:rsid w:val="003B171F"/>
    <w:rsid w:val="003B18C4"/>
    <w:rsid w:val="003B1BB5"/>
    <w:rsid w:val="003B1CF3"/>
    <w:rsid w:val="003B2114"/>
    <w:rsid w:val="003B3184"/>
    <w:rsid w:val="003B4177"/>
    <w:rsid w:val="003B4480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22BC"/>
    <w:rsid w:val="003D3CC6"/>
    <w:rsid w:val="003D3F0F"/>
    <w:rsid w:val="003D45FB"/>
    <w:rsid w:val="003D4F9C"/>
    <w:rsid w:val="003D5A8B"/>
    <w:rsid w:val="003D5AE3"/>
    <w:rsid w:val="003D6FFF"/>
    <w:rsid w:val="003D707B"/>
    <w:rsid w:val="003D75B6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166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9BD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7BC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977"/>
    <w:rsid w:val="00424B0B"/>
    <w:rsid w:val="00425646"/>
    <w:rsid w:val="00426049"/>
    <w:rsid w:val="00426116"/>
    <w:rsid w:val="004264EA"/>
    <w:rsid w:val="00427A2A"/>
    <w:rsid w:val="00430423"/>
    <w:rsid w:val="004307A4"/>
    <w:rsid w:val="004309AE"/>
    <w:rsid w:val="004319EE"/>
    <w:rsid w:val="00431C03"/>
    <w:rsid w:val="0043203B"/>
    <w:rsid w:val="00432621"/>
    <w:rsid w:val="00432AA4"/>
    <w:rsid w:val="00432D6B"/>
    <w:rsid w:val="00432E7F"/>
    <w:rsid w:val="00433754"/>
    <w:rsid w:val="004339E3"/>
    <w:rsid w:val="00434A8F"/>
    <w:rsid w:val="004350DC"/>
    <w:rsid w:val="004357D8"/>
    <w:rsid w:val="00435AC6"/>
    <w:rsid w:val="00435DDA"/>
    <w:rsid w:val="00435E9C"/>
    <w:rsid w:val="00436074"/>
    <w:rsid w:val="00436F16"/>
    <w:rsid w:val="00437062"/>
    <w:rsid w:val="004375E6"/>
    <w:rsid w:val="00437E6D"/>
    <w:rsid w:val="0044017A"/>
    <w:rsid w:val="00440A4C"/>
    <w:rsid w:val="00440F0E"/>
    <w:rsid w:val="0044354A"/>
    <w:rsid w:val="00443B9D"/>
    <w:rsid w:val="00443FD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75B"/>
    <w:rsid w:val="00451E58"/>
    <w:rsid w:val="00452078"/>
    <w:rsid w:val="004528D4"/>
    <w:rsid w:val="00452D7A"/>
    <w:rsid w:val="004531FC"/>
    <w:rsid w:val="004535CA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5F9"/>
    <w:rsid w:val="00461B43"/>
    <w:rsid w:val="00461F3D"/>
    <w:rsid w:val="0046274E"/>
    <w:rsid w:val="00462880"/>
    <w:rsid w:val="00462D52"/>
    <w:rsid w:val="00463144"/>
    <w:rsid w:val="00463357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3C2"/>
    <w:rsid w:val="00467840"/>
    <w:rsid w:val="00467D6B"/>
    <w:rsid w:val="00470172"/>
    <w:rsid w:val="004703C7"/>
    <w:rsid w:val="00470789"/>
    <w:rsid w:val="00470831"/>
    <w:rsid w:val="004710B4"/>
    <w:rsid w:val="004724D6"/>
    <w:rsid w:val="00472DEC"/>
    <w:rsid w:val="00473923"/>
    <w:rsid w:val="00473B1A"/>
    <w:rsid w:val="00474122"/>
    <w:rsid w:val="0047460F"/>
    <w:rsid w:val="00474DE6"/>
    <w:rsid w:val="00474E51"/>
    <w:rsid w:val="0047509C"/>
    <w:rsid w:val="00475C99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A91"/>
    <w:rsid w:val="00482BB9"/>
    <w:rsid w:val="00482D6B"/>
    <w:rsid w:val="00482E0A"/>
    <w:rsid w:val="004831F6"/>
    <w:rsid w:val="004837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6CFB"/>
    <w:rsid w:val="00497037"/>
    <w:rsid w:val="00497B2E"/>
    <w:rsid w:val="004A004A"/>
    <w:rsid w:val="004A009C"/>
    <w:rsid w:val="004A0B36"/>
    <w:rsid w:val="004A1313"/>
    <w:rsid w:val="004A13C4"/>
    <w:rsid w:val="004A2C01"/>
    <w:rsid w:val="004A320C"/>
    <w:rsid w:val="004A349E"/>
    <w:rsid w:val="004A3D6D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99D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4268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0640"/>
    <w:rsid w:val="004E1124"/>
    <w:rsid w:val="004E183D"/>
    <w:rsid w:val="004E1AAD"/>
    <w:rsid w:val="004E1BEF"/>
    <w:rsid w:val="004E1E6C"/>
    <w:rsid w:val="004E1E6E"/>
    <w:rsid w:val="004E1FB0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08D8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5F5B"/>
    <w:rsid w:val="004F60A1"/>
    <w:rsid w:val="004F649F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06D"/>
    <w:rsid w:val="00511182"/>
    <w:rsid w:val="005115F2"/>
    <w:rsid w:val="00511E87"/>
    <w:rsid w:val="00511FAD"/>
    <w:rsid w:val="00512FE0"/>
    <w:rsid w:val="005130DF"/>
    <w:rsid w:val="00513D93"/>
    <w:rsid w:val="00513DB5"/>
    <w:rsid w:val="00514A86"/>
    <w:rsid w:val="00514B25"/>
    <w:rsid w:val="00514B3D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11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E07"/>
    <w:rsid w:val="00535E61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4788A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3856"/>
    <w:rsid w:val="00553951"/>
    <w:rsid w:val="00554450"/>
    <w:rsid w:val="00554B50"/>
    <w:rsid w:val="00554C86"/>
    <w:rsid w:val="00554D29"/>
    <w:rsid w:val="00556314"/>
    <w:rsid w:val="005564AC"/>
    <w:rsid w:val="0055725E"/>
    <w:rsid w:val="005574AE"/>
    <w:rsid w:val="00557EE0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45B"/>
    <w:rsid w:val="005665B2"/>
    <w:rsid w:val="00566CF6"/>
    <w:rsid w:val="00566F18"/>
    <w:rsid w:val="005670E4"/>
    <w:rsid w:val="00567458"/>
    <w:rsid w:val="00567820"/>
    <w:rsid w:val="0056791A"/>
    <w:rsid w:val="005701AD"/>
    <w:rsid w:val="0057190B"/>
    <w:rsid w:val="00571E3C"/>
    <w:rsid w:val="005723D7"/>
    <w:rsid w:val="005727B2"/>
    <w:rsid w:val="00572B42"/>
    <w:rsid w:val="00572B51"/>
    <w:rsid w:val="005735C2"/>
    <w:rsid w:val="00573F76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39F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D49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0B6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2B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9F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085D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1AE5"/>
    <w:rsid w:val="005F2095"/>
    <w:rsid w:val="005F2252"/>
    <w:rsid w:val="005F25D1"/>
    <w:rsid w:val="005F35D5"/>
    <w:rsid w:val="005F3999"/>
    <w:rsid w:val="005F4235"/>
    <w:rsid w:val="005F44BD"/>
    <w:rsid w:val="005F48F2"/>
    <w:rsid w:val="005F4F2A"/>
    <w:rsid w:val="005F508E"/>
    <w:rsid w:val="005F54AC"/>
    <w:rsid w:val="005F5584"/>
    <w:rsid w:val="005F5DD9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23"/>
    <w:rsid w:val="006070BF"/>
    <w:rsid w:val="006076A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4F5"/>
    <w:rsid w:val="006467BA"/>
    <w:rsid w:val="00646B51"/>
    <w:rsid w:val="00646D2C"/>
    <w:rsid w:val="00646E5B"/>
    <w:rsid w:val="006471A3"/>
    <w:rsid w:val="00647E2D"/>
    <w:rsid w:val="00650046"/>
    <w:rsid w:val="0065011D"/>
    <w:rsid w:val="0065026C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1D1D"/>
    <w:rsid w:val="00671D49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B4C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94E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5B08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A7793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6327"/>
    <w:rsid w:val="006B7552"/>
    <w:rsid w:val="006B7779"/>
    <w:rsid w:val="006B7E0B"/>
    <w:rsid w:val="006B7E37"/>
    <w:rsid w:val="006C01FF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3F75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3E63"/>
    <w:rsid w:val="006F4B8D"/>
    <w:rsid w:val="006F680A"/>
    <w:rsid w:val="006F7545"/>
    <w:rsid w:val="006F757C"/>
    <w:rsid w:val="006F798D"/>
    <w:rsid w:val="006F79C4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5CD"/>
    <w:rsid w:val="00714BA2"/>
    <w:rsid w:val="00715049"/>
    <w:rsid w:val="00715096"/>
    <w:rsid w:val="007158E0"/>
    <w:rsid w:val="00715A55"/>
    <w:rsid w:val="00716236"/>
    <w:rsid w:val="00716B94"/>
    <w:rsid w:val="007170EA"/>
    <w:rsid w:val="007173F3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630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277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6FF3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678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5D81"/>
    <w:rsid w:val="007660D4"/>
    <w:rsid w:val="00766281"/>
    <w:rsid w:val="0076652B"/>
    <w:rsid w:val="007667ED"/>
    <w:rsid w:val="00766A93"/>
    <w:rsid w:val="00766C05"/>
    <w:rsid w:val="00766C1A"/>
    <w:rsid w:val="00766D6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A0"/>
    <w:rsid w:val="00774ABA"/>
    <w:rsid w:val="00774BC3"/>
    <w:rsid w:val="00774E96"/>
    <w:rsid w:val="00775D71"/>
    <w:rsid w:val="00776D30"/>
    <w:rsid w:val="0077730A"/>
    <w:rsid w:val="007774AA"/>
    <w:rsid w:val="007806B5"/>
    <w:rsid w:val="00781F51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1F1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8C"/>
    <w:rsid w:val="00794BD9"/>
    <w:rsid w:val="00795648"/>
    <w:rsid w:val="00795829"/>
    <w:rsid w:val="0079702A"/>
    <w:rsid w:val="00797AC6"/>
    <w:rsid w:val="00797B43"/>
    <w:rsid w:val="007A021F"/>
    <w:rsid w:val="007A02EE"/>
    <w:rsid w:val="007A0FEF"/>
    <w:rsid w:val="007A198B"/>
    <w:rsid w:val="007A1ADA"/>
    <w:rsid w:val="007A1F60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6D41"/>
    <w:rsid w:val="007D71CB"/>
    <w:rsid w:val="007D75B1"/>
    <w:rsid w:val="007D7882"/>
    <w:rsid w:val="007D7B3D"/>
    <w:rsid w:val="007D7EC0"/>
    <w:rsid w:val="007E0044"/>
    <w:rsid w:val="007E08DE"/>
    <w:rsid w:val="007E0989"/>
    <w:rsid w:val="007E0B60"/>
    <w:rsid w:val="007E0C3B"/>
    <w:rsid w:val="007E15E0"/>
    <w:rsid w:val="007E1669"/>
    <w:rsid w:val="007E1A44"/>
    <w:rsid w:val="007E22B5"/>
    <w:rsid w:val="007E2BE0"/>
    <w:rsid w:val="007E2FE8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6F17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16E"/>
    <w:rsid w:val="008027E7"/>
    <w:rsid w:val="0080283E"/>
    <w:rsid w:val="00802D6B"/>
    <w:rsid w:val="00803091"/>
    <w:rsid w:val="00806026"/>
    <w:rsid w:val="008069D9"/>
    <w:rsid w:val="00806A0E"/>
    <w:rsid w:val="00806A87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27F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6950"/>
    <w:rsid w:val="00817221"/>
    <w:rsid w:val="00817237"/>
    <w:rsid w:val="00817841"/>
    <w:rsid w:val="00817EEC"/>
    <w:rsid w:val="00820019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B29"/>
    <w:rsid w:val="00830CF6"/>
    <w:rsid w:val="008318C5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DB3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23B"/>
    <w:rsid w:val="0086784D"/>
    <w:rsid w:val="00867A7C"/>
    <w:rsid w:val="00867EC2"/>
    <w:rsid w:val="00870CD4"/>
    <w:rsid w:val="008711D3"/>
    <w:rsid w:val="008714E7"/>
    <w:rsid w:val="00871951"/>
    <w:rsid w:val="00871A8E"/>
    <w:rsid w:val="00871C10"/>
    <w:rsid w:val="00871E45"/>
    <w:rsid w:val="00872348"/>
    <w:rsid w:val="00872711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6ABE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65"/>
    <w:rsid w:val="0088606A"/>
    <w:rsid w:val="00886CE7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5A5D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B6"/>
    <w:rsid w:val="008A47C1"/>
    <w:rsid w:val="008A4956"/>
    <w:rsid w:val="008A50B9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019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5EBD"/>
    <w:rsid w:val="008C6AF0"/>
    <w:rsid w:val="008C6C5D"/>
    <w:rsid w:val="008C74BC"/>
    <w:rsid w:val="008C757A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785"/>
    <w:rsid w:val="008D591F"/>
    <w:rsid w:val="008D5B3B"/>
    <w:rsid w:val="008D5EFF"/>
    <w:rsid w:val="008D65A9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AF7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571C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842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2EB"/>
    <w:rsid w:val="009508F6"/>
    <w:rsid w:val="00950B4B"/>
    <w:rsid w:val="00951B74"/>
    <w:rsid w:val="00952119"/>
    <w:rsid w:val="00952558"/>
    <w:rsid w:val="00953AA5"/>
    <w:rsid w:val="00954347"/>
    <w:rsid w:val="00954832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59C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0E15"/>
    <w:rsid w:val="00991258"/>
    <w:rsid w:val="009914A8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5DC"/>
    <w:rsid w:val="009969A9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226"/>
    <w:rsid w:val="009C2EA0"/>
    <w:rsid w:val="009C31B1"/>
    <w:rsid w:val="009C3526"/>
    <w:rsid w:val="009C396D"/>
    <w:rsid w:val="009C4A0C"/>
    <w:rsid w:val="009C4B15"/>
    <w:rsid w:val="009C5043"/>
    <w:rsid w:val="009C5284"/>
    <w:rsid w:val="009C598E"/>
    <w:rsid w:val="009C5FE3"/>
    <w:rsid w:val="009C615F"/>
    <w:rsid w:val="009C6188"/>
    <w:rsid w:val="009C685C"/>
    <w:rsid w:val="009C6879"/>
    <w:rsid w:val="009C6C25"/>
    <w:rsid w:val="009C6FCE"/>
    <w:rsid w:val="009C7605"/>
    <w:rsid w:val="009C7B03"/>
    <w:rsid w:val="009C7BE3"/>
    <w:rsid w:val="009D00A7"/>
    <w:rsid w:val="009D0AE7"/>
    <w:rsid w:val="009D0EA2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4C1B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4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1FB"/>
    <w:rsid w:val="00A12766"/>
    <w:rsid w:val="00A12F92"/>
    <w:rsid w:val="00A135C1"/>
    <w:rsid w:val="00A1369F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17418"/>
    <w:rsid w:val="00A21831"/>
    <w:rsid w:val="00A22CC2"/>
    <w:rsid w:val="00A22F95"/>
    <w:rsid w:val="00A23226"/>
    <w:rsid w:val="00A23F6B"/>
    <w:rsid w:val="00A2487F"/>
    <w:rsid w:val="00A24CB0"/>
    <w:rsid w:val="00A260BC"/>
    <w:rsid w:val="00A262AA"/>
    <w:rsid w:val="00A263F4"/>
    <w:rsid w:val="00A26427"/>
    <w:rsid w:val="00A26BAC"/>
    <w:rsid w:val="00A26BAE"/>
    <w:rsid w:val="00A26CA4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1639"/>
    <w:rsid w:val="00A3281F"/>
    <w:rsid w:val="00A32862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6727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03A4"/>
    <w:rsid w:val="00A513F7"/>
    <w:rsid w:val="00A520A6"/>
    <w:rsid w:val="00A520CE"/>
    <w:rsid w:val="00A52C15"/>
    <w:rsid w:val="00A52C74"/>
    <w:rsid w:val="00A538FE"/>
    <w:rsid w:val="00A53A90"/>
    <w:rsid w:val="00A53C0E"/>
    <w:rsid w:val="00A5430F"/>
    <w:rsid w:val="00A54554"/>
    <w:rsid w:val="00A54809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07CC"/>
    <w:rsid w:val="00A616D8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4BDF"/>
    <w:rsid w:val="00A64D83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52D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61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5AD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50A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445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7C6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4E7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A4C"/>
    <w:rsid w:val="00AC4FAC"/>
    <w:rsid w:val="00AC51C3"/>
    <w:rsid w:val="00AC5A42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05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423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20CC"/>
    <w:rsid w:val="00AE2E97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03F7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384E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590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2013D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70E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23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1F99"/>
    <w:rsid w:val="00B32E47"/>
    <w:rsid w:val="00B33314"/>
    <w:rsid w:val="00B33E6D"/>
    <w:rsid w:val="00B34178"/>
    <w:rsid w:val="00B341E4"/>
    <w:rsid w:val="00B34EFB"/>
    <w:rsid w:val="00B35414"/>
    <w:rsid w:val="00B35711"/>
    <w:rsid w:val="00B3579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1C0C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2674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5FFF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9B8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59A7"/>
    <w:rsid w:val="00B86048"/>
    <w:rsid w:val="00B861BB"/>
    <w:rsid w:val="00B863C9"/>
    <w:rsid w:val="00B86636"/>
    <w:rsid w:val="00B873AB"/>
    <w:rsid w:val="00B87658"/>
    <w:rsid w:val="00B9031B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19C"/>
    <w:rsid w:val="00B95E85"/>
    <w:rsid w:val="00B966C9"/>
    <w:rsid w:val="00B97478"/>
    <w:rsid w:val="00B974C6"/>
    <w:rsid w:val="00B97CCB"/>
    <w:rsid w:val="00BA00B1"/>
    <w:rsid w:val="00BA10B3"/>
    <w:rsid w:val="00BA1DF3"/>
    <w:rsid w:val="00BA20D9"/>
    <w:rsid w:val="00BA2E1D"/>
    <w:rsid w:val="00BA3467"/>
    <w:rsid w:val="00BA39AB"/>
    <w:rsid w:val="00BA3CFA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188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2CF0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766"/>
    <w:rsid w:val="00BD0FE8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0B00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15B"/>
    <w:rsid w:val="00C15342"/>
    <w:rsid w:val="00C15F08"/>
    <w:rsid w:val="00C171D7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D35"/>
    <w:rsid w:val="00C34BAD"/>
    <w:rsid w:val="00C34C6A"/>
    <w:rsid w:val="00C35CDE"/>
    <w:rsid w:val="00C35F39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57B"/>
    <w:rsid w:val="00C5096B"/>
    <w:rsid w:val="00C51223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1B66"/>
    <w:rsid w:val="00C62029"/>
    <w:rsid w:val="00C621E3"/>
    <w:rsid w:val="00C623F2"/>
    <w:rsid w:val="00C6262F"/>
    <w:rsid w:val="00C62CD2"/>
    <w:rsid w:val="00C639C6"/>
    <w:rsid w:val="00C63F1E"/>
    <w:rsid w:val="00C65145"/>
    <w:rsid w:val="00C65499"/>
    <w:rsid w:val="00C658DC"/>
    <w:rsid w:val="00C669A0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333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8DB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2F78"/>
    <w:rsid w:val="00CA3FC8"/>
    <w:rsid w:val="00CA4001"/>
    <w:rsid w:val="00CA41BB"/>
    <w:rsid w:val="00CA4611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2FA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2E3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A38"/>
    <w:rsid w:val="00CD3B81"/>
    <w:rsid w:val="00CD42C0"/>
    <w:rsid w:val="00CD4875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100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3C2"/>
    <w:rsid w:val="00CF0923"/>
    <w:rsid w:val="00CF0DC7"/>
    <w:rsid w:val="00CF0E04"/>
    <w:rsid w:val="00CF159E"/>
    <w:rsid w:val="00CF2B0B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6C37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2F81"/>
    <w:rsid w:val="00D03B3E"/>
    <w:rsid w:val="00D03B96"/>
    <w:rsid w:val="00D0512C"/>
    <w:rsid w:val="00D055AA"/>
    <w:rsid w:val="00D05D41"/>
    <w:rsid w:val="00D063F4"/>
    <w:rsid w:val="00D064ED"/>
    <w:rsid w:val="00D069E2"/>
    <w:rsid w:val="00D06EE1"/>
    <w:rsid w:val="00D06F02"/>
    <w:rsid w:val="00D079F8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2D16"/>
    <w:rsid w:val="00D249BB"/>
    <w:rsid w:val="00D24EE9"/>
    <w:rsid w:val="00D24EFD"/>
    <w:rsid w:val="00D253A9"/>
    <w:rsid w:val="00D25CB0"/>
    <w:rsid w:val="00D26180"/>
    <w:rsid w:val="00D265C9"/>
    <w:rsid w:val="00D26EFC"/>
    <w:rsid w:val="00D3084A"/>
    <w:rsid w:val="00D308A3"/>
    <w:rsid w:val="00D30F6B"/>
    <w:rsid w:val="00D3142B"/>
    <w:rsid w:val="00D31730"/>
    <w:rsid w:val="00D32F17"/>
    <w:rsid w:val="00D33184"/>
    <w:rsid w:val="00D3328F"/>
    <w:rsid w:val="00D337C9"/>
    <w:rsid w:val="00D33AC2"/>
    <w:rsid w:val="00D3427E"/>
    <w:rsid w:val="00D34694"/>
    <w:rsid w:val="00D347C3"/>
    <w:rsid w:val="00D351D2"/>
    <w:rsid w:val="00D35515"/>
    <w:rsid w:val="00D35617"/>
    <w:rsid w:val="00D35A0F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1904"/>
    <w:rsid w:val="00D42589"/>
    <w:rsid w:val="00D4316D"/>
    <w:rsid w:val="00D4375C"/>
    <w:rsid w:val="00D438C8"/>
    <w:rsid w:val="00D44384"/>
    <w:rsid w:val="00D44E12"/>
    <w:rsid w:val="00D451E0"/>
    <w:rsid w:val="00D453E0"/>
    <w:rsid w:val="00D45542"/>
    <w:rsid w:val="00D456E7"/>
    <w:rsid w:val="00D45D2E"/>
    <w:rsid w:val="00D45EF3"/>
    <w:rsid w:val="00D45FF0"/>
    <w:rsid w:val="00D460C8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9FD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30EA"/>
    <w:rsid w:val="00D73865"/>
    <w:rsid w:val="00D745B8"/>
    <w:rsid w:val="00D750CF"/>
    <w:rsid w:val="00D75164"/>
    <w:rsid w:val="00D75361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59B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5FD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1A0"/>
    <w:rsid w:val="00DB5592"/>
    <w:rsid w:val="00DB5B38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4983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7FF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1AE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724"/>
    <w:rsid w:val="00E20E04"/>
    <w:rsid w:val="00E21178"/>
    <w:rsid w:val="00E213A9"/>
    <w:rsid w:val="00E2187E"/>
    <w:rsid w:val="00E21CEA"/>
    <w:rsid w:val="00E22054"/>
    <w:rsid w:val="00E224A8"/>
    <w:rsid w:val="00E227D6"/>
    <w:rsid w:val="00E22A7E"/>
    <w:rsid w:val="00E2311F"/>
    <w:rsid w:val="00E2318D"/>
    <w:rsid w:val="00E239B2"/>
    <w:rsid w:val="00E23E5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27E0"/>
    <w:rsid w:val="00E332C0"/>
    <w:rsid w:val="00E3352A"/>
    <w:rsid w:val="00E34202"/>
    <w:rsid w:val="00E348FB"/>
    <w:rsid w:val="00E34A6D"/>
    <w:rsid w:val="00E351D2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7F8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C97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6ED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A6"/>
    <w:rsid w:val="00E823DA"/>
    <w:rsid w:val="00E8360C"/>
    <w:rsid w:val="00E840F4"/>
    <w:rsid w:val="00E84BCB"/>
    <w:rsid w:val="00E84DEB"/>
    <w:rsid w:val="00E850FB"/>
    <w:rsid w:val="00E8597C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A4E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714"/>
    <w:rsid w:val="00EE3A73"/>
    <w:rsid w:val="00EE42C4"/>
    <w:rsid w:val="00EE47B3"/>
    <w:rsid w:val="00EE5A12"/>
    <w:rsid w:val="00EE5ADE"/>
    <w:rsid w:val="00EE63B2"/>
    <w:rsid w:val="00EE69C6"/>
    <w:rsid w:val="00EE6C0B"/>
    <w:rsid w:val="00EE7845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6F93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B7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CFA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3C1"/>
    <w:rsid w:val="00F258F3"/>
    <w:rsid w:val="00F25979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55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5E6D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153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51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7B6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6A6"/>
    <w:rsid w:val="00FB19AB"/>
    <w:rsid w:val="00FB1CEF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0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A4E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paragraph" w:styleId="Sinespaciado">
    <w:name w:val="No Spacing"/>
    <w:uiPriority w:val="1"/>
    <w:qFormat/>
    <w:rsid w:val="009969A9"/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C01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D86F-5667-4224-A31B-B8B19302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5593</Words>
  <Characters>32684</Characters>
  <Application>Microsoft Office Word</Application>
  <DocSecurity>0</DocSecurity>
  <Lines>272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Aida S. Santeliz Cruz</cp:lastModifiedBy>
  <cp:revision>4</cp:revision>
  <cp:lastPrinted>2020-11-24T19:44:00Z</cp:lastPrinted>
  <dcterms:created xsi:type="dcterms:W3CDTF">2020-11-18T21:42:00Z</dcterms:created>
  <dcterms:modified xsi:type="dcterms:W3CDTF">2020-11-24T19:49:00Z</dcterms:modified>
</cp:coreProperties>
</file>