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25834D56" w14:textId="36126AF1" w:rsidR="003F1CB6" w:rsidRPr="00162D5A" w:rsidRDefault="003F1CB6" w:rsidP="00162D5A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5DCD8715" w:rsidR="003F1CB6" w:rsidRPr="00403D69" w:rsidRDefault="002A7DD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18782ED3" w:rsidR="003F1CB6" w:rsidRPr="00403D69" w:rsidRDefault="002A7DDA" w:rsidP="00D52A67">
            <w:pPr>
              <w:tabs>
                <w:tab w:val="left" w:pos="380"/>
                <w:tab w:val="center" w:pos="45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975F486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</w:t>
            </w:r>
            <w:r w:rsidR="009D1889">
              <w:rPr>
                <w:rFonts w:ascii="Arial" w:hAnsi="Arial" w:cs="Arial"/>
                <w:b/>
                <w:bCs/>
              </w:rPr>
              <w:t xml:space="preserve">AL DE AUDITORÍA RELATIVO A </w:t>
            </w:r>
            <w:r w:rsidR="0043735C">
              <w:rPr>
                <w:rFonts w:ascii="Arial" w:hAnsi="Arial" w:cs="Arial"/>
                <w:b/>
                <w:bCs/>
              </w:rPr>
              <w:t xml:space="preserve">INGRESOS Y </w:t>
            </w:r>
            <w:r w:rsidR="009D1889">
              <w:rPr>
                <w:rFonts w:ascii="Arial" w:hAnsi="Arial" w:cs="Arial"/>
                <w:b/>
                <w:bCs/>
              </w:rPr>
              <w:t>EGRESOS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3E945C32" w:rsidR="003F1CB6" w:rsidRPr="00403D69" w:rsidRDefault="002A7DD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7FEB82ED" w:rsidR="003F1CB6" w:rsidRPr="00403D69" w:rsidRDefault="002A7DD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064CED47" w:rsidR="003F1CB6" w:rsidRPr="00403D69" w:rsidRDefault="002A7DD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1FE2A285" w:rsidR="003F1CB6" w:rsidRPr="00403D69" w:rsidRDefault="002A7DD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1FBF10CB" w:rsidR="003F1CB6" w:rsidRPr="00403D69" w:rsidRDefault="001150E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6BEDECC4" w:rsidR="003F1CB6" w:rsidRPr="00403D69" w:rsidRDefault="002A7DD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6ACBA3A4" w:rsidR="003F1CB6" w:rsidRPr="00403D69" w:rsidRDefault="001150E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0F642F0D" w:rsidR="003F1CB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454A04">
              <w:rPr>
                <w:rFonts w:ascii="Arial" w:hAnsi="Arial" w:cs="Arial"/>
                <w:b/>
                <w:bCs/>
              </w:rPr>
              <w:t>que Intervinieron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39B61F55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860F0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45EF3F22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1150E7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59DD8E01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150E7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1A52F588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150E7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FE4ECC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0F12944C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1150E7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11A7486F" w:rsidR="003F1CB6" w:rsidRPr="001B3167" w:rsidRDefault="006D1583" w:rsidP="009D1889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 xml:space="preserve">Observaciones </w:t>
            </w:r>
            <w:r w:rsidR="008909BC" w:rsidRPr="001B3167">
              <w:rPr>
                <w:rFonts w:ascii="Arial" w:hAnsi="Arial" w:cs="Arial"/>
                <w:b/>
                <w:bCs/>
              </w:rPr>
              <w:t>D</w:t>
            </w:r>
            <w:r w:rsidRPr="001B3167">
              <w:rPr>
                <w:rFonts w:ascii="Arial" w:hAnsi="Arial" w:cs="Arial"/>
                <w:b/>
                <w:bCs/>
              </w:rPr>
              <w:t>eterminadas</w:t>
            </w:r>
            <w:r w:rsidR="009D1889">
              <w:t xml:space="preserve"> </w:t>
            </w:r>
            <w:r w:rsidR="009D1889" w:rsidRPr="009D1889">
              <w:rPr>
                <w:rFonts w:ascii="Arial" w:hAnsi="Arial" w:cs="Arial"/>
                <w:b/>
                <w:bCs/>
              </w:rPr>
              <w:t>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 xml:space="preserve">, 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1B3167">
              <w:rPr>
                <w:rFonts w:ascii="Arial" w:hAnsi="Arial" w:cs="Arial"/>
                <w:b/>
                <w:bCs/>
              </w:rPr>
              <w:t>de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la Entidad Fiscalizada</w:t>
            </w:r>
            <w:r w:rsidR="00D758CB">
              <w:rPr>
                <w:rFonts w:ascii="Arial" w:hAnsi="Arial" w:cs="Arial"/>
                <w:b/>
                <w:bCs/>
              </w:rPr>
              <w:t>,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 w:rsidR="00D758CB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909BC" w:rsidRPr="001B3167">
              <w:rPr>
                <w:rFonts w:ascii="Arial" w:hAnsi="Arial" w:cs="Arial"/>
                <w:b/>
                <w:bCs/>
              </w:rPr>
              <w:t>E</w:t>
            </w:r>
            <w:r w:rsidRPr="001B3167">
              <w:rPr>
                <w:rFonts w:ascii="Arial" w:hAnsi="Arial" w:cs="Arial"/>
                <w:b/>
                <w:bCs/>
              </w:rPr>
              <w:t>mitid</w:t>
            </w:r>
            <w:r w:rsidR="003F1CB6" w:rsidRPr="001B3167">
              <w:rPr>
                <w:rFonts w:ascii="Arial" w:hAnsi="Arial" w:cs="Arial"/>
                <w:b/>
                <w:bCs/>
              </w:rPr>
              <w:t>as</w:t>
            </w:r>
          </w:p>
        </w:tc>
        <w:tc>
          <w:tcPr>
            <w:tcW w:w="561" w:type="pct"/>
            <w:shd w:val="clear" w:color="auto" w:fill="auto"/>
          </w:tcPr>
          <w:p w14:paraId="73D9D610" w14:textId="5EE5088E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1150E7">
              <w:rPr>
                <w:rFonts w:ascii="Arial" w:hAnsi="Arial" w:cs="Arial"/>
                <w:b/>
              </w:rPr>
              <w:t>4</w:t>
            </w:r>
          </w:p>
        </w:tc>
      </w:tr>
      <w:tr w:rsidR="00162D5A" w:rsidRPr="00403D69" w14:paraId="37D47F32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182373C7" w14:textId="3944FB12" w:rsidR="00162D5A" w:rsidRDefault="009D1889" w:rsidP="00162D5A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162D5A">
              <w:rPr>
                <w:rFonts w:ascii="Arial" w:hAnsi="Arial" w:cs="Arial"/>
                <w:b/>
                <w:bCs/>
              </w:rPr>
              <w:t>.</w:t>
            </w:r>
            <w:r w:rsidR="00162D5A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162D5A">
              <w:rPr>
                <w:rFonts w:ascii="Arial" w:hAnsi="Arial" w:cs="Arial"/>
                <w:b/>
                <w:bCs/>
              </w:rPr>
              <w:t xml:space="preserve"> </w:t>
            </w:r>
            <w:r w:rsidR="00162D5A" w:rsidRPr="00162D5A">
              <w:rPr>
                <w:rFonts w:ascii="Arial" w:hAnsi="Arial" w:cs="Arial"/>
                <w:b/>
                <w:bCs/>
              </w:rPr>
              <w:t>DEL INFORME INDIVIDUAL</w:t>
            </w:r>
            <w:r w:rsidR="00162D5A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231D5862" w14:textId="61D240B9" w:rsidR="00162D5A" w:rsidRPr="00403D69" w:rsidRDefault="001150E7" w:rsidP="00162D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71EC8">
              <w:rPr>
                <w:rFonts w:ascii="Arial" w:hAnsi="Arial" w:cs="Arial"/>
                <w:b/>
              </w:rPr>
              <w:t>7</w:t>
            </w:r>
          </w:p>
        </w:tc>
      </w:tr>
    </w:tbl>
    <w:p w14:paraId="004F1D33" w14:textId="52235168" w:rsidR="003E2273" w:rsidRDefault="003E2273">
      <w:pPr>
        <w:rPr>
          <w:rFonts w:ascii="Arial" w:hAnsi="Arial" w:cs="Arial"/>
          <w:b/>
          <w:bCs/>
        </w:rPr>
      </w:pPr>
    </w:p>
    <w:p w14:paraId="416A0275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0D46C33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D0241A5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80BE52E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0F60D21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1096E13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1C8A858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8F319AD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8C26D8C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5C907AA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EA15A69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A11DD33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996CE0E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D1B6017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A8C55F1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CC8D820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A746B50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CB19249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9D55983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7A04451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38A94DD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9476187" w14:textId="77777777" w:rsidR="00DA5E3F" w:rsidRDefault="00DA5E3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54BFA6FD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D52A67" w:rsidRDefault="00A35B86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783C5B45" w14:textId="380925DC" w:rsidR="005A70EE" w:rsidRPr="00D52A67" w:rsidRDefault="005A70EE" w:rsidP="005A70EE">
      <w:pPr>
        <w:spacing w:line="360" w:lineRule="auto"/>
        <w:ind w:right="49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>Por disposición contenida en los artículos 75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fracci</w:t>
      </w:r>
      <w:r>
        <w:rPr>
          <w:rFonts w:ascii="Arial" w:hAnsi="Arial" w:cs="Arial"/>
        </w:rPr>
        <w:t>ó</w:t>
      </w:r>
      <w:r w:rsidRPr="00A05588">
        <w:rPr>
          <w:rFonts w:ascii="Arial" w:hAnsi="Arial" w:cs="Arial"/>
        </w:rPr>
        <w:t>n XXIX</w:t>
      </w:r>
      <w:r w:rsidR="00B85E09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</w:t>
      </w:r>
      <w:r w:rsidRPr="002D5CD3">
        <w:rPr>
          <w:rFonts w:ascii="Arial" w:hAnsi="Arial" w:cs="Arial"/>
        </w:rPr>
        <w:t xml:space="preserve">de la Auditoría Superior del Estado, revisar de manera posterior la Cuenta Pública que </w:t>
      </w:r>
      <w:r w:rsidR="00B85E09">
        <w:rPr>
          <w:rFonts w:ascii="Arial" w:hAnsi="Arial" w:cs="Arial"/>
        </w:rPr>
        <w:t>el Gobierno del Estado</w:t>
      </w:r>
      <w:r w:rsidRPr="00E56219">
        <w:rPr>
          <w:rFonts w:ascii="Arial" w:hAnsi="Arial" w:cs="Arial"/>
        </w:rPr>
        <w:t xml:space="preserve"> le presente sobre su gestión financiera. Esta revisión</w:t>
      </w:r>
      <w:r w:rsidRPr="00A05588">
        <w:rPr>
          <w:rFonts w:ascii="Arial" w:hAnsi="Arial" w:cs="Arial"/>
        </w:rPr>
        <w:t xml:space="preserve"> comprende la fiscalización a las </w:t>
      </w:r>
      <w:r>
        <w:rPr>
          <w:rFonts w:ascii="Arial" w:hAnsi="Arial" w:cs="Arial"/>
        </w:rPr>
        <w:t>e</w:t>
      </w:r>
      <w:r w:rsidRPr="00A05588">
        <w:rPr>
          <w:rFonts w:ascii="Arial" w:hAnsi="Arial" w:cs="Arial"/>
        </w:rPr>
        <w:t xml:space="preserve">ntidades </w:t>
      </w:r>
      <w:r>
        <w:rPr>
          <w:rFonts w:ascii="Arial" w:hAnsi="Arial" w:cs="Arial"/>
        </w:rPr>
        <w:t>f</w:t>
      </w:r>
      <w:r w:rsidRPr="00A05588">
        <w:rPr>
          <w:rFonts w:ascii="Arial" w:hAnsi="Arial" w:cs="Arial"/>
        </w:rPr>
        <w:t xml:space="preserve">iscalizables, que se traduce a su vez, en la obligación de </w:t>
      </w:r>
      <w:r w:rsidRPr="008251FA">
        <w:rPr>
          <w:rFonts w:ascii="Arial" w:hAnsi="Arial" w:cs="Arial"/>
        </w:rPr>
        <w:t>los funcionarios correspondientes</w:t>
      </w:r>
      <w:r w:rsidRPr="00A05588">
        <w:rPr>
          <w:rFonts w:ascii="Arial" w:hAnsi="Arial" w:cs="Arial"/>
        </w:rPr>
        <w:t xml:space="preserve"> de presentar su Cuenta Pública para efectos de que sea revisada</w:t>
      </w:r>
      <w:r w:rsidR="00DE72B1"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>y fiscalizada</w:t>
      </w:r>
      <w:r>
        <w:rPr>
          <w:rFonts w:ascii="Arial" w:hAnsi="Arial" w:cs="Arial"/>
        </w:rPr>
        <w:t>.</w:t>
      </w:r>
    </w:p>
    <w:p w14:paraId="3E8660A6" w14:textId="77777777" w:rsidR="005A70EE" w:rsidRPr="007C3C85" w:rsidRDefault="005A70EE" w:rsidP="005A70EE">
      <w:pPr>
        <w:spacing w:line="360" w:lineRule="auto"/>
        <w:ind w:right="190"/>
        <w:jc w:val="both"/>
        <w:rPr>
          <w:rFonts w:ascii="Arial" w:hAnsi="Arial" w:cs="Arial"/>
        </w:rPr>
      </w:pPr>
    </w:p>
    <w:p w14:paraId="74E50600" w14:textId="56CA9502" w:rsidR="00DE72B1" w:rsidRDefault="00DE72B1" w:rsidP="005A70EE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Esta revisión se realiza con el objeto de hac</w:t>
      </w:r>
      <w:r w:rsidR="00540F42">
        <w:rPr>
          <w:rFonts w:ascii="Arial" w:hAnsi="Arial" w:cs="Arial"/>
          <w:bCs/>
        </w:rPr>
        <w:t>er un análisis de las Cuentas Pú</w:t>
      </w:r>
      <w:r>
        <w:rPr>
          <w:rFonts w:ascii="Arial" w:hAnsi="Arial" w:cs="Arial"/>
          <w:bCs/>
        </w:rPr>
        <w:t>blicas a efecto de poder rendir el presente informe a esta H. XVI Legislatura del Estado de Quintana Roo, con relación al manejo de las mismas por parte de las autoridades correspondientes.</w:t>
      </w:r>
    </w:p>
    <w:p w14:paraId="13213D72" w14:textId="77777777" w:rsidR="00DE72B1" w:rsidRDefault="00DE72B1" w:rsidP="005A70E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436A070" w14:textId="1F575859" w:rsidR="005A70EE" w:rsidRPr="00E56219" w:rsidRDefault="005A70EE" w:rsidP="005A70EE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D5CD3">
        <w:rPr>
          <w:rFonts w:ascii="Arial" w:hAnsi="Arial" w:cs="Arial"/>
          <w:bCs/>
        </w:rPr>
        <w:t>La formulación, revisión y apr</w:t>
      </w:r>
      <w:r>
        <w:rPr>
          <w:rFonts w:ascii="Arial" w:hAnsi="Arial" w:cs="Arial"/>
          <w:bCs/>
        </w:rPr>
        <w:t>obación de la Cuenta Pública de la</w:t>
      </w:r>
      <w:r w:rsidRPr="002D5CD3">
        <w:rPr>
          <w:rFonts w:ascii="Arial" w:hAnsi="Arial" w:cs="Arial"/>
          <w:bCs/>
        </w:rPr>
        <w:t xml:space="preserve"> </w:t>
      </w:r>
      <w:r w:rsidRPr="00335956">
        <w:rPr>
          <w:rFonts w:ascii="Arial" w:hAnsi="Arial" w:cs="Arial"/>
          <w:b/>
          <w:bCs/>
        </w:rPr>
        <w:t>Comisión Ejecutiva de Atención a Víctimas del Estado de Quintana Roo</w:t>
      </w:r>
      <w:r w:rsidRPr="00C63C1A">
        <w:rPr>
          <w:rFonts w:ascii="Arial" w:hAnsi="Arial" w:cs="Arial"/>
          <w:bCs/>
        </w:rPr>
        <w:t>,</w:t>
      </w:r>
      <w:r w:rsidRPr="00E56219">
        <w:rPr>
          <w:rFonts w:ascii="Arial" w:hAnsi="Arial" w:cs="Arial"/>
          <w:bCs/>
        </w:rPr>
        <w:t xml:space="preserve"> comprende la realización de actividades en las que participa la Legislatura del Estado, las cuales comprenden:</w:t>
      </w:r>
    </w:p>
    <w:p w14:paraId="7EB5C43F" w14:textId="77777777" w:rsidR="005A70EE" w:rsidRPr="00E56219" w:rsidRDefault="005A70EE" w:rsidP="005A70E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E36A3BE" w14:textId="77777777" w:rsidR="005A70EE" w:rsidRPr="00A05588" w:rsidRDefault="005A70EE" w:rsidP="005A70E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56219">
        <w:rPr>
          <w:rFonts w:ascii="Arial" w:hAnsi="Arial" w:cs="Arial"/>
          <w:b/>
          <w:bCs/>
        </w:rPr>
        <w:t>A.- El Proceso Administrativo;</w:t>
      </w:r>
      <w:r w:rsidRPr="00E56219">
        <w:rPr>
          <w:rFonts w:ascii="Arial" w:hAnsi="Arial" w:cs="Arial"/>
          <w:bCs/>
        </w:rPr>
        <w:t xml:space="preserve"> que es desarrollado fundamentalmente por </w:t>
      </w:r>
      <w:r>
        <w:rPr>
          <w:rFonts w:ascii="Arial" w:hAnsi="Arial" w:cs="Arial"/>
          <w:bCs/>
        </w:rPr>
        <w:t>la</w:t>
      </w:r>
      <w:r w:rsidRPr="00E56219">
        <w:rPr>
          <w:rFonts w:ascii="Arial" w:hAnsi="Arial" w:cs="Arial"/>
          <w:b/>
          <w:bCs/>
        </w:rPr>
        <w:t xml:space="preserve"> </w:t>
      </w:r>
      <w:r w:rsidRPr="00335956">
        <w:rPr>
          <w:rFonts w:ascii="Arial" w:hAnsi="Arial" w:cs="Arial"/>
          <w:b/>
          <w:bCs/>
        </w:rPr>
        <w:t>Comisión Ejecutiva de Atención a Víctimas del Estado de Quintana Roo</w:t>
      </w:r>
      <w:r w:rsidRPr="00C63C1A">
        <w:rPr>
          <w:rFonts w:ascii="Arial" w:hAnsi="Arial" w:cs="Arial"/>
          <w:bCs/>
        </w:rPr>
        <w:t>,</w:t>
      </w:r>
      <w:r w:rsidRPr="00E56219">
        <w:rPr>
          <w:rFonts w:ascii="Arial" w:hAnsi="Arial" w:cs="Arial"/>
          <w:bCs/>
        </w:rPr>
        <w:t xml:space="preserve"> en la integración de la Cuenta Pública, la cual comprende los resultados de las labores administrativas realizadas en el ejercicio fiscal </w:t>
      </w:r>
      <w:r>
        <w:rPr>
          <w:rFonts w:ascii="Arial" w:hAnsi="Arial" w:cs="Arial"/>
          <w:bCs/>
        </w:rPr>
        <w:t>2019</w:t>
      </w:r>
      <w:r w:rsidRPr="00E56219">
        <w:rPr>
          <w:rFonts w:ascii="Arial" w:hAnsi="Arial" w:cs="Arial"/>
          <w:bCs/>
        </w:rPr>
        <w:t xml:space="preserve">, así como las principales políticas financieras, económicas y sociales que influyeron en </w:t>
      </w:r>
      <w:r>
        <w:rPr>
          <w:rFonts w:ascii="Arial" w:hAnsi="Arial" w:cs="Arial"/>
          <w:bCs/>
        </w:rPr>
        <w:t xml:space="preserve">el resultado de </w:t>
      </w:r>
      <w:r w:rsidRPr="00E44DF9">
        <w:rPr>
          <w:rFonts w:ascii="Arial" w:hAnsi="Arial" w:cs="Arial"/>
          <w:bCs/>
        </w:rPr>
        <w:t xml:space="preserve">los ingresos obtenidos y </w:t>
      </w:r>
      <w:r>
        <w:rPr>
          <w:rFonts w:ascii="Arial" w:hAnsi="Arial" w:cs="Arial"/>
          <w:bCs/>
        </w:rPr>
        <w:t xml:space="preserve">los </w:t>
      </w:r>
      <w:r w:rsidRPr="00E44DF9">
        <w:rPr>
          <w:rFonts w:ascii="Arial" w:hAnsi="Arial" w:cs="Arial"/>
          <w:bCs/>
        </w:rPr>
        <w:t>gastos efectuados por la entidad fiscalizada</w:t>
      </w:r>
      <w:r w:rsidRPr="00BE426E">
        <w:rPr>
          <w:rFonts w:ascii="Arial" w:hAnsi="Arial" w:cs="Arial"/>
          <w:bCs/>
        </w:rPr>
        <w:t>.</w:t>
      </w:r>
    </w:p>
    <w:p w14:paraId="3134776E" w14:textId="77777777" w:rsidR="005A70EE" w:rsidRDefault="005A70EE" w:rsidP="005A70E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4D694C5" w14:textId="77777777" w:rsidR="005A70EE" w:rsidRDefault="005A70EE" w:rsidP="005A70E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A653EB">
        <w:rPr>
          <w:rFonts w:ascii="Arial" w:hAnsi="Arial" w:cs="Arial"/>
          <w:b/>
          <w:bCs/>
        </w:rPr>
        <w:t xml:space="preserve">B.- El Proceso de Vigilancia; </w:t>
      </w:r>
      <w:r w:rsidRPr="0031062A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Pr="00EC0BE8">
        <w:rPr>
          <w:rFonts w:ascii="Arial" w:hAnsi="Arial" w:cs="Arial"/>
          <w:bCs/>
        </w:rPr>
        <w:t>superior</w:t>
      </w:r>
      <w:r w:rsidRPr="00AE2039">
        <w:rPr>
          <w:rFonts w:ascii="Arial" w:hAnsi="Arial" w:cs="Arial"/>
          <w:bCs/>
          <w:color w:val="FF0000"/>
        </w:rPr>
        <w:t xml:space="preserve"> </w:t>
      </w:r>
      <w:r w:rsidRPr="0031062A">
        <w:rPr>
          <w:rFonts w:ascii="Arial" w:hAnsi="Arial" w:cs="Arial"/>
          <w:bCs/>
        </w:rPr>
        <w:t xml:space="preserve">de </w:t>
      </w:r>
      <w:bookmarkStart w:id="0" w:name="_Hlk11404101"/>
      <w:r w:rsidRPr="002B3A76">
        <w:rPr>
          <w:rFonts w:ascii="Arial" w:hAnsi="Arial" w:cs="Arial"/>
          <w:bCs/>
        </w:rPr>
        <w:t xml:space="preserve">la gestión financiera para comprobar el cumplimiento de las </w:t>
      </w:r>
      <w:bookmarkStart w:id="1" w:name="_Hlk11355006"/>
      <w:r w:rsidRPr="002B3A76">
        <w:rPr>
          <w:rFonts w:ascii="Arial" w:hAnsi="Arial" w:cs="Arial"/>
          <w:bCs/>
        </w:rPr>
        <w:t xml:space="preserve">disposiciones legales y </w:t>
      </w:r>
      <w:r w:rsidRPr="002B3A76">
        <w:rPr>
          <w:rFonts w:ascii="Arial" w:hAnsi="Arial" w:cs="Arial"/>
          <w:bCs/>
        </w:rPr>
        <w:lastRenderedPageBreak/>
        <w:t>normativas aplicables</w:t>
      </w:r>
      <w:bookmarkEnd w:id="1"/>
      <w:r w:rsidRPr="002B3A76">
        <w:rPr>
          <w:rFonts w:ascii="Arial" w:hAnsi="Arial" w:cs="Arial"/>
          <w:bCs/>
        </w:rPr>
        <w:t xml:space="preserve">, en cuanto a los ingresos y gastos públicos, </w:t>
      </w:r>
      <w:bookmarkEnd w:id="0"/>
      <w:r w:rsidRPr="0031062A">
        <w:rPr>
          <w:rFonts w:ascii="Arial" w:hAnsi="Arial" w:cs="Arial"/>
          <w:bCs/>
        </w:rPr>
        <w:t xml:space="preserve">y todo lo relacionado con la </w:t>
      </w:r>
      <w:r w:rsidRPr="00E56219">
        <w:rPr>
          <w:rFonts w:ascii="Arial" w:hAnsi="Arial" w:cs="Arial"/>
          <w:bCs/>
        </w:rPr>
        <w:t>actividad financiera-administrativa de</w:t>
      </w:r>
      <w:r>
        <w:rPr>
          <w:rFonts w:ascii="Arial" w:hAnsi="Arial" w:cs="Arial"/>
          <w:bCs/>
        </w:rPr>
        <w:t xml:space="preserve"> la</w:t>
      </w:r>
      <w:r w:rsidRPr="00E56219">
        <w:rPr>
          <w:rFonts w:ascii="Arial" w:hAnsi="Arial" w:cs="Arial"/>
          <w:bCs/>
        </w:rPr>
        <w:t xml:space="preserve"> </w:t>
      </w:r>
      <w:r w:rsidRPr="00335956">
        <w:rPr>
          <w:rFonts w:ascii="Arial" w:hAnsi="Arial" w:cs="Arial"/>
          <w:b/>
          <w:bCs/>
        </w:rPr>
        <w:t>Comisión Ejecutiva de Atención a Víctimas del Estado de Quintana Roo</w:t>
      </w:r>
      <w:r w:rsidRPr="009843DC">
        <w:rPr>
          <w:rFonts w:ascii="Arial" w:hAnsi="Arial" w:cs="Arial"/>
          <w:bCs/>
        </w:rPr>
        <w:t>.</w:t>
      </w:r>
    </w:p>
    <w:p w14:paraId="7716334A" w14:textId="77777777" w:rsidR="005A70EE" w:rsidRDefault="005A70EE" w:rsidP="005A70EE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9BA830A" w14:textId="6BAA36F4" w:rsidR="005A70EE" w:rsidRPr="00E56219" w:rsidRDefault="005A70EE" w:rsidP="005A70EE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Cuenta Pública de la</w:t>
      </w:r>
      <w:r w:rsidRPr="00E56219">
        <w:rPr>
          <w:rFonts w:ascii="Arial" w:hAnsi="Arial" w:cs="Arial"/>
        </w:rPr>
        <w:t xml:space="preserve"> </w:t>
      </w:r>
      <w:r w:rsidRPr="00335956">
        <w:rPr>
          <w:rFonts w:ascii="Arial" w:hAnsi="Arial" w:cs="Arial"/>
          <w:b/>
          <w:bCs/>
        </w:rPr>
        <w:t>Comisión Ejecutiva de Atención a Víctimas del Estado de Quintana Roo</w:t>
      </w:r>
      <w:r w:rsidRPr="00E56219">
        <w:rPr>
          <w:rFonts w:ascii="Arial" w:hAnsi="Arial" w:cs="Arial"/>
        </w:rPr>
        <w:t xml:space="preserve">, correspondiente al ejercicio fiscal </w:t>
      </w:r>
      <w:r>
        <w:rPr>
          <w:rFonts w:ascii="Arial" w:hAnsi="Arial" w:cs="Arial"/>
          <w:bCs/>
        </w:rPr>
        <w:t>2019</w:t>
      </w:r>
      <w:r w:rsidRPr="00E56219">
        <w:rPr>
          <w:rFonts w:ascii="Arial" w:hAnsi="Arial" w:cs="Arial"/>
        </w:rPr>
        <w:t xml:space="preserve">, </w:t>
      </w:r>
      <w:r w:rsidRPr="00AB37EC">
        <w:rPr>
          <w:rFonts w:ascii="Arial" w:hAnsi="Arial" w:cs="Arial"/>
        </w:rPr>
        <w:t>se encuentra</w:t>
      </w:r>
      <w:r>
        <w:rPr>
          <w:rFonts w:ascii="Arial" w:hAnsi="Arial" w:cs="Arial"/>
        </w:rPr>
        <w:t xml:space="preserve"> reflejada la obtención del</w:t>
      </w:r>
      <w:r w:rsidRPr="00AB37EC">
        <w:rPr>
          <w:rFonts w:ascii="Arial" w:hAnsi="Arial" w:cs="Arial"/>
        </w:rPr>
        <w:t xml:space="preserve"> ingreso </w:t>
      </w:r>
      <w:r>
        <w:rPr>
          <w:rFonts w:ascii="Arial" w:hAnsi="Arial" w:cs="Arial"/>
        </w:rPr>
        <w:t xml:space="preserve">y el ejercicio del gasto público </w:t>
      </w:r>
      <w:r w:rsidR="00E973ED">
        <w:rPr>
          <w:rFonts w:ascii="Arial" w:hAnsi="Arial" w:cs="Arial"/>
        </w:rPr>
        <w:t>de recursos</w:t>
      </w:r>
      <w:r w:rsidR="008026C4">
        <w:rPr>
          <w:rFonts w:ascii="Arial" w:hAnsi="Arial" w:cs="Arial"/>
        </w:rPr>
        <w:t xml:space="preserve"> </w:t>
      </w:r>
      <w:r w:rsidRPr="008026C4">
        <w:rPr>
          <w:rFonts w:ascii="Arial" w:hAnsi="Arial" w:cs="Arial"/>
        </w:rPr>
        <w:t>estatales</w:t>
      </w:r>
      <w:r w:rsidR="00E973ED">
        <w:rPr>
          <w:rFonts w:ascii="Arial" w:hAnsi="Arial" w:cs="Arial"/>
        </w:rPr>
        <w:t xml:space="preserve"> y propios</w:t>
      </w:r>
      <w:r w:rsidRPr="00E56219">
        <w:rPr>
          <w:rFonts w:ascii="Arial" w:hAnsi="Arial" w:cs="Arial"/>
        </w:rPr>
        <w:t xml:space="preserve">. La Cuenta Pública fue entregada a la Auditoría Superior del Estado, en </w:t>
      </w:r>
      <w:r w:rsidRPr="003D46DE">
        <w:rPr>
          <w:rFonts w:ascii="Arial" w:hAnsi="Arial" w:cs="Arial"/>
        </w:rPr>
        <w:t>fecha 25 de agosto de 2020, con oficio No. CEAVEQROO/TC/0987/2020.</w:t>
      </w:r>
    </w:p>
    <w:p w14:paraId="7341D27F" w14:textId="77777777" w:rsidR="005A70EE" w:rsidRPr="00E56219" w:rsidRDefault="005A70EE" w:rsidP="005A70EE">
      <w:pPr>
        <w:spacing w:line="360" w:lineRule="auto"/>
        <w:ind w:right="48"/>
        <w:jc w:val="both"/>
        <w:rPr>
          <w:rFonts w:ascii="Arial" w:hAnsi="Arial" w:cs="Arial"/>
        </w:rPr>
      </w:pPr>
    </w:p>
    <w:p w14:paraId="3F35575C" w14:textId="1748A7FC" w:rsidR="005A70EE" w:rsidRPr="00980F59" w:rsidRDefault="005A70EE" w:rsidP="005A70EE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56219">
        <w:rPr>
          <w:rFonts w:ascii="Arial" w:hAnsi="Arial" w:cs="Arial"/>
          <w:bCs/>
        </w:rPr>
        <w:t>El C. Auditor Superior del Estado de Quintana Roo, de conformidad con lo dispuesto en</w:t>
      </w:r>
      <w:r w:rsidR="00540F42">
        <w:rPr>
          <w:rFonts w:ascii="Arial" w:hAnsi="Arial" w:cs="Arial"/>
          <w:bCs/>
        </w:rPr>
        <w:t xml:space="preserve"> los artículos 8, 19 fracción I</w:t>
      </w:r>
      <w:r w:rsidRPr="00E56219">
        <w:rPr>
          <w:rFonts w:ascii="Arial" w:hAnsi="Arial" w:cs="Arial"/>
          <w:bCs/>
        </w:rPr>
        <w:t xml:space="preserve"> y 86 fracción IV, de la Ley de Fiscalización y Rendición de Cuentas del Estado de Quintana Roo, aprobó en fecha </w:t>
      </w:r>
      <w:r w:rsidRPr="003D46DE">
        <w:rPr>
          <w:rFonts w:ascii="Arial" w:hAnsi="Arial" w:cs="Arial"/>
          <w:bCs/>
        </w:rPr>
        <w:t>30 de junio de 2020 mediante</w:t>
      </w:r>
      <w:r w:rsidRPr="00E56219">
        <w:rPr>
          <w:rFonts w:ascii="Arial" w:hAnsi="Arial" w:cs="Arial"/>
          <w:bCs/>
        </w:rPr>
        <w:t xml:space="preserve"> acuerdo administrativo, el Programa Anual de Auditorías, Visitas e Inspecciones (PAAVI), correspondiente al año </w:t>
      </w:r>
      <w:r>
        <w:rPr>
          <w:rFonts w:ascii="Arial" w:hAnsi="Arial" w:cs="Arial"/>
          <w:bCs/>
        </w:rPr>
        <w:t>2020</w:t>
      </w:r>
      <w:r w:rsidRPr="00E56219">
        <w:rPr>
          <w:rFonts w:ascii="Arial" w:hAnsi="Arial" w:cs="Arial"/>
          <w:bCs/>
        </w:rPr>
        <w:t xml:space="preserve">, para la fiscalización superior de la Cuenta Pública </w:t>
      </w:r>
      <w:r>
        <w:rPr>
          <w:rFonts w:ascii="Arial" w:hAnsi="Arial" w:cs="Arial"/>
          <w:bCs/>
        </w:rPr>
        <w:t>2019</w:t>
      </w:r>
      <w:r w:rsidRPr="00E56219">
        <w:rPr>
          <w:rFonts w:ascii="Arial" w:hAnsi="Arial" w:cs="Arial"/>
          <w:bCs/>
        </w:rPr>
        <w:t>, el cual fue expedido y publicado en el portal web de la Auditoría Superior</w:t>
      </w:r>
      <w:r w:rsidRPr="00094667">
        <w:rPr>
          <w:rFonts w:ascii="Arial" w:hAnsi="Arial" w:cs="Arial"/>
          <w:bCs/>
        </w:rPr>
        <w:t xml:space="preserve"> del Estado de Quintana Roo.</w:t>
      </w:r>
    </w:p>
    <w:p w14:paraId="7C653CC2" w14:textId="77777777" w:rsidR="005A70EE" w:rsidRPr="00980F59" w:rsidRDefault="005A70EE" w:rsidP="005A70EE">
      <w:pPr>
        <w:ind w:right="190"/>
        <w:jc w:val="both"/>
        <w:rPr>
          <w:rFonts w:ascii="Arial" w:hAnsi="Arial" w:cs="Arial"/>
        </w:rPr>
      </w:pPr>
    </w:p>
    <w:p w14:paraId="52D8E499" w14:textId="13E8372D" w:rsidR="005A70EE" w:rsidRPr="00E56219" w:rsidRDefault="005A70EE" w:rsidP="005A70EE">
      <w:pPr>
        <w:spacing w:line="360" w:lineRule="auto"/>
        <w:ind w:right="49"/>
        <w:jc w:val="both"/>
        <w:rPr>
          <w:rFonts w:ascii="Arial" w:hAnsi="Arial" w:cs="Arial"/>
        </w:rPr>
      </w:pPr>
      <w:r w:rsidRPr="00C819B0">
        <w:rPr>
          <w:rFonts w:ascii="Arial" w:hAnsi="Arial" w:cs="Arial"/>
        </w:rPr>
        <w:t>Por lo anterior y en cumplimiento a los artículos 2, 3, 4, 5</w:t>
      </w:r>
      <w:r w:rsidR="00725E32">
        <w:rPr>
          <w:rFonts w:ascii="Arial" w:hAnsi="Arial" w:cs="Arial"/>
        </w:rPr>
        <w:t>, 6</w:t>
      </w:r>
      <w:r w:rsidRPr="00C819B0">
        <w:rPr>
          <w:rFonts w:ascii="Arial" w:hAnsi="Arial" w:cs="Arial"/>
        </w:rPr>
        <w:t xml:space="preserve"> fracciones </w:t>
      </w:r>
      <w:r w:rsidR="00725E32">
        <w:rPr>
          <w:rFonts w:ascii="Arial" w:hAnsi="Arial" w:cs="Arial"/>
        </w:rPr>
        <w:t xml:space="preserve">I, II y XX, </w:t>
      </w:r>
      <w:r w:rsidRPr="00C819B0">
        <w:rPr>
          <w:rFonts w:ascii="Arial" w:hAnsi="Arial" w:cs="Arial"/>
        </w:rPr>
        <w:t>16</w:t>
      </w:r>
      <w:r>
        <w:rPr>
          <w:rFonts w:ascii="Arial" w:hAnsi="Arial" w:cs="Arial"/>
        </w:rPr>
        <w:t>,</w:t>
      </w:r>
      <w:r w:rsidR="00725E32">
        <w:rPr>
          <w:rFonts w:ascii="Arial" w:hAnsi="Arial" w:cs="Arial"/>
        </w:rPr>
        <w:t xml:space="preserve"> 17,</w:t>
      </w:r>
      <w:r w:rsidRPr="00C819B0">
        <w:rPr>
          <w:rFonts w:ascii="Arial" w:hAnsi="Arial" w:cs="Arial"/>
        </w:rPr>
        <w:t xml:space="preserve"> 19 fracciones </w:t>
      </w:r>
      <w:r>
        <w:rPr>
          <w:rFonts w:ascii="Arial" w:hAnsi="Arial" w:cs="Arial"/>
        </w:rPr>
        <w:t>I,</w:t>
      </w:r>
      <w:r w:rsidR="00725E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VI, </w:t>
      </w:r>
      <w:r w:rsidRPr="00C819B0">
        <w:rPr>
          <w:rFonts w:ascii="Arial" w:hAnsi="Arial" w:cs="Arial"/>
        </w:rPr>
        <w:t>VII,</w:t>
      </w:r>
      <w:r>
        <w:rPr>
          <w:rFonts w:ascii="Arial" w:hAnsi="Arial" w:cs="Arial"/>
        </w:rPr>
        <w:t xml:space="preserve"> VIII,</w:t>
      </w:r>
      <w:r w:rsidRPr="00C819B0">
        <w:rPr>
          <w:rFonts w:ascii="Arial" w:hAnsi="Arial" w:cs="Arial"/>
        </w:rPr>
        <w:t xml:space="preserve"> XII,</w:t>
      </w:r>
      <w:r>
        <w:rPr>
          <w:rFonts w:ascii="Arial" w:hAnsi="Arial" w:cs="Arial"/>
        </w:rPr>
        <w:t xml:space="preserve"> XV, </w:t>
      </w:r>
      <w:r w:rsidR="00725E32">
        <w:rPr>
          <w:rFonts w:ascii="Arial" w:hAnsi="Arial" w:cs="Arial"/>
        </w:rPr>
        <w:t>XXVI y XXVIII, 22 en su último párrafo</w:t>
      </w:r>
      <w:r w:rsidRPr="00C819B0">
        <w:rPr>
          <w:rFonts w:ascii="Arial" w:hAnsi="Arial" w:cs="Arial"/>
        </w:rPr>
        <w:t xml:space="preserve">, </w:t>
      </w:r>
      <w:r w:rsidR="00725E32">
        <w:rPr>
          <w:rFonts w:ascii="Arial" w:hAnsi="Arial" w:cs="Arial"/>
        </w:rPr>
        <w:t>38</w:t>
      </w:r>
      <w:r>
        <w:rPr>
          <w:rFonts w:ascii="Arial" w:hAnsi="Arial" w:cs="Arial"/>
        </w:rPr>
        <w:t xml:space="preserve">, </w:t>
      </w:r>
      <w:r w:rsidR="00725E32">
        <w:rPr>
          <w:rFonts w:ascii="Arial" w:hAnsi="Arial" w:cs="Arial"/>
        </w:rPr>
        <w:t xml:space="preserve">41, 42 y 86 </w:t>
      </w:r>
      <w:r w:rsidRPr="00C819B0">
        <w:rPr>
          <w:rFonts w:ascii="Arial" w:hAnsi="Arial" w:cs="Arial"/>
        </w:rPr>
        <w:t>fracciones I</w:t>
      </w:r>
      <w:r w:rsidR="00725E32">
        <w:rPr>
          <w:rFonts w:ascii="Arial" w:hAnsi="Arial" w:cs="Arial"/>
        </w:rPr>
        <w:t>, XVII, XXII y XXXVI</w:t>
      </w:r>
      <w:r w:rsidRPr="00C819B0">
        <w:rPr>
          <w:rFonts w:ascii="Arial" w:hAnsi="Arial" w:cs="Arial"/>
        </w:rPr>
        <w:t xml:space="preserve"> de la Ley de Fiscalización y Rendición de Cuentas del Estado de Quintana Roo, se tiene a bien presentar el</w:t>
      </w:r>
      <w:r w:rsidR="00540F42">
        <w:rPr>
          <w:rFonts w:ascii="Arial" w:hAnsi="Arial" w:cs="Arial"/>
        </w:rPr>
        <w:t xml:space="preserve"> Informe Individual de A</w:t>
      </w:r>
      <w:r w:rsidR="00725E32">
        <w:rPr>
          <w:rFonts w:ascii="Arial" w:hAnsi="Arial" w:cs="Arial"/>
        </w:rPr>
        <w:t xml:space="preserve">uditoria, obtenido con relación </w:t>
      </w:r>
      <w:r w:rsidRPr="00C819B0">
        <w:rPr>
          <w:rFonts w:ascii="Arial" w:hAnsi="Arial" w:cs="Arial"/>
        </w:rPr>
        <w:t>a la Cuenta Pública</w:t>
      </w:r>
      <w:r w:rsidR="00725E32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 xml:space="preserve">la </w:t>
      </w:r>
      <w:r w:rsidRPr="00335956">
        <w:rPr>
          <w:rFonts w:ascii="Arial" w:hAnsi="Arial" w:cs="Arial"/>
          <w:b/>
          <w:bCs/>
        </w:rPr>
        <w:t>Comisión Ejecutiva de Atención a Víctimas del Estado de Quintana Roo</w:t>
      </w:r>
      <w:r w:rsidRPr="001D76C4">
        <w:rPr>
          <w:rFonts w:ascii="Arial" w:hAnsi="Arial" w:cs="Arial"/>
        </w:rPr>
        <w:t>,</w:t>
      </w:r>
      <w:r w:rsidR="00725E32">
        <w:rPr>
          <w:rFonts w:ascii="Arial" w:hAnsi="Arial" w:cs="Arial"/>
          <w:b/>
        </w:rPr>
        <w:t xml:space="preserve"> </w:t>
      </w:r>
      <w:r w:rsidR="00725E32" w:rsidRPr="00725E32">
        <w:rPr>
          <w:rFonts w:ascii="Arial" w:hAnsi="Arial" w:cs="Arial"/>
        </w:rPr>
        <w:t>correspondiente al</w:t>
      </w:r>
      <w:r w:rsidR="00725E32">
        <w:rPr>
          <w:rFonts w:ascii="Arial" w:hAnsi="Arial" w:cs="Arial"/>
          <w:b/>
        </w:rPr>
        <w:t xml:space="preserve"> </w:t>
      </w:r>
      <w:r w:rsidRPr="00E56219">
        <w:rPr>
          <w:rFonts w:ascii="Arial" w:hAnsi="Arial" w:cs="Arial"/>
          <w:bCs/>
        </w:rPr>
        <w:t xml:space="preserve">ejercicio fiscal </w:t>
      </w:r>
      <w:r>
        <w:rPr>
          <w:rFonts w:ascii="Arial" w:hAnsi="Arial" w:cs="Arial"/>
          <w:bCs/>
        </w:rPr>
        <w:t>2019</w:t>
      </w:r>
      <w:r w:rsidRPr="00E56219">
        <w:rPr>
          <w:rFonts w:ascii="Arial" w:hAnsi="Arial" w:cs="Arial"/>
          <w:bCs/>
        </w:rPr>
        <w:t>.</w:t>
      </w:r>
    </w:p>
    <w:p w14:paraId="65C6A0D0" w14:textId="6A640AC9" w:rsidR="005A70EE" w:rsidRDefault="005A70EE" w:rsidP="005A70EE">
      <w:pPr>
        <w:spacing w:line="360" w:lineRule="auto"/>
        <w:ind w:right="190"/>
        <w:rPr>
          <w:rFonts w:ascii="Arial" w:hAnsi="Arial" w:cs="Arial"/>
          <w:bCs/>
        </w:rPr>
      </w:pPr>
    </w:p>
    <w:p w14:paraId="1AFEACEB" w14:textId="77777777" w:rsidR="008026C4" w:rsidRPr="008026C4" w:rsidRDefault="008026C4" w:rsidP="005A70EE">
      <w:pPr>
        <w:spacing w:line="360" w:lineRule="auto"/>
        <w:ind w:right="190"/>
        <w:rPr>
          <w:rFonts w:ascii="Arial" w:hAnsi="Arial" w:cs="Arial"/>
          <w:bCs/>
        </w:rPr>
      </w:pPr>
    </w:p>
    <w:p w14:paraId="4BB73461" w14:textId="77777777" w:rsidR="00DA5E3F" w:rsidRPr="008026C4" w:rsidRDefault="00DA5E3F" w:rsidP="005A70EE">
      <w:pPr>
        <w:spacing w:line="360" w:lineRule="auto"/>
        <w:ind w:right="190"/>
        <w:rPr>
          <w:rFonts w:ascii="Arial" w:hAnsi="Arial" w:cs="Arial"/>
          <w:bCs/>
        </w:rPr>
      </w:pPr>
    </w:p>
    <w:p w14:paraId="5E549D13" w14:textId="77777777" w:rsidR="00DA5E3F" w:rsidRPr="008026C4" w:rsidRDefault="00DA5E3F" w:rsidP="005A70EE">
      <w:pPr>
        <w:spacing w:line="360" w:lineRule="auto"/>
        <w:ind w:right="190"/>
        <w:rPr>
          <w:rFonts w:ascii="Arial" w:hAnsi="Arial" w:cs="Arial"/>
          <w:bCs/>
        </w:rPr>
      </w:pPr>
    </w:p>
    <w:p w14:paraId="10144699" w14:textId="62AE9345" w:rsidR="005A70EE" w:rsidRPr="00E56219" w:rsidRDefault="005A70EE" w:rsidP="005A70EE">
      <w:pPr>
        <w:spacing w:line="360" w:lineRule="auto"/>
        <w:ind w:right="190"/>
        <w:rPr>
          <w:rFonts w:ascii="Arial" w:hAnsi="Arial" w:cs="Arial"/>
          <w:b/>
          <w:bCs/>
        </w:rPr>
      </w:pPr>
      <w:r w:rsidRPr="00E56219">
        <w:rPr>
          <w:rFonts w:ascii="Arial" w:hAnsi="Arial" w:cs="Arial"/>
          <w:b/>
          <w:bCs/>
        </w:rPr>
        <w:lastRenderedPageBreak/>
        <w:t>II.- ANTECEDENTES DE LA ENTIDAD FISCALIZADA</w:t>
      </w:r>
    </w:p>
    <w:p w14:paraId="74E518CC" w14:textId="77777777" w:rsidR="005A70EE" w:rsidRPr="008026C4" w:rsidRDefault="005A70EE" w:rsidP="005A70EE">
      <w:pPr>
        <w:spacing w:line="360" w:lineRule="auto"/>
        <w:ind w:right="190"/>
        <w:jc w:val="both"/>
        <w:rPr>
          <w:rFonts w:ascii="Arial" w:hAnsi="Arial" w:cs="Arial"/>
        </w:rPr>
      </w:pPr>
    </w:p>
    <w:p w14:paraId="13F53350" w14:textId="77777777" w:rsidR="005A70EE" w:rsidRPr="00E56219" w:rsidRDefault="005A70EE" w:rsidP="005A70EE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56219">
        <w:rPr>
          <w:rFonts w:ascii="Arial" w:hAnsi="Arial" w:cs="Arial"/>
          <w:b/>
        </w:rPr>
        <w:t>De su Creación y Objeto</w:t>
      </w:r>
    </w:p>
    <w:p w14:paraId="40BE3870" w14:textId="77777777" w:rsidR="005A70EE" w:rsidRDefault="005A70EE" w:rsidP="005A70EE">
      <w:pPr>
        <w:spacing w:line="360" w:lineRule="auto"/>
        <w:ind w:right="190"/>
        <w:jc w:val="both"/>
        <w:rPr>
          <w:rFonts w:ascii="Arial" w:hAnsi="Arial" w:cs="Arial"/>
        </w:rPr>
      </w:pPr>
    </w:p>
    <w:p w14:paraId="5C87F940" w14:textId="740D6408" w:rsidR="005A70EE" w:rsidRDefault="005A70EE" w:rsidP="005A70EE">
      <w:pPr>
        <w:spacing w:line="360" w:lineRule="auto"/>
        <w:ind w:right="49"/>
        <w:jc w:val="both"/>
        <w:rPr>
          <w:rFonts w:ascii="Arial" w:hAnsi="Arial" w:cs="Arial"/>
        </w:rPr>
      </w:pPr>
      <w:r w:rsidRPr="007E1CAE">
        <w:rPr>
          <w:rFonts w:ascii="Arial" w:hAnsi="Arial" w:cs="Arial"/>
        </w:rPr>
        <w:t>Con fecha 7 de abril de 2014, el Ejecutivo Estatal publicó en el Periódico Oficial del Gobierno del Estado Libre y Soberano de Quintana Roo, el Decreto por el que se expide la Ley de</w:t>
      </w:r>
      <w:r w:rsidR="00351DED">
        <w:rPr>
          <w:rFonts w:ascii="Arial" w:hAnsi="Arial" w:cs="Arial"/>
        </w:rPr>
        <w:t xml:space="preserve"> Víctimas del Estado de Quintana Roo, en la cual se creó</w:t>
      </w:r>
      <w:r w:rsidRPr="007E1CAE">
        <w:rPr>
          <w:rFonts w:ascii="Arial" w:hAnsi="Arial" w:cs="Arial"/>
        </w:rPr>
        <w:t xml:space="preserve"> la </w:t>
      </w:r>
      <w:r w:rsidRPr="007E1CAE">
        <w:rPr>
          <w:rFonts w:ascii="Arial" w:hAnsi="Arial" w:cs="Arial"/>
          <w:b/>
        </w:rPr>
        <w:t>Comisión Ejecutiva de Atención a Víctimas del Estado de Quintana Roo</w:t>
      </w:r>
      <w:r w:rsidRPr="007E1CAE">
        <w:rPr>
          <w:rFonts w:ascii="Arial" w:hAnsi="Arial" w:cs="Arial"/>
        </w:rPr>
        <w:t xml:space="preserve">, como un </w:t>
      </w:r>
      <w:r w:rsidRPr="00B556A4">
        <w:rPr>
          <w:rFonts w:ascii="Arial" w:hAnsi="Arial" w:cs="Arial"/>
        </w:rPr>
        <w:t>Organismo Público Descentralizado de la Administración Pública Estatal, con personalidad jurídica, patrimonio propio y autonomía técnica y de gestión, responsable de la ejecución de los instrumentos, políticas, servicios y acciones estatales en materia de ayuda, asistencia, atención y reparación a las víctimas.</w:t>
      </w:r>
    </w:p>
    <w:p w14:paraId="677200E9" w14:textId="77777777" w:rsidR="005A70EE" w:rsidRPr="007E1CAE" w:rsidRDefault="005A70EE" w:rsidP="005A70EE">
      <w:pPr>
        <w:spacing w:line="360" w:lineRule="auto"/>
        <w:ind w:right="49"/>
        <w:jc w:val="both"/>
        <w:rPr>
          <w:rFonts w:ascii="Arial" w:hAnsi="Arial" w:cs="Arial"/>
        </w:rPr>
      </w:pPr>
    </w:p>
    <w:p w14:paraId="1B99E3BB" w14:textId="6FDAF7BE" w:rsidR="005A70EE" w:rsidRDefault="005A70EE" w:rsidP="005A70EE">
      <w:pPr>
        <w:spacing w:line="360" w:lineRule="auto"/>
        <w:ind w:right="49"/>
        <w:jc w:val="both"/>
        <w:rPr>
          <w:rFonts w:ascii="Arial" w:hAnsi="Arial" w:cs="Arial"/>
        </w:rPr>
      </w:pPr>
      <w:r w:rsidRPr="007E1CAE">
        <w:rPr>
          <w:rFonts w:ascii="Arial" w:hAnsi="Arial" w:cs="Arial"/>
        </w:rPr>
        <w:t xml:space="preserve">La </w:t>
      </w:r>
      <w:r w:rsidRPr="00F03AE2">
        <w:rPr>
          <w:rFonts w:ascii="Arial" w:hAnsi="Arial" w:cs="Arial"/>
          <w:b/>
        </w:rPr>
        <w:t>Comisión Ejecutiva de Atención a Víctimas del Estado de Quintana Roo</w:t>
      </w:r>
      <w:r w:rsidR="00E14F88">
        <w:rPr>
          <w:rFonts w:ascii="Arial" w:hAnsi="Arial" w:cs="Arial"/>
          <w:b/>
        </w:rPr>
        <w:t>,</w:t>
      </w:r>
      <w:r w:rsidRPr="007E1CAE">
        <w:rPr>
          <w:rFonts w:ascii="Arial" w:hAnsi="Arial" w:cs="Arial"/>
        </w:rPr>
        <w:t xml:space="preserve"> tiene por objeto la coordinación de instrumentos, políticas, servicios y acciones estatales en materia de ayuda, asistencia, atención y reparación a las víctimas, así como del Registro Estatal, del Fondo Estatal y de la asesoría jurídica legal</w:t>
      </w:r>
      <w:r>
        <w:rPr>
          <w:rFonts w:ascii="Arial" w:hAnsi="Arial" w:cs="Arial"/>
        </w:rPr>
        <w:t>.</w:t>
      </w:r>
    </w:p>
    <w:p w14:paraId="70879352" w14:textId="77777777" w:rsidR="003A721E" w:rsidRPr="008026C4" w:rsidRDefault="003A721E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C2BAF1F" w14:textId="6A1FD7B2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351DED">
        <w:rPr>
          <w:rFonts w:ascii="Arial" w:hAnsi="Arial" w:cs="Arial"/>
          <w:b/>
          <w:bCs/>
        </w:rPr>
        <w:t xml:space="preserve"> Y EGRESOS</w:t>
      </w:r>
    </w:p>
    <w:p w14:paraId="52E9F554" w14:textId="77777777" w:rsidR="00C47B98" w:rsidRPr="008026C4" w:rsidRDefault="00C47B98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8026C4" w:rsidRDefault="003A721E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8026C4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41E7DCE4" w14:textId="358C5607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="005A70EE" w:rsidRPr="00335956">
        <w:rPr>
          <w:rFonts w:ascii="Arial" w:hAnsi="Arial" w:cs="Arial"/>
          <w:b/>
          <w:bCs/>
        </w:rPr>
        <w:t>Comisión Ejecutiva de Atención a Víctimas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8"/>
        <w:gridCol w:w="6090"/>
      </w:tblGrid>
      <w:tr w:rsidR="008026C4" w:rsidRPr="00633D0C" w14:paraId="649EA66B" w14:textId="77777777" w:rsidTr="00E973ED">
        <w:trPr>
          <w:jc w:val="center"/>
        </w:trPr>
        <w:tc>
          <w:tcPr>
            <w:tcW w:w="3598" w:type="dxa"/>
          </w:tcPr>
          <w:p w14:paraId="6DBE0A1B" w14:textId="0E7E7A17" w:rsidR="008026C4" w:rsidRDefault="008026C4" w:rsidP="008026C4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>19-AEMF-D-GOB-027-</w:t>
            </w:r>
            <w:r w:rsidR="00297C2A">
              <w:rPr>
                <w:rFonts w:ascii="Arial" w:hAnsi="Arial" w:cs="Arial"/>
                <w:b/>
              </w:rPr>
              <w:t>058</w:t>
            </w:r>
          </w:p>
        </w:tc>
        <w:tc>
          <w:tcPr>
            <w:tcW w:w="6090" w:type="dxa"/>
          </w:tcPr>
          <w:p w14:paraId="2E96A758" w14:textId="77777777" w:rsidR="008026C4" w:rsidRPr="00633D0C" w:rsidRDefault="008026C4" w:rsidP="00815C7C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33D0C">
              <w:rPr>
                <w:rFonts w:ascii="Arial" w:hAnsi="Arial" w:cs="Arial"/>
                <w:bCs/>
              </w:rPr>
              <w:t>“Auditoría de Cumplimiento Financiero de Ingresos y Otros Beneficios</w:t>
            </w:r>
            <w:r w:rsidRPr="00125F2D">
              <w:rPr>
                <w:rFonts w:ascii="Arial" w:hAnsi="Arial" w:cs="Arial"/>
                <w:bCs/>
              </w:rPr>
              <w:t>; Gastos y Otras Pérdidas”.</w:t>
            </w:r>
          </w:p>
        </w:tc>
      </w:tr>
    </w:tbl>
    <w:p w14:paraId="261DF85F" w14:textId="77777777" w:rsidR="00202093" w:rsidRPr="008026C4" w:rsidRDefault="00202093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25C0B2ED" w14:textId="1F17BF03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2A3546">
        <w:rPr>
          <w:rFonts w:ascii="Arial" w:hAnsi="Arial" w:cs="Arial"/>
          <w:b/>
          <w:bCs/>
        </w:rPr>
        <w:t>B</w:t>
      </w:r>
      <w:r w:rsidR="000A5A85" w:rsidRPr="002A3546">
        <w:rPr>
          <w:rFonts w:ascii="Arial" w:hAnsi="Arial" w:cs="Arial"/>
          <w:b/>
          <w:bCs/>
        </w:rPr>
        <w:t>.</w:t>
      </w:r>
      <w:r w:rsidR="00AA50F2" w:rsidRPr="002A3546">
        <w:rPr>
          <w:rFonts w:ascii="Arial" w:hAnsi="Arial" w:cs="Arial"/>
          <w:b/>
          <w:bCs/>
        </w:rPr>
        <w:t xml:space="preserve"> Objetivo</w:t>
      </w:r>
      <w:r w:rsidR="002A3546" w:rsidRPr="002A3546">
        <w:rPr>
          <w:rFonts w:ascii="Arial" w:hAnsi="Arial" w:cs="Arial"/>
          <w:b/>
          <w:bCs/>
        </w:rPr>
        <w:t xml:space="preserve"> </w:t>
      </w:r>
    </w:p>
    <w:p w14:paraId="2E45D616" w14:textId="0E4D7BDA" w:rsidR="00AA50F2" w:rsidRDefault="00AA50F2" w:rsidP="002A354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D95244D" w14:textId="4F657CA6" w:rsidR="00297C2A" w:rsidRDefault="00297C2A" w:rsidP="00297C2A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</w:t>
      </w:r>
      <w:r w:rsidRPr="00297C2A">
        <w:rPr>
          <w:rFonts w:ascii="Arial" w:hAnsi="Arial" w:cs="Arial"/>
          <w:bCs/>
        </w:rPr>
        <w:t>iscalizar la gestión financiera para comprobar el cumplimiento de la dispuesto en la Ley de Ingresos y el Presupuesto de Egresos y demás disposiciones legales aplicables, en cuanto a sus ingresos y gastos públicos, incluyendo la revisión del manejo, custodia y la aplicación de recursos públicos estatales, así como la demás información financiera, contable, patrimonial, presupuestaria y programática, conforme a las disposiciones aplicables</w:t>
      </w:r>
      <w:r w:rsidR="00474A85">
        <w:rPr>
          <w:rFonts w:ascii="Arial" w:hAnsi="Arial" w:cs="Arial"/>
          <w:bCs/>
        </w:rPr>
        <w:t xml:space="preserve"> del presupuesto asignado a la </w:t>
      </w:r>
      <w:r w:rsidR="00474A85" w:rsidRPr="00335956">
        <w:rPr>
          <w:rFonts w:ascii="Arial" w:hAnsi="Arial" w:cs="Arial"/>
          <w:b/>
          <w:bCs/>
        </w:rPr>
        <w:t>Comisión Ejecutiva de Atención a Víctimas del Estado de Quintana Roo</w:t>
      </w:r>
      <w:r w:rsidR="00474A85">
        <w:rPr>
          <w:rFonts w:ascii="Arial" w:hAnsi="Arial" w:cs="Arial"/>
          <w:b/>
          <w:bCs/>
        </w:rPr>
        <w:t>.</w:t>
      </w:r>
    </w:p>
    <w:p w14:paraId="4832CDCD" w14:textId="04E2EA67" w:rsidR="00AA50F2" w:rsidRP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600E1A12" w14:textId="77777777" w:rsidR="00AA50F2" w:rsidRPr="00AA50F2" w:rsidRDefault="00FF74D2" w:rsidP="00297C2A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0762E8DA" w:rsidR="00AA50F2" w:rsidRDefault="00AA50F2" w:rsidP="00297C2A">
      <w:pPr>
        <w:spacing w:line="360" w:lineRule="auto"/>
        <w:jc w:val="both"/>
        <w:rPr>
          <w:rFonts w:ascii="Arial" w:hAnsi="Arial" w:cs="Arial"/>
        </w:rPr>
      </w:pPr>
    </w:p>
    <w:p w14:paraId="788BABFD" w14:textId="3BEF7D8F" w:rsidR="00351DED" w:rsidRPr="00351DED" w:rsidRDefault="00351DED" w:rsidP="00297C2A">
      <w:pPr>
        <w:spacing w:line="360" w:lineRule="auto"/>
        <w:jc w:val="both"/>
        <w:rPr>
          <w:rFonts w:ascii="Arial" w:hAnsi="Arial" w:cs="Arial"/>
          <w:b/>
        </w:rPr>
      </w:pPr>
      <w:r w:rsidRPr="00351DED">
        <w:rPr>
          <w:rFonts w:ascii="Arial" w:hAnsi="Arial" w:cs="Arial"/>
          <w:b/>
        </w:rPr>
        <w:t>Ingresos y Otros Beneficios</w:t>
      </w:r>
    </w:p>
    <w:p w14:paraId="477810E6" w14:textId="77777777" w:rsidR="00351DED" w:rsidRPr="007B1830" w:rsidRDefault="00351DED" w:rsidP="00297C2A">
      <w:pPr>
        <w:spacing w:line="360" w:lineRule="auto"/>
        <w:jc w:val="both"/>
        <w:rPr>
          <w:rFonts w:ascii="Arial" w:hAnsi="Arial" w:cs="Arial"/>
        </w:rPr>
      </w:pPr>
    </w:p>
    <w:p w14:paraId="7C14FB25" w14:textId="64A973F3" w:rsidR="00AA50F2" w:rsidRDefault="00E34202" w:rsidP="00297C2A">
      <w:pPr>
        <w:spacing w:line="360" w:lineRule="auto"/>
        <w:jc w:val="both"/>
        <w:rPr>
          <w:rFonts w:ascii="Arial" w:hAnsi="Arial" w:cs="Arial"/>
          <w:bCs/>
          <w:color w:val="000000"/>
          <w:lang w:eastAsia="es-MX"/>
        </w:rPr>
      </w:pPr>
      <w:r w:rsidRPr="009879F6">
        <w:rPr>
          <w:rFonts w:ascii="Arial" w:hAnsi="Arial" w:cs="Arial"/>
          <w:b/>
        </w:rPr>
        <w:t>Universo</w:t>
      </w:r>
      <w:r w:rsidR="00AA50F2" w:rsidRPr="00DA2DD5">
        <w:rPr>
          <w:rFonts w:ascii="Arial" w:hAnsi="Arial" w:cs="Arial"/>
          <w:b/>
        </w:rPr>
        <w:t xml:space="preserve">: </w:t>
      </w:r>
      <w:r w:rsidR="002B73FC">
        <w:rPr>
          <w:rFonts w:ascii="Arial" w:hAnsi="Arial" w:cs="Arial"/>
          <w:bCs/>
          <w:color w:val="000000"/>
        </w:rPr>
        <w:t>$</w:t>
      </w:r>
      <w:r w:rsidR="002B73FC" w:rsidRPr="002B73FC">
        <w:rPr>
          <w:rFonts w:ascii="Arial" w:hAnsi="Arial" w:cs="Arial"/>
          <w:bCs/>
          <w:color w:val="000000"/>
          <w:lang w:eastAsia="es-MX"/>
        </w:rPr>
        <w:t>25,886,982.72</w:t>
      </w:r>
    </w:p>
    <w:p w14:paraId="53D21921" w14:textId="77777777" w:rsidR="002B73FC" w:rsidRDefault="002B73FC" w:rsidP="00297C2A">
      <w:pPr>
        <w:spacing w:line="360" w:lineRule="auto"/>
        <w:jc w:val="both"/>
        <w:rPr>
          <w:rFonts w:ascii="Arial" w:hAnsi="Arial" w:cs="Arial"/>
          <w:bCs/>
          <w:color w:val="000000"/>
          <w:lang w:eastAsia="es-MX"/>
        </w:rPr>
      </w:pPr>
    </w:p>
    <w:p w14:paraId="634CA40A" w14:textId="6C1A8541" w:rsidR="00DA2DD5" w:rsidRDefault="00A720AA" w:rsidP="00297C2A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  <w:bookmarkStart w:id="2" w:name="_Toc518907881"/>
      <w:bookmarkStart w:id="3" w:name="_Toc520196704"/>
      <w:r w:rsidRPr="009879F6">
        <w:rPr>
          <w:rFonts w:ascii="Arial" w:hAnsi="Arial" w:cs="Arial"/>
          <w:b/>
        </w:rPr>
        <w:t xml:space="preserve">Población Objetivo: </w:t>
      </w:r>
      <w:r w:rsidR="002B73FC">
        <w:rPr>
          <w:rFonts w:ascii="Arial" w:hAnsi="Arial" w:cs="Arial"/>
          <w:bCs/>
          <w:color w:val="000000"/>
        </w:rPr>
        <w:t>$25,886,982.72</w:t>
      </w:r>
    </w:p>
    <w:p w14:paraId="5E1E76C7" w14:textId="079A55F9" w:rsidR="00A720AA" w:rsidRPr="009879F6" w:rsidRDefault="00A720AA" w:rsidP="00297C2A">
      <w:pPr>
        <w:spacing w:line="360" w:lineRule="auto"/>
        <w:rPr>
          <w:rFonts w:ascii="Arial" w:hAnsi="Arial" w:cs="Arial"/>
        </w:rPr>
      </w:pPr>
    </w:p>
    <w:p w14:paraId="3C316B61" w14:textId="41C601DE" w:rsidR="00AA50F2" w:rsidRPr="009879F6" w:rsidRDefault="00AA50F2" w:rsidP="00297C2A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2"/>
      <w:bookmarkEnd w:id="3"/>
      <w:r w:rsidR="002B73FC">
        <w:rPr>
          <w:rFonts w:ascii="Arial" w:hAnsi="Arial" w:cs="Arial"/>
        </w:rPr>
        <w:t>$25,824,473.91</w:t>
      </w:r>
    </w:p>
    <w:p w14:paraId="76F7D8C2" w14:textId="77777777" w:rsidR="002B73FC" w:rsidRDefault="002B73FC" w:rsidP="00297C2A">
      <w:pPr>
        <w:spacing w:line="360" w:lineRule="auto"/>
        <w:rPr>
          <w:rFonts w:ascii="Arial" w:hAnsi="Arial" w:cs="Arial"/>
        </w:rPr>
      </w:pPr>
      <w:bookmarkStart w:id="4" w:name="_Toc518907882"/>
      <w:bookmarkStart w:id="5" w:name="_Toc520196705"/>
    </w:p>
    <w:p w14:paraId="15590F48" w14:textId="122C8537" w:rsidR="00AA50F2" w:rsidRPr="009879F6" w:rsidRDefault="00FA4D20" w:rsidP="00297C2A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4"/>
      <w:bookmarkEnd w:id="5"/>
      <w:r w:rsidR="008201BE">
        <w:rPr>
          <w:rFonts w:ascii="Arial" w:hAnsi="Arial" w:cs="Arial"/>
        </w:rPr>
        <w:t>99.76</w:t>
      </w:r>
      <w:r w:rsidR="00AA50F2" w:rsidRPr="009879F6">
        <w:rPr>
          <w:rFonts w:ascii="Arial" w:hAnsi="Arial" w:cs="Arial"/>
        </w:rPr>
        <w:t>%</w:t>
      </w:r>
    </w:p>
    <w:p w14:paraId="14ABF74E" w14:textId="3FC38FF4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39E7834D" w14:textId="70E5BCB2" w:rsidR="00D758CB" w:rsidRPr="008201BE" w:rsidRDefault="00D758CB" w:rsidP="00FC2B31">
      <w:pPr>
        <w:spacing w:line="360" w:lineRule="auto"/>
        <w:ind w:right="190"/>
        <w:jc w:val="both"/>
        <w:rPr>
          <w:rFonts w:ascii="Arial" w:hAnsi="Arial" w:cs="Arial"/>
          <w:iCs/>
        </w:rPr>
      </w:pPr>
      <w:r w:rsidRPr="008201BE">
        <w:rPr>
          <w:rFonts w:ascii="Arial" w:hAnsi="Arial" w:cs="Arial"/>
          <w:iCs/>
        </w:rPr>
        <w:t>Durante el ejercicio auditado, el ente fiscalizado no recibió recursos federales, por lo cual el Universo y la Población Objetivo quedaron integradas úni</w:t>
      </w:r>
      <w:r w:rsidR="008201BE" w:rsidRPr="008201BE">
        <w:rPr>
          <w:rFonts w:ascii="Arial" w:hAnsi="Arial" w:cs="Arial"/>
          <w:iCs/>
        </w:rPr>
        <w:t>camente por recursos estatales y propios</w:t>
      </w:r>
      <w:r w:rsidRPr="008201BE">
        <w:rPr>
          <w:rFonts w:ascii="Arial" w:hAnsi="Arial" w:cs="Arial"/>
          <w:iCs/>
        </w:rPr>
        <w:t>.</w:t>
      </w:r>
    </w:p>
    <w:p w14:paraId="240DF2F4" w14:textId="37DE5D3F" w:rsidR="00324DC9" w:rsidRDefault="00324DC9" w:rsidP="00324D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lastRenderedPageBreak/>
        <w:t>La población o</w:t>
      </w:r>
      <w:r w:rsidRPr="00C14863">
        <w:rPr>
          <w:rFonts w:ascii="Arial" w:hAnsi="Arial" w:cs="Arial"/>
          <w:lang w:val="es-ES"/>
        </w:rPr>
        <w:t xml:space="preserve">bjetivo se determinó sobre la base de los </w:t>
      </w:r>
      <w:r>
        <w:rPr>
          <w:rFonts w:ascii="Arial" w:hAnsi="Arial" w:cs="Arial"/>
          <w:lang w:val="es-ES"/>
        </w:rPr>
        <w:t>ingresos y o</w:t>
      </w:r>
      <w:r w:rsidRPr="00C14863">
        <w:rPr>
          <w:rFonts w:ascii="Arial" w:hAnsi="Arial" w:cs="Arial"/>
          <w:lang w:val="es-ES"/>
        </w:rPr>
        <w:t xml:space="preserve">tros </w:t>
      </w:r>
      <w:r>
        <w:rPr>
          <w:rFonts w:ascii="Arial" w:hAnsi="Arial" w:cs="Arial"/>
          <w:lang w:val="es-ES"/>
        </w:rPr>
        <w:t>b</w:t>
      </w:r>
      <w:r w:rsidRPr="00C14863">
        <w:rPr>
          <w:rFonts w:ascii="Arial" w:hAnsi="Arial" w:cs="Arial"/>
          <w:lang w:val="es-ES"/>
        </w:rPr>
        <w:t xml:space="preserve">eneficios que forman parte del Estado de Actividades por el período comprendido del 1º de </w:t>
      </w:r>
      <w:r w:rsidR="00147E78">
        <w:rPr>
          <w:rFonts w:ascii="Arial" w:hAnsi="Arial" w:cs="Arial"/>
          <w:lang w:val="es-ES"/>
        </w:rPr>
        <w:t>enero al 31 de diciembre de 2019</w:t>
      </w:r>
      <w:r w:rsidR="00CB243A">
        <w:rPr>
          <w:rFonts w:ascii="Arial" w:hAnsi="Arial" w:cs="Arial"/>
          <w:lang w:val="es-ES"/>
        </w:rPr>
        <w:t>.</w:t>
      </w:r>
    </w:p>
    <w:p w14:paraId="0AC78A16" w14:textId="09523C4F" w:rsidR="00453A38" w:rsidRDefault="00453A38" w:rsidP="0060074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5931D47" w14:textId="77777777" w:rsidR="002A51D9" w:rsidRDefault="002A51D9" w:rsidP="00474A85">
      <w:pPr>
        <w:spacing w:line="360" w:lineRule="auto"/>
        <w:jc w:val="both"/>
        <w:rPr>
          <w:rFonts w:ascii="Arial" w:hAnsi="Arial" w:cs="Arial"/>
          <w:b/>
        </w:rPr>
      </w:pPr>
      <w:r w:rsidRPr="00201BCE">
        <w:rPr>
          <w:rFonts w:ascii="Arial" w:hAnsi="Arial" w:cs="Arial"/>
          <w:b/>
        </w:rPr>
        <w:t>Gastos y Otras Pérdidas</w:t>
      </w:r>
    </w:p>
    <w:p w14:paraId="4A736E6D" w14:textId="1A73954A" w:rsidR="00324DC9" w:rsidRPr="00474A85" w:rsidRDefault="00324DC9" w:rsidP="00474A85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8138C52" w14:textId="64B8D762" w:rsidR="002A51D9" w:rsidRDefault="002A51D9" w:rsidP="00474A85">
      <w:pPr>
        <w:spacing w:line="360" w:lineRule="auto"/>
        <w:jc w:val="both"/>
        <w:rPr>
          <w:rFonts w:ascii="Arial" w:hAnsi="Arial" w:cs="Arial"/>
          <w:bCs/>
          <w:color w:val="000000"/>
          <w:lang w:eastAsia="es-MX"/>
        </w:rPr>
      </w:pPr>
      <w:r w:rsidRPr="009879F6">
        <w:rPr>
          <w:rFonts w:ascii="Arial" w:hAnsi="Arial" w:cs="Arial"/>
          <w:b/>
        </w:rPr>
        <w:t>Universo</w:t>
      </w:r>
      <w:r w:rsidRPr="00DA2DD5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  <w:color w:val="000000"/>
        </w:rPr>
        <w:t>$</w:t>
      </w:r>
      <w:r w:rsidR="00147E78">
        <w:rPr>
          <w:rFonts w:ascii="Arial" w:hAnsi="Arial" w:cs="Arial"/>
          <w:bCs/>
          <w:color w:val="000000"/>
          <w:lang w:eastAsia="es-MX"/>
        </w:rPr>
        <w:t>23,036,294.82</w:t>
      </w:r>
    </w:p>
    <w:p w14:paraId="10FAEDCC" w14:textId="77777777" w:rsidR="002A51D9" w:rsidRPr="00474A85" w:rsidRDefault="002A51D9" w:rsidP="00474A85">
      <w:pPr>
        <w:spacing w:line="360" w:lineRule="auto"/>
        <w:jc w:val="both"/>
        <w:rPr>
          <w:rFonts w:ascii="Arial" w:hAnsi="Arial" w:cs="Arial"/>
          <w:bCs/>
          <w:color w:val="000000"/>
          <w:lang w:eastAsia="es-MX"/>
        </w:rPr>
      </w:pPr>
    </w:p>
    <w:p w14:paraId="5249AD4E" w14:textId="20EEBE35" w:rsidR="002A51D9" w:rsidRDefault="002A51D9" w:rsidP="00474A85">
      <w:pPr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lang w:eastAsia="es-MX"/>
        </w:rPr>
      </w:pPr>
      <w:r w:rsidRPr="009879F6">
        <w:rPr>
          <w:rFonts w:ascii="Arial" w:hAnsi="Arial" w:cs="Arial"/>
          <w:b/>
        </w:rPr>
        <w:t xml:space="preserve">Población Objetivo: </w:t>
      </w:r>
      <w:r>
        <w:rPr>
          <w:rFonts w:ascii="Arial" w:hAnsi="Arial" w:cs="Arial"/>
          <w:bCs/>
          <w:color w:val="000000"/>
        </w:rPr>
        <w:t>$</w:t>
      </w:r>
      <w:r w:rsidR="00147E78">
        <w:rPr>
          <w:rFonts w:ascii="Arial" w:hAnsi="Arial" w:cs="Arial"/>
          <w:bCs/>
          <w:color w:val="000000"/>
        </w:rPr>
        <w:t>23,036,294.82</w:t>
      </w:r>
    </w:p>
    <w:p w14:paraId="6F8A717C" w14:textId="77777777" w:rsidR="002A51D9" w:rsidRPr="009879F6" w:rsidRDefault="002A51D9" w:rsidP="00474A85">
      <w:pPr>
        <w:spacing w:line="360" w:lineRule="auto"/>
        <w:rPr>
          <w:rFonts w:ascii="Arial" w:hAnsi="Arial" w:cs="Arial"/>
        </w:rPr>
      </w:pPr>
    </w:p>
    <w:p w14:paraId="2D308E52" w14:textId="5F2EB2BF" w:rsidR="002A51D9" w:rsidRPr="009879F6" w:rsidRDefault="002A51D9" w:rsidP="00474A85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="00147E78">
        <w:rPr>
          <w:rFonts w:ascii="Arial" w:hAnsi="Arial" w:cs="Arial"/>
        </w:rPr>
        <w:t>16,949,021.24</w:t>
      </w:r>
    </w:p>
    <w:p w14:paraId="3AD0A566" w14:textId="77777777" w:rsidR="002A51D9" w:rsidRDefault="002A51D9" w:rsidP="00474A85">
      <w:pPr>
        <w:spacing w:line="360" w:lineRule="auto"/>
        <w:rPr>
          <w:rFonts w:ascii="Arial" w:hAnsi="Arial" w:cs="Arial"/>
        </w:rPr>
      </w:pPr>
    </w:p>
    <w:p w14:paraId="71660A13" w14:textId="01CF75DF" w:rsidR="002A51D9" w:rsidRDefault="002A51D9" w:rsidP="00474A85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147E78">
        <w:rPr>
          <w:rFonts w:ascii="Arial" w:hAnsi="Arial" w:cs="Arial"/>
        </w:rPr>
        <w:t>73.58%</w:t>
      </w:r>
    </w:p>
    <w:p w14:paraId="0EE9918E" w14:textId="72E23ADF" w:rsidR="008F03E8" w:rsidRDefault="008F03E8" w:rsidP="00474A85">
      <w:pPr>
        <w:spacing w:line="360" w:lineRule="auto"/>
        <w:rPr>
          <w:rFonts w:ascii="Arial" w:hAnsi="Arial" w:cs="Arial"/>
        </w:rPr>
      </w:pPr>
    </w:p>
    <w:p w14:paraId="7C61DB81" w14:textId="05C7E365" w:rsidR="008F03E8" w:rsidRDefault="008F03E8" w:rsidP="00147E78">
      <w:pPr>
        <w:spacing w:line="360" w:lineRule="auto"/>
        <w:jc w:val="both"/>
        <w:rPr>
          <w:rFonts w:ascii="Arial" w:hAnsi="Arial" w:cs="Arial"/>
        </w:rPr>
      </w:pPr>
      <w:r w:rsidRPr="008F03E8">
        <w:rPr>
          <w:rFonts w:ascii="Arial" w:hAnsi="Arial" w:cs="Arial"/>
        </w:rPr>
        <w:t>Durante el ejercicio auditado, el ente fiscalizado no recibió recursos federales, por lo cual el Universo y la Población Objetivo quedaron integradas únicamente por recursos</w:t>
      </w:r>
      <w:r>
        <w:rPr>
          <w:rFonts w:ascii="Arial" w:hAnsi="Arial" w:cs="Arial"/>
        </w:rPr>
        <w:t xml:space="preserve"> estatales y propios.</w:t>
      </w:r>
    </w:p>
    <w:p w14:paraId="606B5BB4" w14:textId="77777777" w:rsidR="00380622" w:rsidRDefault="00380622" w:rsidP="00147E78">
      <w:pPr>
        <w:spacing w:line="360" w:lineRule="auto"/>
        <w:jc w:val="both"/>
        <w:rPr>
          <w:rFonts w:ascii="Arial" w:hAnsi="Arial" w:cs="Arial"/>
        </w:rPr>
      </w:pPr>
    </w:p>
    <w:p w14:paraId="2661826A" w14:textId="0CA7D727" w:rsidR="008F03E8" w:rsidRDefault="008F03E8" w:rsidP="00147E78">
      <w:pPr>
        <w:spacing w:line="360" w:lineRule="auto"/>
        <w:jc w:val="both"/>
        <w:rPr>
          <w:rFonts w:ascii="Arial" w:hAnsi="Arial" w:cs="Arial"/>
        </w:rPr>
      </w:pPr>
      <w:r w:rsidRPr="008F03E8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gastos y otras pérdidas</w:t>
      </w:r>
      <w:r w:rsidRPr="008F03E8">
        <w:rPr>
          <w:rFonts w:ascii="Arial" w:hAnsi="Arial" w:cs="Arial"/>
        </w:rPr>
        <w:t xml:space="preserve"> que forman parte del </w:t>
      </w:r>
      <w:r>
        <w:rPr>
          <w:rFonts w:ascii="Arial" w:hAnsi="Arial" w:cs="Arial"/>
        </w:rPr>
        <w:t>Estado de Actividades</w:t>
      </w:r>
      <w:r w:rsidRPr="008F03E8">
        <w:rPr>
          <w:rFonts w:ascii="Arial" w:hAnsi="Arial" w:cs="Arial"/>
        </w:rPr>
        <w:t xml:space="preserve"> por el período comprendido del 1º de ener</w:t>
      </w:r>
      <w:r>
        <w:rPr>
          <w:rFonts w:ascii="Arial" w:hAnsi="Arial" w:cs="Arial"/>
        </w:rPr>
        <w:t>o al 31 de diciembre de 2019</w:t>
      </w:r>
      <w:r w:rsidR="00CB243A">
        <w:rPr>
          <w:rFonts w:ascii="Arial" w:hAnsi="Arial" w:cs="Arial"/>
        </w:rPr>
        <w:t>.</w:t>
      </w:r>
    </w:p>
    <w:p w14:paraId="0D55E732" w14:textId="77777777" w:rsidR="008F03E8" w:rsidRDefault="008F03E8" w:rsidP="00147E78">
      <w:pPr>
        <w:spacing w:line="360" w:lineRule="auto"/>
        <w:jc w:val="both"/>
        <w:rPr>
          <w:rFonts w:ascii="Arial" w:hAnsi="Arial" w:cs="Arial"/>
        </w:rPr>
      </w:pPr>
    </w:p>
    <w:p w14:paraId="225F6A6F" w14:textId="5060CF86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5E6E2BFA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172640">
        <w:rPr>
          <w:rFonts w:ascii="Arial" w:hAnsi="Arial" w:cs="Arial"/>
          <w:bCs/>
        </w:rPr>
        <w:t>de los ingresos y otros b</w:t>
      </w:r>
      <w:r w:rsidR="00F95632">
        <w:rPr>
          <w:rFonts w:ascii="Arial" w:hAnsi="Arial" w:cs="Arial"/>
          <w:bCs/>
        </w:rPr>
        <w:t>eneficios</w:t>
      </w:r>
      <w:r w:rsidR="00E14F88">
        <w:rPr>
          <w:rFonts w:ascii="Arial" w:hAnsi="Arial" w:cs="Arial"/>
          <w:bCs/>
        </w:rPr>
        <w:t>,</w:t>
      </w:r>
      <w:r w:rsidR="00172640" w:rsidRPr="00172640">
        <w:t xml:space="preserve"> </w:t>
      </w:r>
      <w:r w:rsidR="00172640" w:rsidRPr="00172640">
        <w:rPr>
          <w:rFonts w:ascii="Arial" w:hAnsi="Arial" w:cs="Arial"/>
          <w:bCs/>
        </w:rPr>
        <w:t>así como de los gastos y otras pérdidas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</w:t>
      </w:r>
      <w:r w:rsidR="003A721E" w:rsidRPr="009879F6">
        <w:rPr>
          <w:rFonts w:ascii="Arial" w:hAnsi="Arial" w:cs="Arial"/>
          <w:bCs/>
        </w:rPr>
        <w:lastRenderedPageBreak/>
        <w:t xml:space="preserve">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4BFC1B30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toda la información concerniente a la</w:t>
      </w:r>
      <w:r w:rsidR="00BB0C47">
        <w:rPr>
          <w:rFonts w:ascii="Arial" w:hAnsi="Arial" w:cs="Arial"/>
          <w:bCs/>
        </w:rPr>
        <w:t xml:space="preserve"> </w:t>
      </w:r>
      <w:r w:rsidR="00BB0C47" w:rsidRPr="00F03AE2">
        <w:rPr>
          <w:rFonts w:ascii="Arial" w:hAnsi="Arial" w:cs="Arial"/>
          <w:b/>
        </w:rPr>
        <w:t>Comisión Ejecutiva de Atención a Víctimas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BB0C47" w:rsidRPr="00BB0C47">
        <w:rPr>
          <w:rFonts w:ascii="Arial" w:hAnsi="Arial" w:cs="Arial"/>
          <w:bCs/>
        </w:rPr>
        <w:t xml:space="preserve">histórica </w:t>
      </w:r>
      <w:r w:rsidR="00F52F12" w:rsidRPr="00BB0C47">
        <w:rPr>
          <w:rFonts w:ascii="Arial" w:hAnsi="Arial" w:cs="Arial"/>
          <w:bCs/>
        </w:rPr>
        <w:t xml:space="preserve">que se encuentra en los antecedentes de las auditorías </w:t>
      </w:r>
      <w:r w:rsidR="00BB0C47" w:rsidRPr="00BB0C47">
        <w:rPr>
          <w:rFonts w:ascii="Arial" w:hAnsi="Arial" w:cs="Arial"/>
          <w:bCs/>
        </w:rPr>
        <w:t xml:space="preserve">practicadas </w:t>
      </w:r>
      <w:r w:rsidR="00BB0C47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5B8FA941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>mediante</w:t>
      </w:r>
      <w:r w:rsidR="00C917A5">
        <w:rPr>
          <w:rFonts w:ascii="Arial" w:hAnsi="Arial" w:cs="Arial"/>
          <w:bCs/>
        </w:rPr>
        <w:t xml:space="preserve"> la competencia técnica y</w:t>
      </w:r>
      <w:r w:rsidR="004860F0">
        <w:rPr>
          <w:rFonts w:ascii="Arial" w:hAnsi="Arial" w:cs="Arial"/>
          <w:bCs/>
        </w:rPr>
        <w:t xml:space="preserve"> profesional</w:t>
      </w:r>
      <w:r w:rsidRPr="00A05588"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actuación fiscalizadora </w:t>
      </w:r>
      <w:r w:rsidR="00C917A5">
        <w:rPr>
          <w:rFonts w:ascii="Arial" w:hAnsi="Arial" w:cs="Arial"/>
          <w:bCs/>
        </w:rPr>
        <w:t>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0AF8A385" w14:textId="09351F83" w:rsidR="004A53E0" w:rsidRDefault="004A53E0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6069C30" w14:textId="77777777" w:rsidR="00091636" w:rsidRDefault="00091636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683876F1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2149EB4D" w:rsidR="008D4630" w:rsidRPr="00172640" w:rsidRDefault="008D4630" w:rsidP="00B93F1F">
      <w:pPr>
        <w:spacing w:line="360" w:lineRule="auto"/>
        <w:jc w:val="both"/>
        <w:rPr>
          <w:rFonts w:ascii="Arial" w:hAnsi="Arial" w:cs="Arial"/>
        </w:rPr>
      </w:pPr>
    </w:p>
    <w:p w14:paraId="78C92354" w14:textId="77777777" w:rsidR="003A7E7A" w:rsidRPr="008D4630" w:rsidRDefault="003A7E7A" w:rsidP="003A7E7A">
      <w:pPr>
        <w:spacing w:line="360" w:lineRule="auto"/>
        <w:ind w:right="49"/>
        <w:jc w:val="both"/>
        <w:rPr>
          <w:rFonts w:ascii="Arial" w:hAnsi="Arial" w:cs="Arial"/>
        </w:rPr>
      </w:pPr>
      <w:r w:rsidRPr="00971AFA">
        <w:rPr>
          <w:rFonts w:ascii="Arial" w:hAnsi="Arial" w:cs="Arial"/>
        </w:rPr>
        <w:t xml:space="preserve">Se revisaron las </w:t>
      </w:r>
      <w:r>
        <w:rPr>
          <w:rFonts w:ascii="Arial" w:hAnsi="Arial" w:cs="Arial"/>
        </w:rPr>
        <w:t xml:space="preserve">áreas de </w:t>
      </w:r>
      <w:r w:rsidRPr="000B4B92">
        <w:rPr>
          <w:rFonts w:ascii="Arial" w:hAnsi="Arial" w:cs="Arial"/>
        </w:rPr>
        <w:t>Dirección General</w:t>
      </w:r>
      <w:r>
        <w:rPr>
          <w:rFonts w:ascii="Arial" w:hAnsi="Arial" w:cs="Arial"/>
        </w:rPr>
        <w:t xml:space="preserve"> y</w:t>
      </w:r>
      <w:r w:rsidRPr="000B4B92">
        <w:rPr>
          <w:rFonts w:ascii="Arial" w:hAnsi="Arial" w:cs="Arial"/>
        </w:rPr>
        <w:t xml:space="preserve"> Dirección Administrativa</w:t>
      </w:r>
      <w:r w:rsidRPr="000B4B92">
        <w:rPr>
          <w:rFonts w:ascii="Arial" w:hAnsi="Arial" w:cs="Arial"/>
          <w:b/>
        </w:rPr>
        <w:t xml:space="preserve"> </w:t>
      </w:r>
      <w:r w:rsidRPr="000B4B92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0B4B92">
        <w:rPr>
          <w:rFonts w:ascii="Arial" w:hAnsi="Arial" w:cs="Arial"/>
        </w:rPr>
        <w:t>l</w:t>
      </w:r>
      <w:r>
        <w:rPr>
          <w:rFonts w:ascii="Arial" w:hAnsi="Arial" w:cs="Arial"/>
        </w:rPr>
        <w:t>a</w:t>
      </w:r>
      <w:r w:rsidRPr="000B4B92">
        <w:rPr>
          <w:rFonts w:ascii="Arial" w:hAnsi="Arial" w:cs="Arial"/>
        </w:rPr>
        <w:t xml:space="preserve"> </w:t>
      </w:r>
      <w:r w:rsidRPr="00F03AE2">
        <w:rPr>
          <w:rFonts w:ascii="Arial" w:hAnsi="Arial" w:cs="Arial"/>
          <w:b/>
        </w:rPr>
        <w:t>Comisión Ejecutiva de Atención a Víctimas del Estado de Quintana Roo</w:t>
      </w:r>
      <w:r w:rsidRPr="009879F6">
        <w:rPr>
          <w:rFonts w:ascii="Arial" w:hAnsi="Arial" w:cs="Arial"/>
          <w:bCs/>
        </w:rPr>
        <w:t>.</w:t>
      </w:r>
    </w:p>
    <w:p w14:paraId="5E01DD0C" w14:textId="77777777" w:rsidR="00351DED" w:rsidRPr="00172640" w:rsidRDefault="00351DED" w:rsidP="00B93F1F">
      <w:pPr>
        <w:spacing w:line="360" w:lineRule="auto"/>
        <w:jc w:val="both"/>
        <w:rPr>
          <w:rFonts w:ascii="Arial" w:hAnsi="Arial" w:cs="Arial"/>
        </w:rPr>
      </w:pPr>
    </w:p>
    <w:p w14:paraId="4A4BBFFD" w14:textId="0BA654F6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172640" w:rsidRDefault="00E66F94" w:rsidP="00E66F94">
      <w:pPr>
        <w:spacing w:line="360" w:lineRule="auto"/>
        <w:jc w:val="both"/>
        <w:rPr>
          <w:rFonts w:ascii="Arial" w:hAnsi="Arial" w:cs="Arial"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5C13E7F3" w:rsidR="00E66F94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lastRenderedPageBreak/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2B62FDF" w14:textId="77777777" w:rsidR="004860F0" w:rsidRPr="00C47B98" w:rsidRDefault="004860F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9C5B254" w14:textId="77777777" w:rsidR="0011582C" w:rsidRDefault="00456EF2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47368B">
        <w:rPr>
          <w:rFonts w:ascii="Arial" w:hAnsi="Arial" w:cs="Arial"/>
          <w:bCs/>
        </w:rPr>
        <w:t>:</w:t>
      </w:r>
    </w:p>
    <w:p w14:paraId="0D6B23C2" w14:textId="77777777" w:rsidR="0011582C" w:rsidRDefault="0011582C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45A5C4D" w14:textId="547E540C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7368B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la obtención de información confiable y oportuna.</w:t>
      </w:r>
    </w:p>
    <w:p w14:paraId="6993AC85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14E4D25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7368B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14:paraId="13F274B0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7733B29" w14:textId="27F0BA4E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7368B">
        <w:rPr>
          <w:rFonts w:ascii="Arial" w:hAnsi="Arial" w:cs="Arial"/>
          <w:bCs/>
        </w:rPr>
        <w:t>3. Verificar la correcta revelación de estados financieros e informes contables, presupuestarios y programáticos de conformidad con la Ley General de Contabilidad Gubernament</w:t>
      </w:r>
      <w:r w:rsidR="0011582C">
        <w:rPr>
          <w:rFonts w:ascii="Arial" w:hAnsi="Arial" w:cs="Arial"/>
          <w:bCs/>
        </w:rPr>
        <w:t>al y demás normativa aplicable.</w:t>
      </w:r>
    </w:p>
    <w:p w14:paraId="7AB168B6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30AFFA3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7368B">
        <w:rPr>
          <w:rFonts w:ascii="Arial" w:hAnsi="Arial" w:cs="Arial"/>
          <w:bCs/>
        </w:rPr>
        <w:t xml:space="preserve">4. Verificar la asignación y aplicación de los recursos financieros por concepto de fondos fijos o </w:t>
      </w:r>
      <w:proofErr w:type="spellStart"/>
      <w:r w:rsidRPr="0047368B">
        <w:rPr>
          <w:rFonts w:ascii="Arial" w:hAnsi="Arial" w:cs="Arial"/>
          <w:bCs/>
        </w:rPr>
        <w:t>revolventes</w:t>
      </w:r>
      <w:proofErr w:type="spellEnd"/>
      <w:r w:rsidRPr="0047368B">
        <w:rPr>
          <w:rFonts w:ascii="Arial" w:hAnsi="Arial" w:cs="Arial"/>
          <w:bCs/>
        </w:rPr>
        <w:t>.</w:t>
      </w:r>
    </w:p>
    <w:p w14:paraId="57FDCAE2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E5D228F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47368B">
        <w:rPr>
          <w:rFonts w:ascii="Arial" w:hAnsi="Arial" w:cs="Arial"/>
          <w:bCs/>
        </w:rPr>
        <w:t>5. Verificar la apertura de las cuentas bancarias y su utilización.</w:t>
      </w:r>
    </w:p>
    <w:p w14:paraId="1603AC5B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2B6123" w14:textId="50AFD374" w:rsidR="0047368B" w:rsidRPr="0047368B" w:rsidRDefault="00351DED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6</w:t>
      </w:r>
      <w:r w:rsidR="0047368B" w:rsidRPr="0047368B">
        <w:rPr>
          <w:rFonts w:ascii="Arial" w:hAnsi="Arial" w:cs="Arial"/>
          <w:bCs/>
        </w:rPr>
        <w:t>. Verificar que los adeudos por derechos a recibir efectivo o equivalentes fueron efectivamente otorgados o amortizados.</w:t>
      </w:r>
    </w:p>
    <w:p w14:paraId="443A49A4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B27EED3" w14:textId="18B9AC81" w:rsidR="0047368B" w:rsidRDefault="00351DED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="0047368B" w:rsidRPr="0047368B">
        <w:rPr>
          <w:rFonts w:ascii="Arial" w:hAnsi="Arial" w:cs="Arial"/>
          <w:bCs/>
        </w:rPr>
        <w:t>. Verificar que los anticipos se otorgaron o amortizaron conforme a la normativa aplicable.</w:t>
      </w:r>
    </w:p>
    <w:p w14:paraId="261B9187" w14:textId="77777777" w:rsidR="00351DED" w:rsidRPr="0047368B" w:rsidRDefault="00351DED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CC0722" w14:textId="2404D3A1" w:rsidR="0047368B" w:rsidRDefault="00351DED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="0047368B" w:rsidRPr="0047368B">
        <w:rPr>
          <w:rFonts w:ascii="Arial" w:hAnsi="Arial" w:cs="Arial"/>
          <w:bCs/>
        </w:rPr>
        <w:t>. Verificar que se acreditó la propiedad de los bienes muebles e inmuebles, así como su resguardo e inventario.</w:t>
      </w:r>
    </w:p>
    <w:p w14:paraId="6837842E" w14:textId="77777777" w:rsidR="004860F0" w:rsidRPr="0047368B" w:rsidRDefault="004860F0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B31E358" w14:textId="33D60865" w:rsidR="0047368B" w:rsidRPr="0047368B" w:rsidRDefault="00351DED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47368B" w:rsidRPr="0047368B">
        <w:rPr>
          <w:rFonts w:ascii="Arial" w:hAnsi="Arial" w:cs="Arial"/>
          <w:bCs/>
        </w:rPr>
        <w:t>. Verificar que los pasivos correspondieron a obligaciones reales y que fueron amortizados.</w:t>
      </w:r>
    </w:p>
    <w:p w14:paraId="63EB6AA1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9667D26" w14:textId="1F28C413" w:rsidR="0047368B" w:rsidRPr="0047368B" w:rsidRDefault="00351DED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47368B" w:rsidRPr="0047368B">
        <w:rPr>
          <w:rFonts w:ascii="Arial" w:hAnsi="Arial" w:cs="Arial"/>
          <w:bCs/>
        </w:rPr>
        <w:t>. Verificar que se comprobó y justificó lo recaudado por los conceptos considerados en las respectivas leyes de ingresos.</w:t>
      </w:r>
    </w:p>
    <w:p w14:paraId="4BDC12C4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4C8BBA0" w14:textId="798EB8CB" w:rsidR="0047368B" w:rsidRPr="0047368B" w:rsidRDefault="00351DED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11</w:t>
      </w:r>
      <w:r w:rsidR="0047368B" w:rsidRPr="0047368B">
        <w:rPr>
          <w:rFonts w:ascii="Arial" w:hAnsi="Arial" w:cs="Arial"/>
          <w:bCs/>
        </w:rPr>
        <w:t>. Verificar que se comprobó y justificó el gasto por los diferentes conceptos considerados en los respectivos presupuestos de egresos.</w:t>
      </w:r>
    </w:p>
    <w:p w14:paraId="33D2BB79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66EDC56" w14:textId="6339F97A" w:rsidR="0047368B" w:rsidRPr="0047368B" w:rsidRDefault="00351DED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</w:t>
      </w:r>
      <w:r w:rsidR="0047368B" w:rsidRPr="0047368B">
        <w:rPr>
          <w:rFonts w:ascii="Arial" w:hAnsi="Arial" w:cs="Arial"/>
          <w:bCs/>
        </w:rPr>
        <w:t>. Verificar que la contratación de servicios personales se ajustó a la disponibilidad y plazas presupuestales aprobadas, que la relación laboral se apegó a las disposiciones legales aplicables en la materia.</w:t>
      </w:r>
    </w:p>
    <w:p w14:paraId="56079EBD" w14:textId="77777777" w:rsidR="0047368B" w:rsidRPr="0047368B" w:rsidRDefault="0047368B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F3F834" w14:textId="19166E73" w:rsidR="00E66F94" w:rsidRDefault="00351DED" w:rsidP="0047368B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13</w:t>
      </w:r>
      <w:r w:rsidR="0047368B" w:rsidRPr="0047368B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14:paraId="122A0339" w14:textId="0E968188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D7D6596" w14:textId="753B7E9D" w:rsidR="000365D6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Pr="0011582C" w:rsidRDefault="00313CE5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4A1FF583" w14:textId="24B92E4E" w:rsidR="00974042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lastRenderedPageBreak/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C917A5">
        <w:rPr>
          <w:rFonts w:ascii="Arial" w:hAnsi="Arial" w:cs="Arial"/>
          <w:b/>
        </w:rPr>
        <w:t>que Intervinieron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F3225B9" w14:textId="77777777" w:rsidR="004860F0" w:rsidRPr="002E2A36" w:rsidRDefault="004860F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DE7FC59" w14:textId="25839CF7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C917A5" w:rsidRPr="00C917A5">
        <w:rPr>
          <w:rFonts w:ascii="Arial" w:hAnsi="Arial" w:cs="Arial"/>
          <w:bCs/>
        </w:rPr>
        <w:t xml:space="preserve">se </w:t>
      </w:r>
      <w:r w:rsidR="00C917A5">
        <w:rPr>
          <w:rFonts w:ascii="Arial" w:hAnsi="Arial" w:cs="Arial"/>
          <w:bCs/>
        </w:rPr>
        <w:t xml:space="preserve">encuentra referido en la orden </w:t>
      </w:r>
      <w:r w:rsidR="00C917A5" w:rsidRPr="00C917A5">
        <w:rPr>
          <w:rFonts w:ascii="Arial" w:hAnsi="Arial" w:cs="Arial"/>
          <w:bCs/>
        </w:rPr>
        <w:t>em</w:t>
      </w:r>
      <w:r w:rsidR="00C917A5">
        <w:rPr>
          <w:rFonts w:ascii="Arial" w:hAnsi="Arial" w:cs="Arial"/>
          <w:bCs/>
        </w:rPr>
        <w:t>itida con oficio número ASEQROO/ASE/AEMF/0653/08/2020</w:t>
      </w:r>
      <w:r w:rsidR="00C917A5" w:rsidRPr="00C917A5">
        <w:rPr>
          <w:rFonts w:ascii="Arial" w:hAnsi="Arial" w:cs="Arial"/>
          <w:bCs/>
        </w:rPr>
        <w:t>, siendo los servidores públicos a cargo de coordinar y supervisa</w:t>
      </w:r>
      <w:r w:rsidR="00C917A5">
        <w:rPr>
          <w:rFonts w:ascii="Arial" w:hAnsi="Arial" w:cs="Arial"/>
          <w:bCs/>
        </w:rPr>
        <w:t>r la auditoría, los siguientes:</w:t>
      </w:r>
    </w:p>
    <w:p w14:paraId="45297F9B" w14:textId="77777777" w:rsidR="00033887" w:rsidRDefault="00033887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11582C">
        <w:trPr>
          <w:trHeight w:val="139"/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45FECF10" w:rsidR="00855650" w:rsidRPr="00852E55" w:rsidRDefault="00D47FF2" w:rsidP="002367AD">
            <w:pPr>
              <w:spacing w:line="360" w:lineRule="auto"/>
              <w:rPr>
                <w:rFonts w:ascii="Arial" w:hAnsi="Arial" w:cs="Arial"/>
                <w:bCs/>
                <w:highlight w:val="yellow"/>
              </w:rPr>
            </w:pPr>
            <w:r w:rsidRPr="00D47FF2">
              <w:rPr>
                <w:rFonts w:ascii="Arial" w:hAnsi="Arial" w:cs="Arial"/>
                <w:bCs/>
              </w:rPr>
              <w:t>L.C. Manuel Jesús Brito Rosado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2B3F5C32" w:rsidR="00855650" w:rsidRPr="00852E55" w:rsidRDefault="00D47FF2" w:rsidP="002367AD">
            <w:pPr>
              <w:spacing w:line="360" w:lineRule="auto"/>
              <w:rPr>
                <w:rFonts w:ascii="Arial" w:hAnsi="Arial" w:cs="Arial"/>
                <w:bCs/>
                <w:highlight w:val="yellow"/>
              </w:rPr>
            </w:pPr>
            <w:r w:rsidRPr="00D47FF2">
              <w:rPr>
                <w:rFonts w:ascii="Arial" w:hAnsi="Arial" w:cs="Arial"/>
                <w:bCs/>
              </w:rPr>
              <w:t xml:space="preserve">L.C. Joel Ernesto Vélez </w:t>
            </w:r>
            <w:r w:rsidR="00B66C36">
              <w:rPr>
                <w:rFonts w:ascii="Arial" w:hAnsi="Arial" w:cs="Arial"/>
                <w:bCs/>
              </w:rPr>
              <w:t>Torres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11582C" w:rsidRDefault="002E1AEF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0E640D64" w14:textId="714EE3B3" w:rsidR="00396C66" w:rsidRPr="00845B1A" w:rsidRDefault="00396C66" w:rsidP="00396C66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</w:t>
      </w:r>
      <w:r w:rsidR="00A67FE8">
        <w:rPr>
          <w:rFonts w:ascii="Arial" w:hAnsi="Arial" w:cs="Arial"/>
        </w:rPr>
        <w:t>Gubernamental,</w:t>
      </w:r>
      <w:r w:rsidR="0011582C">
        <w:rPr>
          <w:rFonts w:ascii="Arial" w:hAnsi="Arial" w:cs="Arial"/>
        </w:rPr>
        <w:t xml:space="preserve"> </w:t>
      </w:r>
      <w:r w:rsidR="00BD697F" w:rsidRPr="00BD697F">
        <w:rPr>
          <w:rFonts w:ascii="Arial" w:hAnsi="Arial" w:cs="Arial"/>
        </w:rPr>
        <w:t xml:space="preserve">la Ley de Ingresos del </w:t>
      </w:r>
      <w:r w:rsidR="00E14F88">
        <w:rPr>
          <w:rFonts w:ascii="Arial" w:hAnsi="Arial" w:cs="Arial"/>
        </w:rPr>
        <w:t>Estado de Quintana Roo para el ejercicio f</w:t>
      </w:r>
      <w:r w:rsidR="00BD697F" w:rsidRPr="00BD697F">
        <w:rPr>
          <w:rFonts w:ascii="Arial" w:hAnsi="Arial" w:cs="Arial"/>
        </w:rPr>
        <w:t xml:space="preserve">iscal 2019, el Presupuesto de Egresos del </w:t>
      </w:r>
      <w:r w:rsidR="00E14F88">
        <w:rPr>
          <w:rFonts w:ascii="Arial" w:hAnsi="Arial" w:cs="Arial"/>
        </w:rPr>
        <w:t xml:space="preserve">Estado de Quintana Roo para el </w:t>
      </w:r>
      <w:proofErr w:type="spellStart"/>
      <w:r w:rsidR="00E14F88">
        <w:rPr>
          <w:rFonts w:ascii="Arial" w:hAnsi="Arial" w:cs="Arial"/>
        </w:rPr>
        <w:t>ejerciciof</w:t>
      </w:r>
      <w:r w:rsidR="00BD697F" w:rsidRPr="00BD697F">
        <w:rPr>
          <w:rFonts w:ascii="Arial" w:hAnsi="Arial" w:cs="Arial"/>
        </w:rPr>
        <w:t>Fiscal</w:t>
      </w:r>
      <w:proofErr w:type="spellEnd"/>
      <w:r w:rsidR="00BD697F" w:rsidRPr="00BD697F">
        <w:rPr>
          <w:rFonts w:ascii="Arial" w:hAnsi="Arial" w:cs="Arial"/>
        </w:rPr>
        <w:t xml:space="preserve"> 2019</w:t>
      </w:r>
      <w:r w:rsidR="00BD697F">
        <w:rPr>
          <w:rFonts w:ascii="Arial" w:hAnsi="Arial" w:cs="Arial"/>
        </w:rPr>
        <w:t xml:space="preserve"> </w:t>
      </w:r>
      <w:r w:rsidRPr="001776F5">
        <w:rPr>
          <w:rFonts w:ascii="Arial" w:hAnsi="Arial" w:cs="Arial"/>
        </w:rPr>
        <w:t xml:space="preserve">y lo emitido </w:t>
      </w:r>
      <w:r w:rsidRPr="00845B1A">
        <w:rPr>
          <w:rFonts w:ascii="Arial" w:hAnsi="Arial" w:cs="Arial"/>
        </w:rPr>
        <w:t>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2EF915A5" w14:textId="77777777" w:rsidR="00396C66" w:rsidRDefault="00396C66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0DCC42EC" w14:textId="1047D668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3C479708" w14:textId="77777777" w:rsidR="008B7CB1" w:rsidRDefault="008B7CB1" w:rsidP="008B7CB1">
      <w:pPr>
        <w:spacing w:line="360" w:lineRule="auto"/>
        <w:ind w:right="49"/>
        <w:jc w:val="both"/>
        <w:rPr>
          <w:rFonts w:ascii="Arial" w:hAnsi="Arial" w:cs="Arial"/>
        </w:rPr>
      </w:pPr>
    </w:p>
    <w:p w14:paraId="3D226ADE" w14:textId="7524DDB4" w:rsidR="008B7CB1" w:rsidRDefault="008B7CB1" w:rsidP="008B7CB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72DC1">
        <w:rPr>
          <w:rFonts w:ascii="Arial" w:hAnsi="Arial" w:cs="Arial"/>
          <w:bCs/>
        </w:rPr>
        <w:lastRenderedPageBreak/>
        <w:t>Se constató el cumplimiento de la Ley General de Contabilidad Gubernamental</w:t>
      </w:r>
      <w:r>
        <w:rPr>
          <w:rFonts w:ascii="Arial" w:hAnsi="Arial" w:cs="Arial"/>
          <w:bCs/>
        </w:rPr>
        <w:t xml:space="preserve">, </w:t>
      </w:r>
      <w:r w:rsidR="00A67FE8" w:rsidRPr="00A67FE8">
        <w:rPr>
          <w:rFonts w:ascii="Arial" w:hAnsi="Arial" w:cs="Arial"/>
          <w:bCs/>
        </w:rPr>
        <w:t>la Ley de Ingresos del Estado de Quintana Roo</w:t>
      </w:r>
      <w:r w:rsidR="00E14F88">
        <w:rPr>
          <w:rFonts w:ascii="Arial" w:hAnsi="Arial" w:cs="Arial"/>
          <w:bCs/>
        </w:rPr>
        <w:t xml:space="preserve"> para el ejercicio f</w:t>
      </w:r>
      <w:r w:rsidR="00BD697F">
        <w:rPr>
          <w:rFonts w:ascii="Arial" w:hAnsi="Arial" w:cs="Arial"/>
          <w:bCs/>
        </w:rPr>
        <w:t>iscal 2019</w:t>
      </w:r>
      <w:r w:rsidR="00A67FE8" w:rsidRPr="00A67FE8">
        <w:rPr>
          <w:rFonts w:ascii="Arial" w:hAnsi="Arial" w:cs="Arial"/>
          <w:bCs/>
        </w:rPr>
        <w:t>, el Pres</w:t>
      </w:r>
      <w:r w:rsidR="00BD697F">
        <w:rPr>
          <w:rFonts w:ascii="Arial" w:hAnsi="Arial" w:cs="Arial"/>
          <w:bCs/>
        </w:rPr>
        <w:t>upuesto</w:t>
      </w:r>
      <w:r w:rsidR="00A67FE8" w:rsidRPr="00A67FE8">
        <w:rPr>
          <w:rFonts w:ascii="Arial" w:hAnsi="Arial" w:cs="Arial"/>
          <w:bCs/>
        </w:rPr>
        <w:t xml:space="preserve"> de Egresos del </w:t>
      </w:r>
      <w:r w:rsidR="00BD697F">
        <w:rPr>
          <w:rFonts w:ascii="Arial" w:hAnsi="Arial" w:cs="Arial"/>
          <w:bCs/>
        </w:rPr>
        <w:t xml:space="preserve">Estado de Quintana Roo para </w:t>
      </w:r>
      <w:r w:rsidR="00E14F88">
        <w:rPr>
          <w:rFonts w:ascii="Arial" w:hAnsi="Arial" w:cs="Arial"/>
          <w:bCs/>
        </w:rPr>
        <w:t>el ejercicio f</w:t>
      </w:r>
      <w:r w:rsidR="00A67FE8">
        <w:rPr>
          <w:rFonts w:ascii="Arial" w:hAnsi="Arial" w:cs="Arial"/>
          <w:bCs/>
        </w:rPr>
        <w:t>iscal 2019</w:t>
      </w:r>
      <w:r w:rsidRPr="001776F5">
        <w:rPr>
          <w:rFonts w:ascii="Arial" w:hAnsi="Arial" w:cs="Arial"/>
          <w:bCs/>
        </w:rPr>
        <w:t>, así como de lo emitido por el Consejo Nacio</w:t>
      </w:r>
      <w:r w:rsidRPr="00272DC1">
        <w:rPr>
          <w:rFonts w:ascii="Arial" w:hAnsi="Arial" w:cs="Arial"/>
          <w:bCs/>
        </w:rPr>
        <w:t>nal de Armonización Contable (CONAC), y demás disposiciones</w:t>
      </w:r>
      <w:r>
        <w:rPr>
          <w:rFonts w:ascii="Arial" w:hAnsi="Arial" w:cs="Arial"/>
          <w:bCs/>
        </w:rPr>
        <w:t xml:space="preserve"> </w:t>
      </w:r>
      <w:r w:rsidR="00062FEE">
        <w:rPr>
          <w:rFonts w:ascii="Arial" w:hAnsi="Arial" w:cs="Arial"/>
          <w:bCs/>
        </w:rPr>
        <w:t>legales y normativas aplicables</w:t>
      </w:r>
      <w:r w:rsidR="00062FEE" w:rsidRPr="00062FEE">
        <w:rPr>
          <w:rFonts w:ascii="Arial" w:hAnsi="Arial" w:cs="Arial"/>
          <w:bCs/>
        </w:rPr>
        <w:t>.</w:t>
      </w:r>
    </w:p>
    <w:p w14:paraId="19AB7BAE" w14:textId="3AB8213A" w:rsidR="00A34C6D" w:rsidRPr="005F694F" w:rsidRDefault="00A34C6D" w:rsidP="008B7CB1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09275CB" w14:textId="24575541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B0E5A8B" w14:textId="40A3F912" w:rsidR="00804981" w:rsidRPr="002A7DDA" w:rsidRDefault="00852E55" w:rsidP="00804981">
      <w:pPr>
        <w:spacing w:line="360" w:lineRule="auto"/>
        <w:ind w:right="49"/>
        <w:jc w:val="both"/>
        <w:rPr>
          <w:rFonts w:ascii="Arial" w:hAnsi="Arial" w:cs="Arial"/>
        </w:rPr>
      </w:pPr>
      <w:bookmarkStart w:id="6" w:name="_Hlk11408938"/>
      <w:bookmarkStart w:id="7" w:name="_Hlk11408885"/>
      <w:r w:rsidRPr="00426FD3">
        <w:rPr>
          <w:rFonts w:ascii="Arial" w:hAnsi="Arial" w:cs="Arial"/>
        </w:rPr>
        <w:t>De conformidad con</w:t>
      </w:r>
      <w:r w:rsidR="00196EF7">
        <w:rPr>
          <w:rFonts w:ascii="Arial" w:hAnsi="Arial" w:cs="Arial"/>
        </w:rPr>
        <w:t xml:space="preserve"> los artículos 17 fracciones I y II, 38, 41 en su segundo </w:t>
      </w:r>
      <w:r w:rsidRPr="00426FD3">
        <w:rPr>
          <w:rFonts w:ascii="Arial" w:hAnsi="Arial" w:cs="Arial"/>
        </w:rPr>
        <w:t>párrafo</w:t>
      </w:r>
      <w:r w:rsidR="00196EF7">
        <w:rPr>
          <w:rFonts w:ascii="Arial" w:hAnsi="Arial" w:cs="Arial"/>
        </w:rPr>
        <w:t>, y 61 párrafo</w:t>
      </w:r>
      <w:r w:rsidRPr="00426FD3">
        <w:rPr>
          <w:rFonts w:ascii="Arial" w:hAnsi="Arial" w:cs="Arial"/>
        </w:rPr>
        <w:t xml:space="preserve"> primero de la Ley de Fiscalización y Rendición de Cuentas del Estado de Quintana Roo, 4, 8 y 9 fracciones X</w:t>
      </w:r>
      <w:r w:rsidR="00196EF7">
        <w:rPr>
          <w:rFonts w:ascii="Arial" w:hAnsi="Arial" w:cs="Arial"/>
        </w:rPr>
        <w:t>, XI, XVIII</w:t>
      </w:r>
      <w:r w:rsidRPr="00426FD3">
        <w:rPr>
          <w:rFonts w:ascii="Arial" w:hAnsi="Arial" w:cs="Arial"/>
        </w:rPr>
        <w:t xml:space="preserve"> y XXVI</w:t>
      </w:r>
      <w:r w:rsidR="00196EF7">
        <w:rPr>
          <w:rFonts w:ascii="Arial" w:hAnsi="Arial" w:cs="Arial"/>
        </w:rPr>
        <w:t>,</w:t>
      </w:r>
      <w:r w:rsidRPr="00426FD3">
        <w:rPr>
          <w:rFonts w:ascii="Arial" w:hAnsi="Arial" w:cs="Arial"/>
        </w:rPr>
        <w:t xml:space="preserve"> del Reglamento Interior de la Auditoría Superior del Estado de Quintana Roo,</w:t>
      </w:r>
      <w:r w:rsidRPr="00731B3D">
        <w:rPr>
          <w:rFonts w:ascii="Arial" w:hAnsi="Arial" w:cs="Arial"/>
        </w:rPr>
        <w:t xml:space="preserve"> </w:t>
      </w:r>
      <w:r w:rsidRPr="00E56219">
        <w:rPr>
          <w:rFonts w:ascii="Arial" w:hAnsi="Arial" w:cs="Arial"/>
        </w:rPr>
        <w:t xml:space="preserve">durante este proceso </w:t>
      </w:r>
      <w:r w:rsidR="00150498">
        <w:rPr>
          <w:rFonts w:ascii="Arial" w:hAnsi="Arial" w:cs="Arial"/>
        </w:rPr>
        <w:t xml:space="preserve">de fiscalización </w:t>
      </w:r>
      <w:r w:rsidRPr="00E56219">
        <w:rPr>
          <w:rFonts w:ascii="Arial" w:hAnsi="Arial" w:cs="Arial"/>
        </w:rPr>
        <w:t xml:space="preserve">se presentaron </w:t>
      </w:r>
      <w:r>
        <w:rPr>
          <w:rFonts w:ascii="Arial" w:hAnsi="Arial" w:cs="Arial"/>
          <w:b/>
        </w:rPr>
        <w:t>2</w:t>
      </w:r>
      <w:r w:rsidRPr="001C0F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resultados finales</w:t>
      </w:r>
      <w:r w:rsidRPr="00E56219">
        <w:rPr>
          <w:rFonts w:ascii="Arial" w:hAnsi="Arial" w:cs="Arial"/>
        </w:rPr>
        <w:t xml:space="preserve"> de auditoría </w:t>
      </w:r>
      <w:r w:rsidRPr="007532B3">
        <w:rPr>
          <w:rFonts w:ascii="Arial" w:hAnsi="Arial" w:cs="Arial"/>
        </w:rPr>
        <w:t>y</w:t>
      </w:r>
      <w:r w:rsidRPr="00335956">
        <w:rPr>
          <w:rFonts w:ascii="Arial" w:hAnsi="Arial" w:cs="Arial"/>
          <w:bCs/>
          <w:color w:val="FF0000"/>
        </w:rPr>
        <w:t xml:space="preserve"> </w:t>
      </w:r>
      <w:r w:rsidR="00196EF7" w:rsidRPr="00196EF7">
        <w:rPr>
          <w:rFonts w:ascii="Arial" w:hAnsi="Arial" w:cs="Arial"/>
          <w:bCs/>
        </w:rPr>
        <w:t xml:space="preserve">se determinaron </w:t>
      </w:r>
      <w:r>
        <w:rPr>
          <w:rFonts w:ascii="Arial" w:hAnsi="Arial" w:cs="Arial"/>
          <w:b/>
        </w:rPr>
        <w:t>11</w:t>
      </w:r>
      <w:r w:rsidRPr="007532B3">
        <w:rPr>
          <w:rFonts w:ascii="Arial" w:hAnsi="Arial" w:cs="Arial"/>
          <w:b/>
        </w:rPr>
        <w:t xml:space="preserve"> </w:t>
      </w:r>
      <w:r w:rsidR="00196EF7">
        <w:rPr>
          <w:rFonts w:ascii="Arial" w:hAnsi="Arial" w:cs="Arial"/>
          <w:bCs/>
        </w:rPr>
        <w:t>observaciones</w:t>
      </w:r>
      <w:r w:rsidR="00F2038F">
        <w:rPr>
          <w:rFonts w:ascii="Arial" w:hAnsi="Arial" w:cs="Arial"/>
        </w:rPr>
        <w:t xml:space="preserve">, </w:t>
      </w:r>
      <w:r w:rsidRPr="002A7DDA">
        <w:rPr>
          <w:rFonts w:ascii="Arial" w:hAnsi="Arial" w:cs="Arial"/>
        </w:rPr>
        <w:t xml:space="preserve">de las cuales </w:t>
      </w:r>
      <w:r w:rsidR="00F2038F" w:rsidRPr="002A7DDA">
        <w:rPr>
          <w:rFonts w:ascii="Arial" w:hAnsi="Arial" w:cs="Arial"/>
        </w:rPr>
        <w:t>8 fueron solventadas y 3 se encuentran pendien</w:t>
      </w:r>
      <w:r w:rsidR="00150498">
        <w:rPr>
          <w:rFonts w:ascii="Arial" w:hAnsi="Arial" w:cs="Arial"/>
        </w:rPr>
        <w:t>tes por solventar;</w:t>
      </w:r>
      <w:r w:rsidR="002A7DDA" w:rsidRPr="002A7DDA">
        <w:rPr>
          <w:rFonts w:ascii="Arial" w:hAnsi="Arial" w:cs="Arial"/>
        </w:rPr>
        <w:t xml:space="preserve"> emitiéndose 3</w:t>
      </w:r>
      <w:r w:rsidR="00F2038F" w:rsidRPr="002A7DDA">
        <w:rPr>
          <w:rFonts w:ascii="Arial" w:hAnsi="Arial" w:cs="Arial"/>
        </w:rPr>
        <w:t xml:space="preserve"> recomendaci</w:t>
      </w:r>
      <w:bookmarkEnd w:id="6"/>
      <w:bookmarkEnd w:id="7"/>
      <w:r w:rsidR="002A7DDA" w:rsidRPr="002A7DDA">
        <w:rPr>
          <w:rFonts w:ascii="Arial" w:hAnsi="Arial" w:cs="Arial"/>
        </w:rPr>
        <w:t>ones</w:t>
      </w:r>
      <w:r w:rsidR="00804981" w:rsidRPr="002A7DDA">
        <w:rPr>
          <w:rFonts w:ascii="Arial" w:hAnsi="Arial" w:cs="Arial"/>
        </w:rPr>
        <w:t>.</w:t>
      </w:r>
    </w:p>
    <w:p w14:paraId="0E636469" w14:textId="51A8C65B" w:rsidR="00804981" w:rsidRDefault="00804981" w:rsidP="00804981">
      <w:pPr>
        <w:spacing w:line="360" w:lineRule="auto"/>
        <w:ind w:right="49"/>
        <w:jc w:val="both"/>
        <w:rPr>
          <w:rFonts w:ascii="Arial" w:hAnsi="Arial" w:cs="Arial"/>
          <w:highlight w:val="yellow"/>
        </w:rPr>
      </w:pPr>
    </w:p>
    <w:p w14:paraId="472E76F7" w14:textId="77777777" w:rsidR="00804981" w:rsidRPr="00804981" w:rsidRDefault="00804981" w:rsidP="00804981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04981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5C96AAA2" w14:textId="77777777" w:rsidR="00804981" w:rsidRPr="00804981" w:rsidRDefault="00804981" w:rsidP="00804981">
      <w:pPr>
        <w:spacing w:line="360" w:lineRule="auto"/>
        <w:ind w:right="49"/>
        <w:jc w:val="both"/>
        <w:rPr>
          <w:rFonts w:ascii="Arial" w:hAnsi="Arial" w:cs="Arial"/>
        </w:rPr>
      </w:pPr>
    </w:p>
    <w:p w14:paraId="52CE7443" w14:textId="4DE9B5E2" w:rsidR="00804981" w:rsidRDefault="00804981" w:rsidP="00804981">
      <w:pPr>
        <w:spacing w:line="360" w:lineRule="auto"/>
        <w:ind w:right="49"/>
        <w:jc w:val="both"/>
        <w:rPr>
          <w:rFonts w:ascii="Arial" w:hAnsi="Arial" w:cs="Arial"/>
        </w:rPr>
      </w:pPr>
      <w:r w:rsidRPr="00804981"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19F38202" w14:textId="77777777" w:rsidR="00150498" w:rsidRDefault="00150498" w:rsidP="00804981">
      <w:pPr>
        <w:spacing w:line="360" w:lineRule="auto"/>
        <w:ind w:right="49"/>
        <w:jc w:val="both"/>
        <w:rPr>
          <w:rFonts w:ascii="Arial" w:hAnsi="Arial" w:cs="Arial"/>
          <w:highlight w:val="yellow"/>
        </w:rPr>
      </w:pPr>
    </w:p>
    <w:p w14:paraId="027BB3D6" w14:textId="759A42B2" w:rsidR="00893C4D" w:rsidRDefault="00150498" w:rsidP="00B16F60">
      <w:pPr>
        <w:spacing w:line="360" w:lineRule="auto"/>
        <w:jc w:val="both"/>
        <w:rPr>
          <w:rFonts w:ascii="Arial" w:hAnsi="Arial" w:cs="Arial"/>
          <w:bCs/>
        </w:rPr>
      </w:pPr>
      <w:r w:rsidRPr="00150498">
        <w:rPr>
          <w:rFonts w:ascii="Arial" w:hAnsi="Arial" w:cs="Arial"/>
          <w:b/>
          <w:bCs/>
        </w:rPr>
        <w:t>Egresos</w:t>
      </w:r>
    </w:p>
    <w:p w14:paraId="39FDA302" w14:textId="77777777" w:rsidR="00150498" w:rsidRPr="00150498" w:rsidRDefault="00150498" w:rsidP="00B16F60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44"/>
        <w:gridCol w:w="3625"/>
        <w:gridCol w:w="3186"/>
        <w:gridCol w:w="1423"/>
      </w:tblGrid>
      <w:tr w:rsidR="00804981" w:rsidRPr="00150498" w14:paraId="268EEEF5" w14:textId="77777777" w:rsidTr="00547C0E">
        <w:trPr>
          <w:trHeight w:val="165"/>
          <w:tblHeader/>
        </w:trPr>
        <w:tc>
          <w:tcPr>
            <w:tcW w:w="746" w:type="pct"/>
            <w:shd w:val="clear" w:color="auto" w:fill="D0CECE" w:themeFill="background2" w:themeFillShade="E6"/>
            <w:vAlign w:val="center"/>
          </w:tcPr>
          <w:p w14:paraId="298587D5" w14:textId="77777777" w:rsidR="00804981" w:rsidRPr="00150498" w:rsidRDefault="00804981" w:rsidP="00547C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  <w:t>Referencia</w:t>
            </w:r>
          </w:p>
        </w:tc>
        <w:tc>
          <w:tcPr>
            <w:tcW w:w="1873" w:type="pct"/>
            <w:shd w:val="clear" w:color="auto" w:fill="D0CECE" w:themeFill="background2" w:themeFillShade="E6"/>
            <w:vAlign w:val="center"/>
          </w:tcPr>
          <w:p w14:paraId="02B8B6D2" w14:textId="77777777" w:rsidR="00804981" w:rsidRPr="00150498" w:rsidRDefault="00804981" w:rsidP="00547C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  <w:t>Concepto del Resultado</w:t>
            </w:r>
          </w:p>
        </w:tc>
        <w:tc>
          <w:tcPr>
            <w:tcW w:w="1646" w:type="pct"/>
            <w:shd w:val="clear" w:color="auto" w:fill="D0CECE" w:themeFill="background2" w:themeFillShade="E6"/>
            <w:vAlign w:val="center"/>
          </w:tcPr>
          <w:p w14:paraId="034A51DC" w14:textId="77777777" w:rsidR="00804981" w:rsidRPr="00150498" w:rsidRDefault="00804981" w:rsidP="00547C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  <w:t>Tipo de Observación</w:t>
            </w:r>
          </w:p>
        </w:tc>
        <w:tc>
          <w:tcPr>
            <w:tcW w:w="735" w:type="pct"/>
            <w:shd w:val="clear" w:color="auto" w:fill="D0CECE" w:themeFill="background2" w:themeFillShade="E6"/>
            <w:vAlign w:val="center"/>
          </w:tcPr>
          <w:p w14:paraId="553327E9" w14:textId="77777777" w:rsidR="00804981" w:rsidRPr="00150498" w:rsidRDefault="00804981" w:rsidP="00547C0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  <w:t>Importe Observado</w:t>
            </w:r>
          </w:p>
        </w:tc>
      </w:tr>
      <w:tr w:rsidR="00804981" w:rsidRPr="00150498" w14:paraId="4AF371B8" w14:textId="77777777" w:rsidTr="00547C0E">
        <w:trPr>
          <w:trHeight w:val="315"/>
        </w:trPr>
        <w:tc>
          <w:tcPr>
            <w:tcW w:w="746" w:type="pct"/>
          </w:tcPr>
          <w:p w14:paraId="2259AE6D" w14:textId="77777777" w:rsidR="00804981" w:rsidRPr="00150498" w:rsidRDefault="00804981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bookmarkStart w:id="8" w:name="_Hlk9412384"/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18F4B68" w14:textId="65855061" w:rsidR="00804981" w:rsidRPr="00150498" w:rsidRDefault="00804981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873" w:type="pct"/>
          </w:tcPr>
          <w:p w14:paraId="614C9EBC" w14:textId="1DE1ABEA" w:rsidR="00804981" w:rsidRPr="00150498" w:rsidRDefault="00DB2A0D" w:rsidP="00547C0E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6" w:type="pct"/>
          </w:tcPr>
          <w:p w14:paraId="537276DA" w14:textId="5ABAA689" w:rsidR="00804981" w:rsidRPr="00150498" w:rsidRDefault="00804981" w:rsidP="00547C0E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5" w:type="pct"/>
          </w:tcPr>
          <w:p w14:paraId="694659E4" w14:textId="4593ADCF" w:rsidR="00804981" w:rsidRPr="00150498" w:rsidRDefault="00804981" w:rsidP="00547C0E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$724.00</w:t>
            </w:r>
          </w:p>
        </w:tc>
      </w:tr>
      <w:bookmarkEnd w:id="8"/>
      <w:tr w:rsidR="00DB2A0D" w:rsidRPr="00150498" w14:paraId="6BEC0BAC" w14:textId="77777777" w:rsidTr="00547C0E">
        <w:trPr>
          <w:trHeight w:val="167"/>
        </w:trPr>
        <w:tc>
          <w:tcPr>
            <w:tcW w:w="746" w:type="pct"/>
          </w:tcPr>
          <w:p w14:paraId="4D7FC872" w14:textId="77777777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BF8FA09" w14:textId="3A39ACFC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873" w:type="pct"/>
          </w:tcPr>
          <w:p w14:paraId="799D252D" w14:textId="335DAA35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324DB7"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 w:rsidRPr="00324DB7"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6" w:type="pct"/>
          </w:tcPr>
          <w:p w14:paraId="1CA81D7F" w14:textId="1BFA4034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5" w:type="pct"/>
          </w:tcPr>
          <w:p w14:paraId="78804535" w14:textId="6A7DD2AB" w:rsidR="00DB2A0D" w:rsidRPr="00150498" w:rsidRDefault="00DB2A0D" w:rsidP="00DB2A0D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1,450.00</w:t>
            </w:r>
          </w:p>
        </w:tc>
      </w:tr>
      <w:tr w:rsidR="00DB2A0D" w:rsidRPr="00150498" w14:paraId="350D05DA" w14:textId="77777777" w:rsidTr="00547C0E">
        <w:trPr>
          <w:trHeight w:val="175"/>
        </w:trPr>
        <w:tc>
          <w:tcPr>
            <w:tcW w:w="746" w:type="pct"/>
          </w:tcPr>
          <w:p w14:paraId="7807EAC5" w14:textId="77777777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lastRenderedPageBreak/>
              <w:t>Resultado: 1</w:t>
            </w:r>
          </w:p>
          <w:p w14:paraId="6A187C1A" w14:textId="62C6830C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873" w:type="pct"/>
          </w:tcPr>
          <w:p w14:paraId="485DEC7A" w14:textId="2B57708C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324DB7"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 w:rsidRPr="00324DB7"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6" w:type="pct"/>
          </w:tcPr>
          <w:p w14:paraId="5645E7E6" w14:textId="7798886F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5" w:type="pct"/>
          </w:tcPr>
          <w:p w14:paraId="52DE4BC1" w14:textId="31B70DD3" w:rsidR="00DB2A0D" w:rsidRPr="00150498" w:rsidRDefault="00DB2A0D" w:rsidP="00DB2A0D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5,000.00</w:t>
            </w:r>
          </w:p>
        </w:tc>
      </w:tr>
      <w:tr w:rsidR="00DB2A0D" w:rsidRPr="00150498" w14:paraId="35DBC614" w14:textId="77777777" w:rsidTr="00547C0E">
        <w:tc>
          <w:tcPr>
            <w:tcW w:w="746" w:type="pct"/>
          </w:tcPr>
          <w:p w14:paraId="569A2919" w14:textId="77777777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B0E8B24" w14:textId="73278EED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873" w:type="pct"/>
          </w:tcPr>
          <w:p w14:paraId="37FCB6CD" w14:textId="548574AA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324DB7"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 w:rsidRPr="00324DB7"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6" w:type="pct"/>
          </w:tcPr>
          <w:p w14:paraId="74FD9E53" w14:textId="3F518C6D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5" w:type="pct"/>
          </w:tcPr>
          <w:p w14:paraId="40AFDDC6" w14:textId="36850F1C" w:rsidR="00DB2A0D" w:rsidRPr="00150498" w:rsidRDefault="00DB2A0D" w:rsidP="00DB2A0D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16"/>
                <w:szCs w:val="16"/>
                <w:highlight w:val="darkCyan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3,224.80</w:t>
            </w:r>
          </w:p>
        </w:tc>
      </w:tr>
      <w:tr w:rsidR="00DB2A0D" w:rsidRPr="00150498" w14:paraId="293C3792" w14:textId="77777777" w:rsidTr="00547C0E">
        <w:tc>
          <w:tcPr>
            <w:tcW w:w="746" w:type="pct"/>
          </w:tcPr>
          <w:p w14:paraId="29A17306" w14:textId="77777777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D245B3C" w14:textId="31C67C74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873" w:type="pct"/>
          </w:tcPr>
          <w:p w14:paraId="46CCD5ED" w14:textId="1ED97461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324DB7"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 w:rsidRPr="00324DB7"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6" w:type="pct"/>
          </w:tcPr>
          <w:p w14:paraId="3B37C9BA" w14:textId="1555EE38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5" w:type="pct"/>
          </w:tcPr>
          <w:p w14:paraId="6642BC3C" w14:textId="1CA09A1C" w:rsidR="00DB2A0D" w:rsidRPr="00150498" w:rsidRDefault="00DB2A0D" w:rsidP="00DB2A0D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16"/>
                <w:szCs w:val="16"/>
                <w:highlight w:val="darkCyan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2,079.00</w:t>
            </w:r>
          </w:p>
        </w:tc>
      </w:tr>
      <w:tr w:rsidR="00DB2A0D" w:rsidRPr="00150498" w14:paraId="3772702E" w14:textId="77777777" w:rsidTr="00547C0E">
        <w:tc>
          <w:tcPr>
            <w:tcW w:w="746" w:type="pct"/>
          </w:tcPr>
          <w:p w14:paraId="5844EDC0" w14:textId="77777777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722E5C5" w14:textId="6761C6D3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873" w:type="pct"/>
          </w:tcPr>
          <w:p w14:paraId="10D59BB9" w14:textId="17525FD1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324DB7"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 w:rsidRPr="00324DB7"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6" w:type="pct"/>
          </w:tcPr>
          <w:p w14:paraId="6DC3C413" w14:textId="2AC18DA9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5" w:type="pct"/>
          </w:tcPr>
          <w:p w14:paraId="0A45EBC4" w14:textId="5E645513" w:rsidR="00DB2A0D" w:rsidRPr="00150498" w:rsidRDefault="00DB2A0D" w:rsidP="00DB2A0D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16"/>
                <w:szCs w:val="16"/>
                <w:highlight w:val="darkCyan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8,481.95</w:t>
            </w:r>
          </w:p>
        </w:tc>
      </w:tr>
      <w:tr w:rsidR="00DB2A0D" w:rsidRPr="00150498" w14:paraId="6929D7F1" w14:textId="77777777" w:rsidTr="00547C0E">
        <w:tc>
          <w:tcPr>
            <w:tcW w:w="746" w:type="pct"/>
          </w:tcPr>
          <w:p w14:paraId="4A209B16" w14:textId="77777777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17A83F6" w14:textId="5FEA6505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873" w:type="pct"/>
          </w:tcPr>
          <w:p w14:paraId="24253B7A" w14:textId="4E329FB4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324DB7"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 w:rsidRPr="00324DB7"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6" w:type="pct"/>
          </w:tcPr>
          <w:p w14:paraId="43677942" w14:textId="2D0D422F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5" w:type="pct"/>
          </w:tcPr>
          <w:p w14:paraId="73A3ACD2" w14:textId="70B0D0F9" w:rsidR="00DB2A0D" w:rsidRPr="00150498" w:rsidRDefault="00DB2A0D" w:rsidP="00DB2A0D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1,359.99</w:t>
            </w:r>
          </w:p>
        </w:tc>
      </w:tr>
      <w:tr w:rsidR="00DB2A0D" w:rsidRPr="00150498" w14:paraId="4B14CB8E" w14:textId="77777777" w:rsidTr="00547C0E">
        <w:tc>
          <w:tcPr>
            <w:tcW w:w="746" w:type="pct"/>
          </w:tcPr>
          <w:p w14:paraId="4A4DE0BC" w14:textId="77777777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EF962AD" w14:textId="28B364F0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873" w:type="pct"/>
          </w:tcPr>
          <w:p w14:paraId="604B5393" w14:textId="0725A0E0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324DB7"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 w:rsidRPr="00324DB7"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6" w:type="pct"/>
          </w:tcPr>
          <w:p w14:paraId="44D2083E" w14:textId="3BCDF71B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5" w:type="pct"/>
          </w:tcPr>
          <w:p w14:paraId="48930432" w14:textId="678D8F0A" w:rsidR="00DB2A0D" w:rsidRPr="00150498" w:rsidRDefault="00DB2A0D" w:rsidP="00DB2A0D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17,449.14</w:t>
            </w:r>
          </w:p>
        </w:tc>
      </w:tr>
      <w:tr w:rsidR="00DB2A0D" w:rsidRPr="00150498" w14:paraId="2E5CD3DD" w14:textId="77777777" w:rsidTr="00547C0E">
        <w:tc>
          <w:tcPr>
            <w:tcW w:w="746" w:type="pct"/>
          </w:tcPr>
          <w:p w14:paraId="3CB5505E" w14:textId="77777777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272D84B2" w14:textId="12D908E8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873" w:type="pct"/>
          </w:tcPr>
          <w:p w14:paraId="184878EF" w14:textId="499954BE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324DB7"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 w:rsidRPr="00324DB7"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6" w:type="pct"/>
          </w:tcPr>
          <w:p w14:paraId="2F541B41" w14:textId="08B18C83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5" w:type="pct"/>
          </w:tcPr>
          <w:p w14:paraId="48A64974" w14:textId="1E682BAC" w:rsidR="00DB2A0D" w:rsidRPr="00150498" w:rsidRDefault="00DB2A0D" w:rsidP="00DB2A0D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10,664.66</w:t>
            </w:r>
          </w:p>
        </w:tc>
      </w:tr>
      <w:tr w:rsidR="00DB2A0D" w:rsidRPr="00150498" w14:paraId="1C218936" w14:textId="77777777" w:rsidTr="00547C0E">
        <w:tc>
          <w:tcPr>
            <w:tcW w:w="746" w:type="pct"/>
          </w:tcPr>
          <w:p w14:paraId="1D603429" w14:textId="77777777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84A1BF8" w14:textId="0EBDD819" w:rsidR="00DB2A0D" w:rsidRPr="00150498" w:rsidRDefault="00DB2A0D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10</w:t>
            </w:r>
          </w:p>
        </w:tc>
        <w:tc>
          <w:tcPr>
            <w:tcW w:w="1873" w:type="pct"/>
          </w:tcPr>
          <w:p w14:paraId="4E1FEF68" w14:textId="1A54CCAD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324DB7">
              <w:rPr>
                <w:rFonts w:ascii="Arial" w:hAnsi="Arial" w:cs="Arial"/>
                <w:sz w:val="16"/>
                <w:szCs w:val="16"/>
              </w:rPr>
              <w:t xml:space="preserve">Ausencia total o parcial de soporte documental comprobatorio y </w:t>
            </w:r>
            <w:proofErr w:type="spellStart"/>
            <w:r w:rsidRPr="00324DB7">
              <w:rPr>
                <w:rFonts w:ascii="Arial" w:hAnsi="Arial" w:cs="Arial"/>
                <w:sz w:val="16"/>
                <w:szCs w:val="16"/>
              </w:rPr>
              <w:t>justificatorio</w:t>
            </w:r>
            <w:proofErr w:type="spellEnd"/>
          </w:p>
        </w:tc>
        <w:tc>
          <w:tcPr>
            <w:tcW w:w="1646" w:type="pct"/>
          </w:tcPr>
          <w:p w14:paraId="3A303B6E" w14:textId="4485A202" w:rsidR="00DB2A0D" w:rsidRPr="00150498" w:rsidRDefault="00DB2A0D" w:rsidP="00DB2A0D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735" w:type="pct"/>
          </w:tcPr>
          <w:p w14:paraId="6764ABD9" w14:textId="55A50C7A" w:rsidR="00DB2A0D" w:rsidRPr="00150498" w:rsidRDefault="00DB2A0D" w:rsidP="00DB2A0D">
            <w:pPr>
              <w:spacing w:line="360" w:lineRule="auto"/>
              <w:jc w:val="right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26,399.98</w:t>
            </w:r>
          </w:p>
        </w:tc>
      </w:tr>
      <w:tr w:rsidR="00804981" w:rsidRPr="00150498" w14:paraId="5CDF793A" w14:textId="77777777" w:rsidTr="00547C0E">
        <w:tc>
          <w:tcPr>
            <w:tcW w:w="746" w:type="pct"/>
          </w:tcPr>
          <w:p w14:paraId="37DC97C9" w14:textId="77777777" w:rsidR="00804981" w:rsidRPr="00150498" w:rsidRDefault="00804981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3F0D64E8" w14:textId="24B7D057" w:rsidR="00804981" w:rsidRPr="00150498" w:rsidRDefault="00804981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11</w:t>
            </w:r>
          </w:p>
        </w:tc>
        <w:tc>
          <w:tcPr>
            <w:tcW w:w="1873" w:type="pct"/>
          </w:tcPr>
          <w:p w14:paraId="7FE4DEA3" w14:textId="3AC056AC" w:rsidR="00804981" w:rsidRPr="00150498" w:rsidRDefault="00804981" w:rsidP="00547C0E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Sin normatividad interna</w:t>
            </w:r>
          </w:p>
        </w:tc>
        <w:tc>
          <w:tcPr>
            <w:tcW w:w="1646" w:type="pct"/>
          </w:tcPr>
          <w:p w14:paraId="0A3E0290" w14:textId="7FC9DFBE" w:rsidR="00804981" w:rsidRPr="00150498" w:rsidRDefault="00804981" w:rsidP="00547C0E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(5A) Carencia o desactualización de manuales, normativa interna o disposiciones legales</w:t>
            </w:r>
          </w:p>
        </w:tc>
        <w:tc>
          <w:tcPr>
            <w:tcW w:w="735" w:type="pct"/>
          </w:tcPr>
          <w:p w14:paraId="07F4FECB" w14:textId="26C2FC49" w:rsidR="00804981" w:rsidRPr="00150498" w:rsidRDefault="00150498" w:rsidP="00150498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804981" w:rsidRPr="00150498" w14:paraId="731BB14E" w14:textId="77777777" w:rsidTr="00547C0E">
        <w:tc>
          <w:tcPr>
            <w:tcW w:w="746" w:type="pct"/>
          </w:tcPr>
          <w:p w14:paraId="7D751A1B" w14:textId="77777777" w:rsidR="00804981" w:rsidRPr="00150498" w:rsidRDefault="00804981" w:rsidP="00547C0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</w:p>
        </w:tc>
        <w:tc>
          <w:tcPr>
            <w:tcW w:w="1873" w:type="pct"/>
          </w:tcPr>
          <w:p w14:paraId="10776F1A" w14:textId="77777777" w:rsidR="00804981" w:rsidRPr="00150498" w:rsidRDefault="00804981" w:rsidP="00547C0E">
            <w:pPr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</w:p>
        </w:tc>
        <w:tc>
          <w:tcPr>
            <w:tcW w:w="1646" w:type="pct"/>
            <w:shd w:val="clear" w:color="auto" w:fill="auto"/>
          </w:tcPr>
          <w:p w14:paraId="50EE047F" w14:textId="704FE410" w:rsidR="00804981" w:rsidRPr="00150498" w:rsidRDefault="00547C0E" w:rsidP="00547C0E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0498">
              <w:rPr>
                <w:rFonts w:ascii="Arial" w:hAnsi="Arial" w:cs="Arial"/>
                <w:b/>
                <w:sz w:val="16"/>
                <w:szCs w:val="16"/>
              </w:rPr>
              <w:t xml:space="preserve">Total </w:t>
            </w:r>
          </w:p>
        </w:tc>
        <w:tc>
          <w:tcPr>
            <w:tcW w:w="735" w:type="pct"/>
            <w:shd w:val="clear" w:color="auto" w:fill="auto"/>
          </w:tcPr>
          <w:p w14:paraId="562F63FC" w14:textId="531B737C" w:rsidR="00804981" w:rsidRPr="00150498" w:rsidRDefault="00547C0E" w:rsidP="00547C0E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0498">
              <w:rPr>
                <w:rFonts w:ascii="Arial" w:hAnsi="Arial" w:cs="Arial"/>
                <w:b/>
                <w:sz w:val="16"/>
                <w:szCs w:val="16"/>
              </w:rPr>
              <w:t>$76,833.52</w:t>
            </w:r>
          </w:p>
        </w:tc>
      </w:tr>
    </w:tbl>
    <w:p w14:paraId="70C1BCBF" w14:textId="7E0F390A" w:rsidR="00804981" w:rsidRDefault="00804981" w:rsidP="00B16F60">
      <w:pPr>
        <w:spacing w:line="360" w:lineRule="auto"/>
        <w:jc w:val="both"/>
        <w:rPr>
          <w:rFonts w:ascii="Arial" w:hAnsi="Arial" w:cs="Arial"/>
          <w:bCs/>
        </w:rPr>
      </w:pPr>
    </w:p>
    <w:p w14:paraId="75321094" w14:textId="275C67EE" w:rsidR="00547C0E" w:rsidRPr="00547C0E" w:rsidRDefault="00547C0E" w:rsidP="00547C0E">
      <w:pPr>
        <w:spacing w:line="360" w:lineRule="auto"/>
        <w:jc w:val="both"/>
        <w:rPr>
          <w:rFonts w:ascii="Arial" w:hAnsi="Arial" w:cs="Arial"/>
          <w:b/>
          <w:bCs/>
        </w:rPr>
      </w:pPr>
      <w:r w:rsidRPr="00547C0E">
        <w:rPr>
          <w:rFonts w:ascii="Arial" w:hAnsi="Arial" w:cs="Arial"/>
          <w:b/>
          <w:bCs/>
        </w:rPr>
        <w:t>B. Observaciones Determinadas por Auditoría en Materia Financiera, Justificaciones y Aclaraciones de la Entidad Fiscalizada</w:t>
      </w:r>
      <w:r w:rsidR="00150498">
        <w:rPr>
          <w:rFonts w:ascii="Arial" w:hAnsi="Arial" w:cs="Arial"/>
          <w:b/>
          <w:bCs/>
        </w:rPr>
        <w:t xml:space="preserve">, Acciones y Recomendaciones </w:t>
      </w:r>
      <w:r w:rsidRPr="00547C0E">
        <w:rPr>
          <w:rFonts w:ascii="Arial" w:hAnsi="Arial" w:cs="Arial"/>
          <w:b/>
          <w:bCs/>
        </w:rPr>
        <w:t>Emitidas</w:t>
      </w:r>
    </w:p>
    <w:p w14:paraId="1CB2E2FF" w14:textId="77777777" w:rsidR="00547C0E" w:rsidRPr="00547C0E" w:rsidRDefault="00547C0E" w:rsidP="00547C0E">
      <w:pPr>
        <w:spacing w:line="360" w:lineRule="auto"/>
        <w:jc w:val="both"/>
        <w:rPr>
          <w:rFonts w:ascii="Arial" w:hAnsi="Arial" w:cs="Arial"/>
          <w:bCs/>
        </w:rPr>
      </w:pPr>
    </w:p>
    <w:p w14:paraId="290C1E5C" w14:textId="15BB1367" w:rsidR="00547C0E" w:rsidRDefault="00547C0E" w:rsidP="00547C0E">
      <w:pPr>
        <w:spacing w:line="360" w:lineRule="auto"/>
        <w:jc w:val="both"/>
        <w:rPr>
          <w:rFonts w:ascii="Arial" w:hAnsi="Arial" w:cs="Arial"/>
          <w:bCs/>
        </w:rPr>
      </w:pPr>
      <w:r w:rsidRPr="00547C0E">
        <w:rPr>
          <w:rFonts w:ascii="Arial" w:hAnsi="Arial" w:cs="Arial"/>
          <w:bCs/>
        </w:rPr>
        <w:t xml:space="preserve">Durante el proceso de fiscalización, y como resultado de los procedimientos de auditoría, se realizaron observaciones de las cuales se recibieron </w:t>
      </w:r>
      <w:proofErr w:type="spellStart"/>
      <w:r w:rsidRPr="00547C0E">
        <w:rPr>
          <w:rFonts w:ascii="Arial" w:hAnsi="Arial" w:cs="Arial"/>
          <w:bCs/>
        </w:rPr>
        <w:t>solventaciones</w:t>
      </w:r>
      <w:proofErr w:type="spellEnd"/>
      <w:r w:rsidRPr="00547C0E">
        <w:rPr>
          <w:rFonts w:ascii="Arial" w:hAnsi="Arial" w:cs="Arial"/>
          <w:bCs/>
        </w:rPr>
        <w:t xml:space="preserve"> por parte del ente auditado como se detalla en el cuadro siguiente:</w:t>
      </w:r>
    </w:p>
    <w:p w14:paraId="2969D420" w14:textId="77777777" w:rsidR="00547C0E" w:rsidRPr="00804981" w:rsidRDefault="00547C0E" w:rsidP="00B16F60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761FA3" w:rsidRPr="00150498" w14:paraId="44D31EDB" w14:textId="77777777" w:rsidTr="00B264BE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150498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_Hlk11419841"/>
            <w:r w:rsidRPr="0015049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Resumen General de Observaciones y </w:t>
            </w:r>
            <w:proofErr w:type="spellStart"/>
            <w:r w:rsidRPr="0015049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Solventaciones</w:t>
            </w:r>
            <w:proofErr w:type="spellEnd"/>
            <w:r w:rsidRPr="00150498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 xml:space="preserve"> en Materia Financiera</w:t>
            </w:r>
          </w:p>
        </w:tc>
      </w:tr>
      <w:tr w:rsidR="00761FA3" w:rsidRPr="00150498" w14:paraId="6031F0E7" w14:textId="77777777" w:rsidTr="00B264BE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150498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498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150498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498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150498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498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150498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150498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498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150498" w14:paraId="3C74268A" w14:textId="77777777" w:rsidTr="00B264BE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150498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150498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150498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498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150498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0498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150498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213A" w:rsidRPr="00150498" w14:paraId="7F15BAA1" w14:textId="77777777" w:rsidTr="00B264BE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8167167" w14:textId="35D80ED6" w:rsidR="0029213A" w:rsidRPr="00150498" w:rsidRDefault="0029213A" w:rsidP="0029213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094B8B" w14:textId="1E32DA8A" w:rsidR="0029213A" w:rsidRPr="00150498" w:rsidRDefault="0029213A" w:rsidP="002921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$</w:t>
            </w:r>
            <w:r w:rsidR="00B1041F">
              <w:rPr>
                <w:rFonts w:ascii="Arial" w:hAnsi="Arial" w:cs="Arial"/>
                <w:sz w:val="16"/>
                <w:szCs w:val="16"/>
              </w:rPr>
              <w:t>76,833.52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A3E624" w14:textId="561ADE4A" w:rsidR="0029213A" w:rsidRPr="00150498" w:rsidRDefault="00B1041F" w:rsidP="0029213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$76,833.52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DC0DA53" w14:textId="164A1CF1" w:rsidR="0029213A" w:rsidRPr="00150498" w:rsidRDefault="0029213A" w:rsidP="002921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A84AE0B" w14:textId="0A4A263A" w:rsidR="0029213A" w:rsidRPr="00150498" w:rsidRDefault="0029213A" w:rsidP="0029213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  <w:tr w:rsidR="00547C0E" w:rsidRPr="00150498" w14:paraId="50698506" w14:textId="77777777" w:rsidTr="00B264BE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547C0E" w:rsidRPr="00150498" w:rsidRDefault="00547C0E" w:rsidP="0029213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0498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3DD28DA7" w:rsidR="00547C0E" w:rsidRPr="00150498" w:rsidRDefault="00547C0E" w:rsidP="0029213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0498">
              <w:rPr>
                <w:rFonts w:ascii="Arial" w:hAnsi="Arial" w:cs="Arial"/>
                <w:b/>
                <w:sz w:val="16"/>
                <w:szCs w:val="16"/>
              </w:rPr>
              <w:t>$76,833.52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2B164C87" w:rsidR="00547C0E" w:rsidRPr="00150498" w:rsidRDefault="0029213A" w:rsidP="0029213A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0498">
              <w:rPr>
                <w:rFonts w:ascii="Arial" w:hAnsi="Arial" w:cs="Arial"/>
                <w:b/>
                <w:sz w:val="16"/>
                <w:szCs w:val="16"/>
              </w:rPr>
              <w:t>$76,833.52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7A8C3908" w:rsidR="00547C0E" w:rsidRPr="00150498" w:rsidRDefault="00547C0E" w:rsidP="0029213A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150498">
              <w:rPr>
                <w:rFonts w:ascii="Arial" w:hAnsi="Arial" w:cs="Arial"/>
                <w:b/>
                <w:sz w:val="16"/>
                <w:szCs w:val="16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5AF7537E" w:rsidR="00547C0E" w:rsidRPr="00150498" w:rsidRDefault="00150498" w:rsidP="0029213A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$0.00</w:t>
            </w:r>
          </w:p>
        </w:tc>
      </w:tr>
    </w:tbl>
    <w:p w14:paraId="7B212193" w14:textId="079F7B17" w:rsidR="00CE368B" w:rsidRDefault="00CE368B" w:rsidP="00B93F1F">
      <w:pPr>
        <w:tabs>
          <w:tab w:val="left" w:pos="426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14:paraId="0C41E3F8" w14:textId="4F25CA97" w:rsidR="0029213A" w:rsidRDefault="0057359E" w:rsidP="0029213A">
      <w:pPr>
        <w:tabs>
          <w:tab w:val="left" w:pos="426"/>
        </w:tabs>
        <w:spacing w:line="360" w:lineRule="auto"/>
        <w:jc w:val="both"/>
        <w:rPr>
          <w:rFonts w:ascii="Arial" w:hAnsi="Arial" w:cs="Arial"/>
          <w:szCs w:val="28"/>
        </w:rPr>
      </w:pPr>
      <w:r w:rsidRPr="0029213A">
        <w:rPr>
          <w:rFonts w:ascii="Arial" w:hAnsi="Arial" w:cs="Arial"/>
          <w:szCs w:val="28"/>
        </w:rPr>
        <w:t>Asimismo,</w:t>
      </w:r>
      <w:r w:rsidR="0029213A" w:rsidRPr="0029213A">
        <w:rPr>
          <w:rFonts w:ascii="Arial" w:hAnsi="Arial" w:cs="Arial"/>
          <w:szCs w:val="28"/>
        </w:rPr>
        <w:t xml:space="preserve"> la entidad fiscalizada presentó en reunión de trabajo efectuada</w:t>
      </w:r>
      <w:r w:rsidR="00E3221B">
        <w:rPr>
          <w:rFonts w:ascii="Arial" w:hAnsi="Arial" w:cs="Arial"/>
          <w:szCs w:val="28"/>
        </w:rPr>
        <w:t>,</w:t>
      </w:r>
      <w:r w:rsidR="0029213A" w:rsidRPr="0029213A">
        <w:rPr>
          <w:rFonts w:ascii="Arial" w:hAnsi="Arial" w:cs="Arial"/>
          <w:szCs w:val="28"/>
        </w:rPr>
        <w:t xml:space="preserve"> justificaciones y aclaraciones relacionadas con los conceptos observados de los resultados de auditoría en materia financiera, las cuales se detallan a continuación:</w:t>
      </w:r>
    </w:p>
    <w:p w14:paraId="341388DB" w14:textId="1E581111" w:rsidR="0029213A" w:rsidRDefault="0029213A" w:rsidP="0029213A">
      <w:pPr>
        <w:tabs>
          <w:tab w:val="left" w:pos="426"/>
        </w:tabs>
        <w:spacing w:line="360" w:lineRule="auto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434"/>
        <w:gridCol w:w="3097"/>
        <w:gridCol w:w="3403"/>
        <w:gridCol w:w="1744"/>
      </w:tblGrid>
      <w:tr w:rsidR="00A95F07" w:rsidRPr="00150498" w14:paraId="77A43663" w14:textId="77777777" w:rsidTr="004C7B0C">
        <w:trPr>
          <w:trHeight w:val="165"/>
          <w:tblHeader/>
        </w:trPr>
        <w:tc>
          <w:tcPr>
            <w:tcW w:w="741" w:type="pct"/>
            <w:shd w:val="clear" w:color="auto" w:fill="D0CECE" w:themeFill="background2" w:themeFillShade="E6"/>
            <w:vAlign w:val="center"/>
          </w:tcPr>
          <w:p w14:paraId="586E8C37" w14:textId="77777777" w:rsidR="00091636" w:rsidRPr="00150498" w:rsidRDefault="00091636" w:rsidP="000916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  <w:t>Referencia</w:t>
            </w:r>
          </w:p>
        </w:tc>
        <w:tc>
          <w:tcPr>
            <w:tcW w:w="1600" w:type="pct"/>
            <w:shd w:val="clear" w:color="auto" w:fill="D0CECE" w:themeFill="background2" w:themeFillShade="E6"/>
            <w:vAlign w:val="center"/>
          </w:tcPr>
          <w:p w14:paraId="2405F0C0" w14:textId="7B2E4A7D" w:rsidR="00091636" w:rsidRPr="00150498" w:rsidRDefault="004C7B0C" w:rsidP="000916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  <w:t>Concepto de la Observación</w:t>
            </w:r>
          </w:p>
        </w:tc>
        <w:tc>
          <w:tcPr>
            <w:tcW w:w="1758" w:type="pct"/>
            <w:shd w:val="clear" w:color="auto" w:fill="D0CECE" w:themeFill="background2" w:themeFillShade="E6"/>
            <w:vAlign w:val="center"/>
          </w:tcPr>
          <w:p w14:paraId="12F1B644" w14:textId="6688B743" w:rsidR="00091636" w:rsidRPr="00150498" w:rsidRDefault="004C7B0C" w:rsidP="00033887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  <w:t>Síntesis de Justificaciones y Aclaraciones</w:t>
            </w:r>
          </w:p>
        </w:tc>
        <w:tc>
          <w:tcPr>
            <w:tcW w:w="901" w:type="pct"/>
            <w:shd w:val="clear" w:color="auto" w:fill="D0CECE" w:themeFill="background2" w:themeFillShade="E6"/>
            <w:vAlign w:val="center"/>
          </w:tcPr>
          <w:p w14:paraId="442B2FC2" w14:textId="77777777" w:rsidR="004C7B0C" w:rsidRDefault="004C7B0C" w:rsidP="00033887">
            <w:pPr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  <w:t>Acción Promovida/</w:t>
            </w:r>
          </w:p>
          <w:p w14:paraId="5DEA113D" w14:textId="45E38326" w:rsidR="00091636" w:rsidRPr="00150498" w:rsidRDefault="004C7B0C" w:rsidP="0009163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b/>
                <w:bCs/>
                <w:iCs/>
                <w:sz w:val="16"/>
                <w:szCs w:val="16"/>
                <w:highlight w:val="lightGray"/>
                <w:shd w:val="clear" w:color="auto" w:fill="F7CAAC" w:themeFill="accent2" w:themeFillTint="66"/>
              </w:rPr>
              <w:t>Recomendación</w:t>
            </w:r>
          </w:p>
        </w:tc>
      </w:tr>
      <w:tr w:rsidR="00A95F07" w:rsidRPr="00150498" w14:paraId="39AB51AA" w14:textId="77777777" w:rsidTr="004C7B0C">
        <w:trPr>
          <w:trHeight w:val="315"/>
        </w:trPr>
        <w:tc>
          <w:tcPr>
            <w:tcW w:w="741" w:type="pct"/>
          </w:tcPr>
          <w:p w14:paraId="71C75D03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8482F69" w14:textId="560FDFB4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1</w:t>
            </w:r>
          </w:p>
        </w:tc>
        <w:tc>
          <w:tcPr>
            <w:tcW w:w="1600" w:type="pct"/>
          </w:tcPr>
          <w:p w14:paraId="544F713C" w14:textId="44F52901" w:rsidR="00091636" w:rsidRPr="00150498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8" w:type="pct"/>
          </w:tcPr>
          <w:p w14:paraId="06B7FD71" w14:textId="4B4AA94A" w:rsidR="00091636" w:rsidRPr="004C7B0C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C7B0C">
              <w:rPr>
                <w:rFonts w:ascii="Arial" w:hAnsi="Arial" w:cs="Arial"/>
                <w:sz w:val="16"/>
                <w:szCs w:val="16"/>
              </w:rPr>
              <w:t>La entidad en reunión de trabajo efectuada el día 06 de octubre, presenta oficio número CEAVEQROO/TC/1271/2020 de fecha 30 de septiembre de 2020 y carpeta que contiene el anexo número 1, en el cual se p</w:t>
            </w:r>
            <w:r w:rsidR="004C7B0C">
              <w:rPr>
                <w:rFonts w:ascii="Arial" w:hAnsi="Arial" w:cs="Arial"/>
                <w:sz w:val="16"/>
                <w:szCs w:val="16"/>
              </w:rPr>
              <w:t>resentó el soporte documental</w:t>
            </w:r>
          </w:p>
        </w:tc>
        <w:tc>
          <w:tcPr>
            <w:tcW w:w="901" w:type="pct"/>
          </w:tcPr>
          <w:p w14:paraId="5B828814" w14:textId="15B0190A" w:rsidR="00091636" w:rsidRPr="00150498" w:rsidRDefault="004C7B0C" w:rsidP="004C7B0C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A95F07" w:rsidRPr="00150498" w14:paraId="10FBD66D" w14:textId="77777777" w:rsidTr="004C7B0C">
        <w:trPr>
          <w:trHeight w:val="167"/>
        </w:trPr>
        <w:tc>
          <w:tcPr>
            <w:tcW w:w="741" w:type="pct"/>
          </w:tcPr>
          <w:p w14:paraId="7C68BDE5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94A03E9" w14:textId="26FDB41B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2</w:t>
            </w:r>
          </w:p>
        </w:tc>
        <w:tc>
          <w:tcPr>
            <w:tcW w:w="1600" w:type="pct"/>
          </w:tcPr>
          <w:p w14:paraId="0784D618" w14:textId="6ADF2C45" w:rsidR="00091636" w:rsidRPr="00150498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8" w:type="pct"/>
          </w:tcPr>
          <w:p w14:paraId="0E15FF09" w14:textId="27426AA1" w:rsidR="00091636" w:rsidRPr="00150498" w:rsidRDefault="004C7B0C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C7B0C">
              <w:rPr>
                <w:rFonts w:ascii="Arial" w:hAnsi="Arial" w:cs="Arial"/>
                <w:sz w:val="16"/>
                <w:szCs w:val="16"/>
              </w:rPr>
              <w:t>La entidad en reunión de trabajo efectuada el día 06 de octubre, presenta oficio número CEAVEQROO/TC/1271/2020 de fecha 30 de septiembre de 2020 y carpeta que contiene el anexo número 1, en el cual se p</w:t>
            </w:r>
            <w:r>
              <w:rPr>
                <w:rFonts w:ascii="Arial" w:hAnsi="Arial" w:cs="Arial"/>
                <w:sz w:val="16"/>
                <w:szCs w:val="16"/>
              </w:rPr>
              <w:t>resentó el soporte documental</w:t>
            </w:r>
          </w:p>
        </w:tc>
        <w:tc>
          <w:tcPr>
            <w:tcW w:w="901" w:type="pct"/>
          </w:tcPr>
          <w:p w14:paraId="7CE5A51A" w14:textId="2D4F2E13" w:rsidR="00091636" w:rsidRPr="00150498" w:rsidRDefault="004C7B0C" w:rsidP="004C7B0C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A95F07" w:rsidRPr="00150498" w14:paraId="4DD19E11" w14:textId="77777777" w:rsidTr="004C7B0C">
        <w:trPr>
          <w:trHeight w:val="175"/>
        </w:trPr>
        <w:tc>
          <w:tcPr>
            <w:tcW w:w="741" w:type="pct"/>
          </w:tcPr>
          <w:p w14:paraId="285DD05E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20F658A" w14:textId="0B09085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600" w:type="pct"/>
          </w:tcPr>
          <w:p w14:paraId="13B72C3D" w14:textId="5C3F66E9" w:rsidR="00091636" w:rsidRPr="00150498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8" w:type="pct"/>
          </w:tcPr>
          <w:p w14:paraId="7528D01D" w14:textId="02748DC9" w:rsidR="00091636" w:rsidRPr="00150498" w:rsidRDefault="004C7B0C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C7B0C">
              <w:rPr>
                <w:rFonts w:ascii="Arial" w:hAnsi="Arial" w:cs="Arial"/>
                <w:sz w:val="16"/>
                <w:szCs w:val="16"/>
              </w:rPr>
              <w:t>La entidad en reunión de trabajo efectuada el día 06 de octubre, presenta oficio número CEAVEQROO/TC/1271/2020 de fecha 30 de septiembre de 2020 y carpeta que contiene el anexo número 1, en el cual se p</w:t>
            </w:r>
            <w:r>
              <w:rPr>
                <w:rFonts w:ascii="Arial" w:hAnsi="Arial" w:cs="Arial"/>
                <w:sz w:val="16"/>
                <w:szCs w:val="16"/>
              </w:rPr>
              <w:t>resentó el soporte documental</w:t>
            </w:r>
          </w:p>
        </w:tc>
        <w:tc>
          <w:tcPr>
            <w:tcW w:w="901" w:type="pct"/>
          </w:tcPr>
          <w:p w14:paraId="39C4CBF7" w14:textId="529F88E7" w:rsidR="00091636" w:rsidRPr="00150498" w:rsidRDefault="004C7B0C" w:rsidP="004C7B0C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A95F07" w:rsidRPr="00150498" w14:paraId="538DAFAF" w14:textId="77777777" w:rsidTr="004C7B0C">
        <w:tc>
          <w:tcPr>
            <w:tcW w:w="741" w:type="pct"/>
          </w:tcPr>
          <w:p w14:paraId="7DA9DC1F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786E8B51" w14:textId="2AF00536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600" w:type="pct"/>
          </w:tcPr>
          <w:p w14:paraId="43E39E95" w14:textId="63000A7B" w:rsidR="00091636" w:rsidRPr="00150498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8" w:type="pct"/>
          </w:tcPr>
          <w:p w14:paraId="0E479339" w14:textId="22749696" w:rsidR="00091636" w:rsidRPr="00150498" w:rsidRDefault="004C7B0C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C7B0C">
              <w:rPr>
                <w:rFonts w:ascii="Arial" w:hAnsi="Arial" w:cs="Arial"/>
                <w:sz w:val="16"/>
                <w:szCs w:val="16"/>
              </w:rPr>
              <w:t>La entidad en reunión de trabajo efectuada el día 06 de octubre, presenta oficio número CEAVEQROO/TC/1271/2020 de fecha 30 de septiembre de 2020 y carpeta que contiene el anexo número 1, en el cual se p</w:t>
            </w:r>
            <w:r>
              <w:rPr>
                <w:rFonts w:ascii="Arial" w:hAnsi="Arial" w:cs="Arial"/>
                <w:sz w:val="16"/>
                <w:szCs w:val="16"/>
              </w:rPr>
              <w:t>resentó el soporte documental</w:t>
            </w:r>
          </w:p>
        </w:tc>
        <w:tc>
          <w:tcPr>
            <w:tcW w:w="901" w:type="pct"/>
          </w:tcPr>
          <w:p w14:paraId="6AE7A40E" w14:textId="1C15EDC1" w:rsidR="00091636" w:rsidRPr="00150498" w:rsidRDefault="004C7B0C" w:rsidP="004C7B0C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highlight w:val="darkCyan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A95F07" w:rsidRPr="00150498" w14:paraId="227DFCCE" w14:textId="77777777" w:rsidTr="004C7B0C">
        <w:tc>
          <w:tcPr>
            <w:tcW w:w="741" w:type="pct"/>
          </w:tcPr>
          <w:p w14:paraId="7D99BD7D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E075A5A" w14:textId="18D35621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600" w:type="pct"/>
          </w:tcPr>
          <w:p w14:paraId="4B21DE93" w14:textId="363E9F2C" w:rsidR="00091636" w:rsidRPr="00150498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8" w:type="pct"/>
          </w:tcPr>
          <w:p w14:paraId="6D6489DD" w14:textId="0991A1EA" w:rsidR="00091636" w:rsidRPr="00150498" w:rsidRDefault="004C7B0C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C7B0C">
              <w:rPr>
                <w:rFonts w:ascii="Arial" w:hAnsi="Arial" w:cs="Arial"/>
                <w:sz w:val="16"/>
                <w:szCs w:val="16"/>
              </w:rPr>
              <w:t>La entidad en reunión de trabajo efectuada el día 06 de octubre, presenta oficio número CEAVEQROO/TC/1271/2020 de fecha 30 de septiembre de 2020 y carpeta que contiene el anexo número 1, en el cual se p</w:t>
            </w:r>
            <w:r>
              <w:rPr>
                <w:rFonts w:ascii="Arial" w:hAnsi="Arial" w:cs="Arial"/>
                <w:sz w:val="16"/>
                <w:szCs w:val="16"/>
              </w:rPr>
              <w:t>resentó el soporte documental</w:t>
            </w:r>
          </w:p>
        </w:tc>
        <w:tc>
          <w:tcPr>
            <w:tcW w:w="901" w:type="pct"/>
          </w:tcPr>
          <w:p w14:paraId="4509C2AB" w14:textId="1EF1E395" w:rsidR="00091636" w:rsidRPr="00150498" w:rsidRDefault="004C7B0C" w:rsidP="004C7B0C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highlight w:val="darkCyan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A95F07" w:rsidRPr="00150498" w14:paraId="62B64D7E" w14:textId="77777777" w:rsidTr="004C7B0C">
        <w:tc>
          <w:tcPr>
            <w:tcW w:w="741" w:type="pct"/>
          </w:tcPr>
          <w:p w14:paraId="565826C7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ED48620" w14:textId="55D15110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600" w:type="pct"/>
          </w:tcPr>
          <w:p w14:paraId="0A2A2756" w14:textId="101E5493" w:rsidR="00091636" w:rsidRPr="00150498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8" w:type="pct"/>
          </w:tcPr>
          <w:p w14:paraId="0E33BA14" w14:textId="2E0EE454" w:rsidR="00091636" w:rsidRPr="00150498" w:rsidRDefault="004C7B0C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C7B0C">
              <w:rPr>
                <w:rFonts w:ascii="Arial" w:hAnsi="Arial" w:cs="Arial"/>
                <w:sz w:val="16"/>
                <w:szCs w:val="16"/>
              </w:rPr>
              <w:t xml:space="preserve">La entidad en reunión de trabajo efectuada el día 06 de octubre, presenta oficio número </w:t>
            </w:r>
            <w:r w:rsidRPr="004C7B0C">
              <w:rPr>
                <w:rFonts w:ascii="Arial" w:hAnsi="Arial" w:cs="Arial"/>
                <w:sz w:val="16"/>
                <w:szCs w:val="16"/>
              </w:rPr>
              <w:lastRenderedPageBreak/>
              <w:t>CEAVEQROO/TC/1271/2020 de fecha 30 de septiembre de 2020 y carpeta que contiene el anexo número 1, en el cual se p</w:t>
            </w:r>
            <w:r>
              <w:rPr>
                <w:rFonts w:ascii="Arial" w:hAnsi="Arial" w:cs="Arial"/>
                <w:sz w:val="16"/>
                <w:szCs w:val="16"/>
              </w:rPr>
              <w:t>resentó el soporte documental</w:t>
            </w:r>
          </w:p>
        </w:tc>
        <w:tc>
          <w:tcPr>
            <w:tcW w:w="901" w:type="pct"/>
          </w:tcPr>
          <w:p w14:paraId="71764EB4" w14:textId="3F74716A" w:rsidR="00091636" w:rsidRPr="00150498" w:rsidRDefault="004C7B0C" w:rsidP="004C7B0C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highlight w:val="darkCyan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Solventada</w:t>
            </w:r>
          </w:p>
        </w:tc>
      </w:tr>
      <w:tr w:rsidR="00A95F07" w:rsidRPr="00150498" w14:paraId="3C658CAC" w14:textId="77777777" w:rsidTr="004C7B0C">
        <w:tc>
          <w:tcPr>
            <w:tcW w:w="741" w:type="pct"/>
          </w:tcPr>
          <w:p w14:paraId="06C7CF97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3A738E26" w14:textId="67BCA7C3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600" w:type="pct"/>
          </w:tcPr>
          <w:p w14:paraId="7E212DC7" w14:textId="1BC833BB" w:rsidR="00091636" w:rsidRPr="00150498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8" w:type="pct"/>
          </w:tcPr>
          <w:p w14:paraId="59E633A9" w14:textId="7B4664DD" w:rsidR="00091636" w:rsidRPr="00150498" w:rsidRDefault="004C7B0C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C7B0C">
              <w:rPr>
                <w:rFonts w:ascii="Arial" w:hAnsi="Arial" w:cs="Arial"/>
                <w:sz w:val="16"/>
                <w:szCs w:val="16"/>
              </w:rPr>
              <w:t>La entidad en reunión de trabajo efectuada el día 06 de octubre, presenta oficio número CEAVEQROO/TC/1271/2020 de fecha 30 de septiembre de 2020 y carpeta que contiene el anexo número 1, en el cual se p</w:t>
            </w:r>
            <w:r>
              <w:rPr>
                <w:rFonts w:ascii="Arial" w:hAnsi="Arial" w:cs="Arial"/>
                <w:sz w:val="16"/>
                <w:szCs w:val="16"/>
              </w:rPr>
              <w:t>resentó el soporte documental</w:t>
            </w:r>
          </w:p>
        </w:tc>
        <w:tc>
          <w:tcPr>
            <w:tcW w:w="901" w:type="pct"/>
          </w:tcPr>
          <w:p w14:paraId="6F58CAB6" w14:textId="0341BD85" w:rsidR="00091636" w:rsidRPr="00150498" w:rsidRDefault="004C7B0C" w:rsidP="004C7B0C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A95F07" w:rsidRPr="00150498" w14:paraId="1D00A513" w14:textId="77777777" w:rsidTr="004C7B0C">
        <w:tc>
          <w:tcPr>
            <w:tcW w:w="741" w:type="pct"/>
          </w:tcPr>
          <w:p w14:paraId="1ED27356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0A9F5D59" w14:textId="0EEEB78D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600" w:type="pct"/>
          </w:tcPr>
          <w:p w14:paraId="1ECCCE2A" w14:textId="5712EBD6" w:rsidR="00091636" w:rsidRPr="00150498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8" w:type="pct"/>
          </w:tcPr>
          <w:p w14:paraId="320DE8E4" w14:textId="5F18C8CA" w:rsidR="00091636" w:rsidRPr="00150498" w:rsidRDefault="004C7B0C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C7B0C">
              <w:rPr>
                <w:rFonts w:ascii="Arial" w:hAnsi="Arial" w:cs="Arial"/>
                <w:sz w:val="16"/>
                <w:szCs w:val="16"/>
              </w:rPr>
              <w:t>La entidad en reunión de trabajo efectuada el día 06 de octubre, presenta oficio número CEAVEQROO/TC/1271/2020 de fecha 30 de septiembre de 2020 y carpeta que contiene el anexo número 1, en el cual se p</w:t>
            </w:r>
            <w:r>
              <w:rPr>
                <w:rFonts w:ascii="Arial" w:hAnsi="Arial" w:cs="Arial"/>
                <w:sz w:val="16"/>
                <w:szCs w:val="16"/>
              </w:rPr>
              <w:t>resentó el soporte documental</w:t>
            </w:r>
          </w:p>
        </w:tc>
        <w:tc>
          <w:tcPr>
            <w:tcW w:w="901" w:type="pct"/>
          </w:tcPr>
          <w:p w14:paraId="5AAC3F2E" w14:textId="15455875" w:rsidR="00091636" w:rsidRPr="00150498" w:rsidRDefault="004C7B0C" w:rsidP="004C7B0C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A95F07" w:rsidRPr="00150498" w14:paraId="6735A659" w14:textId="77777777" w:rsidTr="004C7B0C">
        <w:tc>
          <w:tcPr>
            <w:tcW w:w="741" w:type="pct"/>
          </w:tcPr>
          <w:p w14:paraId="3CC989D1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AB8EE72" w14:textId="7D959583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9</w:t>
            </w:r>
          </w:p>
        </w:tc>
        <w:tc>
          <w:tcPr>
            <w:tcW w:w="1600" w:type="pct"/>
          </w:tcPr>
          <w:p w14:paraId="43A044E2" w14:textId="1E7AF441" w:rsidR="00091636" w:rsidRPr="00150498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8" w:type="pct"/>
          </w:tcPr>
          <w:p w14:paraId="767F7827" w14:textId="4520047D" w:rsidR="00091636" w:rsidRPr="00150498" w:rsidRDefault="004C7B0C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C7B0C">
              <w:rPr>
                <w:rFonts w:ascii="Arial" w:hAnsi="Arial" w:cs="Arial"/>
                <w:sz w:val="16"/>
                <w:szCs w:val="16"/>
              </w:rPr>
              <w:t>La entidad en reunión de trabajo efectuada el día 06 de octubre, presenta oficio número CEAVEQROO/TC/1271/2020 de fecha 30 de septiembre de 2020 y carpeta que contiene el anexo número 1, en el cual se p</w:t>
            </w:r>
            <w:r>
              <w:rPr>
                <w:rFonts w:ascii="Arial" w:hAnsi="Arial" w:cs="Arial"/>
                <w:sz w:val="16"/>
                <w:szCs w:val="16"/>
              </w:rPr>
              <w:t>resentó el soporte documental</w:t>
            </w:r>
            <w:r w:rsidR="00A95F07">
              <w:rPr>
                <w:rFonts w:ascii="Arial" w:hAnsi="Arial" w:cs="Arial"/>
                <w:sz w:val="16"/>
                <w:szCs w:val="16"/>
              </w:rPr>
              <w:t>, sin embargo es necesario mejorar los controles internos</w:t>
            </w:r>
          </w:p>
        </w:tc>
        <w:tc>
          <w:tcPr>
            <w:tcW w:w="901" w:type="pct"/>
          </w:tcPr>
          <w:p w14:paraId="13315925" w14:textId="5CB196F0" w:rsidR="00091636" w:rsidRPr="00150498" w:rsidRDefault="00A95F07" w:rsidP="004C7B0C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A95F07" w:rsidRPr="00150498" w14:paraId="2B451031" w14:textId="77777777" w:rsidTr="004C7B0C">
        <w:tc>
          <w:tcPr>
            <w:tcW w:w="741" w:type="pct"/>
          </w:tcPr>
          <w:p w14:paraId="103B903B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5818F07D" w14:textId="34F5E7B6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10</w:t>
            </w:r>
          </w:p>
        </w:tc>
        <w:tc>
          <w:tcPr>
            <w:tcW w:w="1600" w:type="pct"/>
          </w:tcPr>
          <w:p w14:paraId="4FCEC912" w14:textId="5825C197" w:rsidR="00091636" w:rsidRPr="00150498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758" w:type="pct"/>
          </w:tcPr>
          <w:p w14:paraId="4B049353" w14:textId="124C4253" w:rsidR="00091636" w:rsidRPr="00150498" w:rsidRDefault="004C7B0C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C7B0C">
              <w:rPr>
                <w:rFonts w:ascii="Arial" w:hAnsi="Arial" w:cs="Arial"/>
                <w:sz w:val="16"/>
                <w:szCs w:val="16"/>
              </w:rPr>
              <w:t>La entidad en reunión de trabajo efectuada el día 06 de octubre, presenta oficio número CEAVEQROO/TC/1271/2020 de fecha 30 de septiembre de 2020 y carpeta que contiene el anexo número 1, en el cual se p</w:t>
            </w:r>
            <w:r>
              <w:rPr>
                <w:rFonts w:ascii="Arial" w:hAnsi="Arial" w:cs="Arial"/>
                <w:sz w:val="16"/>
                <w:szCs w:val="16"/>
              </w:rPr>
              <w:t>resentó el soporte documental</w:t>
            </w:r>
            <w:r w:rsidR="00A95F07">
              <w:rPr>
                <w:rFonts w:ascii="Arial" w:hAnsi="Arial" w:cs="Arial"/>
                <w:sz w:val="16"/>
                <w:szCs w:val="16"/>
              </w:rPr>
              <w:t>, sin embargo es necesario mejorar los controles internos</w:t>
            </w:r>
          </w:p>
        </w:tc>
        <w:tc>
          <w:tcPr>
            <w:tcW w:w="901" w:type="pct"/>
          </w:tcPr>
          <w:p w14:paraId="0994C48D" w14:textId="3D507AD1" w:rsidR="00091636" w:rsidRPr="00150498" w:rsidRDefault="00A95F07" w:rsidP="00A95F07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A95F07" w:rsidRPr="00150498" w14:paraId="39BF410B" w14:textId="77777777" w:rsidTr="004C7B0C">
        <w:tc>
          <w:tcPr>
            <w:tcW w:w="741" w:type="pct"/>
          </w:tcPr>
          <w:p w14:paraId="138AFFC5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14:paraId="5682E57B" w14:textId="77777777" w:rsidR="00091636" w:rsidRPr="00150498" w:rsidRDefault="00091636" w:rsidP="00D56135">
            <w:pPr>
              <w:spacing w:line="360" w:lineRule="auto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Observación: 11</w:t>
            </w:r>
          </w:p>
        </w:tc>
        <w:tc>
          <w:tcPr>
            <w:tcW w:w="1600" w:type="pct"/>
          </w:tcPr>
          <w:p w14:paraId="76AA935F" w14:textId="47EFDF7D" w:rsidR="00091636" w:rsidRPr="00150498" w:rsidRDefault="00091636" w:rsidP="00091636">
            <w:pPr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150498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</w:t>
            </w:r>
          </w:p>
        </w:tc>
        <w:tc>
          <w:tcPr>
            <w:tcW w:w="1758" w:type="pct"/>
          </w:tcPr>
          <w:p w14:paraId="08E48EBD" w14:textId="3C25CB99" w:rsidR="00091636" w:rsidRPr="004C7B0C" w:rsidRDefault="004C7B0C" w:rsidP="00A95F07">
            <w:pP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 w:rsidRPr="004C7B0C">
              <w:rPr>
                <w:rFonts w:ascii="Arial" w:hAnsi="Arial" w:cs="Arial"/>
                <w:sz w:val="16"/>
                <w:szCs w:val="16"/>
              </w:rPr>
              <w:t>La entidad en reunión de trabajo efectuada el día 06 de octubre, presenta oficio número CEAVEQROO/TC/1271/2020 de fecha 30 de septiembre de 2020 y carpeta que contiene el anexo número 10, en la que se argumenta que se anexa los vales de combustible pendientes que solventan la diferenc</w:t>
            </w:r>
            <w:r w:rsidR="00A95F07">
              <w:rPr>
                <w:rFonts w:ascii="Arial" w:hAnsi="Arial" w:cs="Arial"/>
                <w:sz w:val="16"/>
                <w:szCs w:val="16"/>
              </w:rPr>
              <w:t>ia descrita en esta observación, sin embargo es necesario mejorar el control interno</w:t>
            </w:r>
          </w:p>
        </w:tc>
        <w:tc>
          <w:tcPr>
            <w:tcW w:w="901" w:type="pct"/>
          </w:tcPr>
          <w:p w14:paraId="43449970" w14:textId="15B81EFD" w:rsidR="00091636" w:rsidRPr="00150498" w:rsidRDefault="004C7B0C" w:rsidP="00091636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16"/>
                <w:szCs w:val="16"/>
                <w:shd w:val="clear" w:color="auto" w:fill="F7CAAC" w:themeFill="accent2" w:themeFillTint="6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</w:tbl>
    <w:p w14:paraId="27D31E56" w14:textId="7FF02991" w:rsidR="00111E0F" w:rsidRDefault="00111E0F" w:rsidP="00815C7C">
      <w:pPr>
        <w:tabs>
          <w:tab w:val="left" w:pos="426"/>
        </w:tabs>
        <w:spacing w:line="360" w:lineRule="auto"/>
        <w:jc w:val="both"/>
        <w:rPr>
          <w:rFonts w:ascii="Arial" w:hAnsi="Arial" w:cs="Arial"/>
          <w:szCs w:val="28"/>
        </w:rPr>
      </w:pPr>
    </w:p>
    <w:bookmarkEnd w:id="9"/>
    <w:p w14:paraId="72F7E464" w14:textId="77777777" w:rsidR="00E3221B" w:rsidRDefault="00E3221B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24A28D" w14:textId="2375A2EB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bookmarkStart w:id="10" w:name="_GoBack"/>
      <w:bookmarkEnd w:id="10"/>
      <w:r>
        <w:rPr>
          <w:rFonts w:ascii="Arial" w:hAnsi="Arial" w:cs="Arial"/>
          <w:b/>
        </w:rPr>
        <w:t>I</w:t>
      </w:r>
      <w:r w:rsidR="00CA2651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CA2651">
        <w:rPr>
          <w:rFonts w:ascii="Arial" w:hAnsi="Arial" w:cs="Arial"/>
          <w:b/>
        </w:rPr>
        <w:t>DICTAMEN DEL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815C7C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3AC06E62" w14:textId="47ED207A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CA2651" w:rsidRPr="00862078">
        <w:rPr>
          <w:rFonts w:ascii="Arial" w:hAnsi="Arial" w:cs="Arial"/>
        </w:rPr>
        <w:t>14</w:t>
      </w:r>
      <w:r w:rsidR="00111E0F" w:rsidRPr="00862078">
        <w:rPr>
          <w:rFonts w:ascii="Arial" w:hAnsi="Arial" w:cs="Arial"/>
        </w:rPr>
        <w:t xml:space="preserve"> de octubre de 2020</w:t>
      </w:r>
      <w:r w:rsidRPr="00862078">
        <w:rPr>
          <w:rFonts w:ascii="Arial" w:hAnsi="Arial" w:cs="Arial"/>
        </w:rPr>
        <w:t>, fecha</w:t>
      </w:r>
      <w:r w:rsidRPr="00E024A3">
        <w:rPr>
          <w:rFonts w:ascii="Arial" w:hAnsi="Arial" w:cs="Arial"/>
        </w:rPr>
        <w:t xml:space="preserve">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4B1021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la </w:t>
      </w:r>
      <w:r w:rsidR="004B1021" w:rsidRPr="00335956">
        <w:rPr>
          <w:rFonts w:ascii="Arial" w:hAnsi="Arial" w:cs="Arial"/>
          <w:b/>
          <w:bCs/>
        </w:rPr>
        <w:t>Comisión Ejecutiva de Atención a Víctimas del Estado de Quintana Roo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23E2AF2D" w14:textId="0AE9DF89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4100DE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C917A5" w:rsidRPr="00C917A5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</w:t>
      </w:r>
      <w:r w:rsidR="00C917A5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Al efectuar dicha evaluación del riesgo, el auditor tuvo como fin, diseñar los procedimientos de auditoría que fueron adecuados en función de las circunstancias, y no con la finalidad de expresar una opinión sobre la </w:t>
      </w:r>
      <w:r w:rsidRPr="00E024A3">
        <w:rPr>
          <w:rFonts w:ascii="Arial" w:hAnsi="Arial" w:cs="Arial"/>
        </w:rPr>
        <w:lastRenderedPageBreak/>
        <w:t xml:space="preserve">eficacia del control interno de la entidad fiscalizada. Dichos procedimientos se ejecutaron mediante pruebas selectivas que se estimaron necesarias, </w:t>
      </w:r>
      <w:r w:rsidR="004C6F40" w:rsidRPr="00E024A3">
        <w:rPr>
          <w:rFonts w:ascii="Arial" w:hAnsi="Arial" w:cs="Arial"/>
        </w:rPr>
        <w:t>y,</w:t>
      </w:r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03ABAF1C" w14:textId="77777777" w:rsidR="00910226" w:rsidRPr="00910226" w:rsidRDefault="00910226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1DCC3B4B" w:rsidR="00E024A3" w:rsidRPr="00910226" w:rsidRDefault="00E024A3" w:rsidP="00E024A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E024A3">
        <w:rPr>
          <w:rFonts w:ascii="Arial" w:hAnsi="Arial" w:cs="Arial"/>
        </w:rPr>
        <w:t>Con base en los resultados obtenidos en la auditoría practicada a la</w:t>
      </w:r>
      <w:r w:rsidR="004B1021">
        <w:rPr>
          <w:rFonts w:ascii="Arial" w:hAnsi="Arial" w:cs="Arial"/>
        </w:rPr>
        <w:t xml:space="preserve"> </w:t>
      </w:r>
      <w:r w:rsidR="004B1021" w:rsidRPr="00335956">
        <w:rPr>
          <w:rFonts w:ascii="Arial" w:hAnsi="Arial" w:cs="Arial"/>
          <w:b/>
          <w:bCs/>
        </w:rPr>
        <w:t>Comisión Ejecutiva de Atención a Víctimas del Estado de Quintana Roo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>número</w:t>
      </w:r>
      <w:r w:rsidR="004B1021">
        <w:rPr>
          <w:rFonts w:ascii="Arial" w:hAnsi="Arial" w:cs="Arial"/>
        </w:rPr>
        <w:t xml:space="preserve"> </w:t>
      </w:r>
      <w:r w:rsidR="00F024A4" w:rsidRPr="00F024A4">
        <w:rPr>
          <w:rFonts w:ascii="Arial" w:hAnsi="Arial" w:cs="Arial"/>
          <w:b/>
          <w:szCs w:val="18"/>
        </w:rPr>
        <w:t>19-AEMF-D-GOB-027–058</w:t>
      </w:r>
      <w:r w:rsidR="00F024A4">
        <w:rPr>
          <w:rFonts w:ascii="Arial" w:hAnsi="Arial" w:cs="Arial"/>
        </w:rPr>
        <w:t xml:space="preserve">, denominada </w:t>
      </w:r>
      <w:r w:rsidR="00F024A4" w:rsidRPr="00F024A4">
        <w:rPr>
          <w:rFonts w:ascii="Arial" w:hAnsi="Arial" w:cs="Arial"/>
          <w:bCs/>
        </w:rPr>
        <w:t>“Auditoría de Cumplimiento Financiero de Ingresos y Otros Beneficios; Gastos y Otras Pérdidas”</w:t>
      </w:r>
      <w:r w:rsidRPr="00F024A4">
        <w:rPr>
          <w:rFonts w:ascii="Arial" w:hAnsi="Arial" w:cs="Arial"/>
        </w:rPr>
        <w:t>,</w:t>
      </w:r>
      <w:r w:rsidR="00F024A4">
        <w:rPr>
          <w:rFonts w:ascii="Arial" w:hAnsi="Arial" w:cs="Arial"/>
        </w:rPr>
        <w:t xml:space="preserve"> cuyo objetivo fue </w:t>
      </w:r>
      <w:r w:rsidR="00111E0F">
        <w:rPr>
          <w:rFonts w:ascii="Arial" w:hAnsi="Arial" w:cs="Arial"/>
        </w:rPr>
        <w:t>f</w:t>
      </w:r>
      <w:r w:rsidR="00111E0F" w:rsidRPr="00111E0F">
        <w:rPr>
          <w:rFonts w:ascii="Arial" w:hAnsi="Arial" w:cs="Arial"/>
        </w:rPr>
        <w:t xml:space="preserve">iscalizar la gestión financiera para comprobar el cumplimiento de la dispuesto en la Ley de Ingresos y el Presupuesto de Egresos y demás disposiciones legales aplicables, en cuanto a sus ingresos y gastos públicos, incluyendo la revisión del manejo, custodia y la aplicación de recursos públicos estatales, así como la demás información financiera, contable, patrimonial, presupuestaria y programática, conforme a </w:t>
      </w:r>
      <w:r w:rsidR="00862078">
        <w:rPr>
          <w:rFonts w:ascii="Arial" w:hAnsi="Arial" w:cs="Arial"/>
        </w:rPr>
        <w:t>las disposiciones aplicables para verificar que el</w:t>
      </w:r>
      <w:r w:rsidR="00111E0F" w:rsidRPr="00111E0F">
        <w:rPr>
          <w:rFonts w:ascii="Arial" w:hAnsi="Arial" w:cs="Arial"/>
        </w:rPr>
        <w:t xml:space="preserve"> presupuesto asignado a la </w:t>
      </w:r>
      <w:r w:rsidR="00111E0F" w:rsidRPr="00111E0F">
        <w:rPr>
          <w:rFonts w:ascii="Arial" w:hAnsi="Arial" w:cs="Arial"/>
          <w:b/>
        </w:rPr>
        <w:t>Comisión Ejecutiva de Atención a Vícti</w:t>
      </w:r>
      <w:r w:rsidR="00111E0F">
        <w:rPr>
          <w:rFonts w:ascii="Arial" w:hAnsi="Arial" w:cs="Arial"/>
          <w:b/>
        </w:rPr>
        <w:t>mas del Estado 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</w:t>
      </w:r>
      <w:r w:rsidR="00910226">
        <w:rPr>
          <w:rFonts w:ascii="Arial" w:hAnsi="Arial" w:cs="Arial"/>
        </w:rPr>
        <w:t xml:space="preserve"> </w:t>
      </w:r>
      <w:r w:rsidR="00910226" w:rsidRPr="00335956">
        <w:rPr>
          <w:rFonts w:ascii="Arial" w:hAnsi="Arial" w:cs="Arial"/>
          <w:b/>
          <w:bCs/>
        </w:rPr>
        <w:t>Comisión Ejecutiva de Atención a Víctimas del Estado de Quintana Roo</w:t>
      </w:r>
      <w:r w:rsidR="00910226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="00062FEE">
        <w:rPr>
          <w:rFonts w:ascii="Arial" w:hAnsi="Arial" w:cs="Arial"/>
        </w:rPr>
        <w:t>.</w:t>
      </w:r>
    </w:p>
    <w:p w14:paraId="71165772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651621E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recomendaciones emitidas quedarán formalmente promovidas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</w:t>
      </w:r>
      <w:bookmarkStart w:id="11" w:name="_Hlk22646504"/>
      <w:r w:rsidRPr="00E024A3">
        <w:rPr>
          <w:rFonts w:ascii="Arial" w:hAnsi="Arial" w:cs="Arial"/>
        </w:rPr>
        <w:t xml:space="preserve">a las mejoras realizadas y las acciones </w:t>
      </w:r>
      <w:r w:rsidRPr="00E024A3">
        <w:rPr>
          <w:rFonts w:ascii="Arial" w:hAnsi="Arial" w:cs="Arial"/>
        </w:rPr>
        <w:lastRenderedPageBreak/>
        <w:t>emprendidas</w:t>
      </w:r>
      <w:bookmarkEnd w:id="11"/>
      <w:r w:rsidRPr="00E024A3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14:paraId="1006D778" w14:textId="258A0DC2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C3E85FF" w14:textId="51ABEFB1" w:rsidR="00EA5CD0" w:rsidRDefault="00EA5CD0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C17438C" w14:textId="77777777" w:rsidR="00EA5CD0" w:rsidRPr="00E024A3" w:rsidRDefault="00EA5CD0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4AE17F51" w14:textId="77777777" w:rsidR="00E024A3" w:rsidRPr="00CA2651" w:rsidRDefault="00E024A3" w:rsidP="00E024A3">
      <w:pPr>
        <w:spacing w:line="360" w:lineRule="auto"/>
        <w:ind w:right="190"/>
        <w:jc w:val="center"/>
        <w:rPr>
          <w:rFonts w:ascii="Arial" w:hAnsi="Arial" w:cs="Arial"/>
        </w:rPr>
      </w:pPr>
    </w:p>
    <w:p w14:paraId="2CF0A91F" w14:textId="225C9C19" w:rsidR="00CD66A3" w:rsidRDefault="00CD66A3" w:rsidP="00B93F1F">
      <w:pPr>
        <w:spacing w:line="360" w:lineRule="auto"/>
        <w:ind w:right="190"/>
        <w:jc w:val="center"/>
        <w:rPr>
          <w:rFonts w:ascii="Arial" w:hAnsi="Arial" w:cs="Arial"/>
        </w:rPr>
      </w:pPr>
    </w:p>
    <w:p w14:paraId="55DD3D81" w14:textId="77777777" w:rsidR="00062FEE" w:rsidRPr="00CA2651" w:rsidRDefault="00062FEE" w:rsidP="00B93F1F">
      <w:pPr>
        <w:spacing w:line="360" w:lineRule="auto"/>
        <w:ind w:right="190"/>
        <w:jc w:val="center"/>
        <w:rPr>
          <w:rFonts w:ascii="Arial" w:hAnsi="Arial" w:cs="Arial"/>
        </w:rPr>
      </w:pPr>
    </w:p>
    <w:p w14:paraId="0E7EE21E" w14:textId="51819869" w:rsidR="00022147" w:rsidRDefault="0083108E" w:rsidP="000C3C44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83108E">
        <w:rPr>
          <w:rFonts w:ascii="Arial" w:hAnsi="Arial" w:cs="Arial"/>
          <w:b/>
        </w:rPr>
        <w:t>L.C.C. MANUEL PALACIOS HERRERA</w:t>
      </w:r>
    </w:p>
    <w:sectPr w:rsidR="00022147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3C453" w14:textId="77777777" w:rsidR="00091636" w:rsidRDefault="00091636">
      <w:r>
        <w:separator/>
      </w:r>
    </w:p>
  </w:endnote>
  <w:endnote w:type="continuationSeparator" w:id="0">
    <w:p w14:paraId="3E59E64E" w14:textId="77777777" w:rsidR="00091636" w:rsidRDefault="00091636">
      <w:r>
        <w:continuationSeparator/>
      </w:r>
    </w:p>
  </w:endnote>
  <w:endnote w:type="continuationNotice" w:id="1">
    <w:p w14:paraId="068F547F" w14:textId="77777777" w:rsidR="00091636" w:rsidRDefault="000916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091636" w:rsidRDefault="00091636">
    <w:pPr>
      <w:pStyle w:val="Piedepgina"/>
    </w:pPr>
  </w:p>
  <w:p w14:paraId="48EC363F" w14:textId="77777777" w:rsidR="00091636" w:rsidRDefault="0009163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091636" w:rsidRPr="00D875E2" w14:paraId="4AB64A37" w14:textId="77777777" w:rsidTr="00547C0E">
      <w:trPr>
        <w:trHeight w:val="344"/>
      </w:trPr>
      <w:tc>
        <w:tcPr>
          <w:tcW w:w="5000" w:type="pct"/>
          <w:shd w:val="clear" w:color="auto" w:fill="auto"/>
        </w:tcPr>
        <w:p w14:paraId="478B6BE0" w14:textId="77777777" w:rsidR="00091636" w:rsidRPr="00D875E2" w:rsidRDefault="00091636" w:rsidP="008532E7">
          <w:pPr>
            <w:rPr>
              <w:rStyle w:val="nfasis"/>
              <w:i w:val="0"/>
              <w:iCs w:val="0"/>
            </w:rPr>
          </w:pPr>
        </w:p>
      </w:tc>
    </w:tr>
  </w:tbl>
  <w:p w14:paraId="4E49F1A7" w14:textId="67A6C19A" w:rsidR="00091636" w:rsidRPr="00880D13" w:rsidRDefault="00091636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2B4C26">
      <w:rPr>
        <w:rFonts w:ascii="Arial" w:hAnsi="Arial" w:cs="Arial"/>
        <w:b/>
        <w:bCs/>
        <w:noProof/>
        <w:sz w:val="18"/>
        <w:szCs w:val="18"/>
        <w:lang w:val="es-ES"/>
      </w:rPr>
      <w:t>19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2B4C26">
      <w:rPr>
        <w:rFonts w:ascii="Arial" w:hAnsi="Arial" w:cs="Arial"/>
        <w:b/>
        <w:bCs/>
        <w:noProof/>
        <w:sz w:val="18"/>
        <w:szCs w:val="18"/>
        <w:lang w:val="es-ES"/>
      </w:rPr>
      <w:t>19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D1642" w14:textId="77777777" w:rsidR="00091636" w:rsidRDefault="00091636">
      <w:r>
        <w:separator/>
      </w:r>
    </w:p>
  </w:footnote>
  <w:footnote w:type="continuationSeparator" w:id="0">
    <w:p w14:paraId="15C25D2D" w14:textId="77777777" w:rsidR="00091636" w:rsidRDefault="00091636">
      <w:r>
        <w:continuationSeparator/>
      </w:r>
    </w:p>
  </w:footnote>
  <w:footnote w:type="continuationNotice" w:id="1">
    <w:p w14:paraId="4E853CF3" w14:textId="77777777" w:rsidR="00091636" w:rsidRDefault="000916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86"/>
      <w:gridCol w:w="5540"/>
      <w:gridCol w:w="2062"/>
    </w:tblGrid>
    <w:tr w:rsidR="00091636" w:rsidRPr="006F757C" w14:paraId="1C70C49D" w14:textId="77777777" w:rsidTr="005A50EA">
      <w:tc>
        <w:tcPr>
          <w:tcW w:w="2086" w:type="dxa"/>
          <w:vAlign w:val="center"/>
        </w:tcPr>
        <w:p w14:paraId="0C20FB24" w14:textId="77777777" w:rsidR="00091636" w:rsidRPr="00CF3DF4" w:rsidRDefault="00091636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540" w:type="dxa"/>
          <w:vAlign w:val="center"/>
        </w:tcPr>
        <w:p w14:paraId="684F3A5D" w14:textId="77777777" w:rsidR="00091636" w:rsidRPr="00CF3DF4" w:rsidRDefault="00091636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62" w:type="dxa"/>
          <w:vAlign w:val="center"/>
        </w:tcPr>
        <w:p w14:paraId="427EFB05" w14:textId="0F000385" w:rsidR="00091636" w:rsidRPr="00207E4F" w:rsidRDefault="00091636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091636" w:rsidRPr="003316E8" w14:paraId="49BEFB96" w14:textId="77777777" w:rsidTr="005A50EA">
      <w:tc>
        <w:tcPr>
          <w:tcW w:w="2086" w:type="dxa"/>
          <w:vAlign w:val="center"/>
          <w:hideMark/>
        </w:tcPr>
        <w:p w14:paraId="2D336DB0" w14:textId="0B5ECC88" w:rsidR="00091636" w:rsidRPr="003316E8" w:rsidRDefault="00091636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ED93707" wp14:editId="474B2B99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0" w:type="dxa"/>
          <w:vAlign w:val="center"/>
          <w:hideMark/>
        </w:tcPr>
        <w:p w14:paraId="2903CAB0" w14:textId="77777777" w:rsidR="00091636" w:rsidRDefault="00091636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091636" w:rsidRPr="003316E8" w:rsidRDefault="00091636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62" w:type="dxa"/>
          <w:vAlign w:val="center"/>
          <w:hideMark/>
        </w:tcPr>
        <w:p w14:paraId="7C3649ED" w14:textId="77777777" w:rsidR="00091636" w:rsidRPr="003316E8" w:rsidRDefault="00091636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1636" w:rsidRPr="003316E8" w14:paraId="7D2EED08" w14:textId="77777777" w:rsidTr="005A50EA">
      <w:tc>
        <w:tcPr>
          <w:tcW w:w="2086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091636" w:rsidRPr="003316E8" w:rsidRDefault="00091636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54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091636" w:rsidRPr="003316E8" w:rsidRDefault="00091636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6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091636" w:rsidRPr="003316E8" w:rsidRDefault="00091636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091636" w:rsidRPr="003C2FE7" w:rsidRDefault="00091636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87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5D6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009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2FEE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77F96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36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575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CD2"/>
    <w:rsid w:val="000B0DF3"/>
    <w:rsid w:val="000B1389"/>
    <w:rsid w:val="000B1EA2"/>
    <w:rsid w:val="000B26CC"/>
    <w:rsid w:val="000B26DB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44"/>
    <w:rsid w:val="000C3C71"/>
    <w:rsid w:val="000C3F07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647"/>
    <w:rsid w:val="000E2B05"/>
    <w:rsid w:val="000E3086"/>
    <w:rsid w:val="000E3976"/>
    <w:rsid w:val="000E3AD7"/>
    <w:rsid w:val="000E3B89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E7DD5"/>
    <w:rsid w:val="000E7FC2"/>
    <w:rsid w:val="000F00B9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00B"/>
    <w:rsid w:val="00110226"/>
    <w:rsid w:val="00110278"/>
    <w:rsid w:val="00110332"/>
    <w:rsid w:val="00110CB4"/>
    <w:rsid w:val="001117C8"/>
    <w:rsid w:val="00111E0F"/>
    <w:rsid w:val="0011232C"/>
    <w:rsid w:val="0011234F"/>
    <w:rsid w:val="00112484"/>
    <w:rsid w:val="00112F2E"/>
    <w:rsid w:val="00113839"/>
    <w:rsid w:val="0011490C"/>
    <w:rsid w:val="001150E7"/>
    <w:rsid w:val="00115342"/>
    <w:rsid w:val="0011582C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694"/>
    <w:rsid w:val="001226D2"/>
    <w:rsid w:val="00122B79"/>
    <w:rsid w:val="00122E09"/>
    <w:rsid w:val="00122FFE"/>
    <w:rsid w:val="00123139"/>
    <w:rsid w:val="00123982"/>
    <w:rsid w:val="00123B63"/>
    <w:rsid w:val="00123C00"/>
    <w:rsid w:val="00124106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060"/>
    <w:rsid w:val="00146175"/>
    <w:rsid w:val="00146CBB"/>
    <w:rsid w:val="00147304"/>
    <w:rsid w:val="00147E78"/>
    <w:rsid w:val="00150498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5A"/>
    <w:rsid w:val="00162DF9"/>
    <w:rsid w:val="00163A31"/>
    <w:rsid w:val="00163CCF"/>
    <w:rsid w:val="001641BD"/>
    <w:rsid w:val="0016479A"/>
    <w:rsid w:val="0016498F"/>
    <w:rsid w:val="00165610"/>
    <w:rsid w:val="00165AC1"/>
    <w:rsid w:val="001660F3"/>
    <w:rsid w:val="00166734"/>
    <w:rsid w:val="00166822"/>
    <w:rsid w:val="00166BA9"/>
    <w:rsid w:val="0016763E"/>
    <w:rsid w:val="00167EB9"/>
    <w:rsid w:val="00170002"/>
    <w:rsid w:val="0017051E"/>
    <w:rsid w:val="00170795"/>
    <w:rsid w:val="0017109F"/>
    <w:rsid w:val="00171324"/>
    <w:rsid w:val="00172640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3AEA"/>
    <w:rsid w:val="00184643"/>
    <w:rsid w:val="00184B47"/>
    <w:rsid w:val="0018503C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6BF3"/>
    <w:rsid w:val="00196EF7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8DD"/>
    <w:rsid w:val="001B6975"/>
    <w:rsid w:val="001B6C1B"/>
    <w:rsid w:val="001B7392"/>
    <w:rsid w:val="001B7B8F"/>
    <w:rsid w:val="001B7FC7"/>
    <w:rsid w:val="001C0077"/>
    <w:rsid w:val="001C1C3B"/>
    <w:rsid w:val="001C1ECE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99D"/>
    <w:rsid w:val="001D3CC0"/>
    <w:rsid w:val="001D5685"/>
    <w:rsid w:val="001D57E2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4CA2"/>
    <w:rsid w:val="00245361"/>
    <w:rsid w:val="002458F0"/>
    <w:rsid w:val="002462CB"/>
    <w:rsid w:val="0024665F"/>
    <w:rsid w:val="00246BEB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1FA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1CF"/>
    <w:rsid w:val="0027764F"/>
    <w:rsid w:val="00277ADD"/>
    <w:rsid w:val="00277E06"/>
    <w:rsid w:val="002805F5"/>
    <w:rsid w:val="00281232"/>
    <w:rsid w:val="0028172B"/>
    <w:rsid w:val="002819E4"/>
    <w:rsid w:val="00281C13"/>
    <w:rsid w:val="00282696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13A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97C2A"/>
    <w:rsid w:val="002A1C3D"/>
    <w:rsid w:val="002A2633"/>
    <w:rsid w:val="002A2862"/>
    <w:rsid w:val="002A2AFC"/>
    <w:rsid w:val="002A2B65"/>
    <w:rsid w:val="002A31A0"/>
    <w:rsid w:val="002A34C2"/>
    <w:rsid w:val="002A3546"/>
    <w:rsid w:val="002A41F9"/>
    <w:rsid w:val="002A44D0"/>
    <w:rsid w:val="002A477F"/>
    <w:rsid w:val="002A4783"/>
    <w:rsid w:val="002A496C"/>
    <w:rsid w:val="002A5182"/>
    <w:rsid w:val="002A51D9"/>
    <w:rsid w:val="002A5305"/>
    <w:rsid w:val="002A5C7B"/>
    <w:rsid w:val="002A5CDC"/>
    <w:rsid w:val="002A5FBF"/>
    <w:rsid w:val="002A670F"/>
    <w:rsid w:val="002A7CE2"/>
    <w:rsid w:val="002A7DDA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445"/>
    <w:rsid w:val="002B3A76"/>
    <w:rsid w:val="002B3E1C"/>
    <w:rsid w:val="002B4252"/>
    <w:rsid w:val="002B458A"/>
    <w:rsid w:val="002B4C26"/>
    <w:rsid w:val="002B4CC4"/>
    <w:rsid w:val="002B570C"/>
    <w:rsid w:val="002B5B21"/>
    <w:rsid w:val="002B615B"/>
    <w:rsid w:val="002B63B6"/>
    <w:rsid w:val="002B6B1E"/>
    <w:rsid w:val="002B6C81"/>
    <w:rsid w:val="002B7054"/>
    <w:rsid w:val="002B73FC"/>
    <w:rsid w:val="002B788C"/>
    <w:rsid w:val="002C0EC0"/>
    <w:rsid w:val="002C0ECF"/>
    <w:rsid w:val="002C11F6"/>
    <w:rsid w:val="002C1205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4E1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07FA0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13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DC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359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169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4EE1"/>
    <w:rsid w:val="003454C2"/>
    <w:rsid w:val="00345572"/>
    <w:rsid w:val="00345A15"/>
    <w:rsid w:val="00345C1A"/>
    <w:rsid w:val="00345C55"/>
    <w:rsid w:val="0034639E"/>
    <w:rsid w:val="00346690"/>
    <w:rsid w:val="003466B0"/>
    <w:rsid w:val="003475CE"/>
    <w:rsid w:val="0035031B"/>
    <w:rsid w:val="003506AD"/>
    <w:rsid w:val="003506BE"/>
    <w:rsid w:val="00351DED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11B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0622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6C66"/>
    <w:rsid w:val="00397D55"/>
    <w:rsid w:val="003A07F0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E7A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38AC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8DD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15A"/>
    <w:rsid w:val="004043C5"/>
    <w:rsid w:val="00405378"/>
    <w:rsid w:val="004068C4"/>
    <w:rsid w:val="00406B90"/>
    <w:rsid w:val="00406FF6"/>
    <w:rsid w:val="00407B44"/>
    <w:rsid w:val="00407EA8"/>
    <w:rsid w:val="004100DE"/>
    <w:rsid w:val="00410460"/>
    <w:rsid w:val="00410474"/>
    <w:rsid w:val="00410F76"/>
    <w:rsid w:val="00410F92"/>
    <w:rsid w:val="0041116D"/>
    <w:rsid w:val="00411BDB"/>
    <w:rsid w:val="00411D25"/>
    <w:rsid w:val="00412055"/>
    <w:rsid w:val="004124B4"/>
    <w:rsid w:val="00412D0A"/>
    <w:rsid w:val="00413191"/>
    <w:rsid w:val="004132AD"/>
    <w:rsid w:val="004135C0"/>
    <w:rsid w:val="00413F1B"/>
    <w:rsid w:val="00414BB7"/>
    <w:rsid w:val="00415015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FBF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730"/>
    <w:rsid w:val="00434A8F"/>
    <w:rsid w:val="004350DC"/>
    <w:rsid w:val="004357D8"/>
    <w:rsid w:val="00435AC6"/>
    <w:rsid w:val="00435DDA"/>
    <w:rsid w:val="00436074"/>
    <w:rsid w:val="00437062"/>
    <w:rsid w:val="0043735C"/>
    <w:rsid w:val="004375E6"/>
    <w:rsid w:val="00437E6D"/>
    <w:rsid w:val="004400FC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A04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68B"/>
    <w:rsid w:val="00473923"/>
    <w:rsid w:val="00473B1A"/>
    <w:rsid w:val="00474122"/>
    <w:rsid w:val="0047460F"/>
    <w:rsid w:val="00474A85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0F0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1DA"/>
    <w:rsid w:val="004A4AB2"/>
    <w:rsid w:val="004A4C1A"/>
    <w:rsid w:val="004A50CA"/>
    <w:rsid w:val="004A53E0"/>
    <w:rsid w:val="004A5DFC"/>
    <w:rsid w:val="004A67A9"/>
    <w:rsid w:val="004A6C15"/>
    <w:rsid w:val="004A6C3B"/>
    <w:rsid w:val="004A7B5F"/>
    <w:rsid w:val="004B03B6"/>
    <w:rsid w:val="004B1021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0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6F40"/>
    <w:rsid w:val="004C781B"/>
    <w:rsid w:val="004C7837"/>
    <w:rsid w:val="004C7B0C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1DC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17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C98"/>
    <w:rsid w:val="00534206"/>
    <w:rsid w:val="00535391"/>
    <w:rsid w:val="00535E07"/>
    <w:rsid w:val="00536763"/>
    <w:rsid w:val="005376DF"/>
    <w:rsid w:val="005377EE"/>
    <w:rsid w:val="00537E62"/>
    <w:rsid w:val="00540143"/>
    <w:rsid w:val="00540194"/>
    <w:rsid w:val="00540459"/>
    <w:rsid w:val="00540F42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47C0E"/>
    <w:rsid w:val="0055001B"/>
    <w:rsid w:val="00550264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1EC8"/>
    <w:rsid w:val="005727B2"/>
    <w:rsid w:val="00572B42"/>
    <w:rsid w:val="00572B51"/>
    <w:rsid w:val="0057359E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1FA"/>
    <w:rsid w:val="005862A6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0EA"/>
    <w:rsid w:val="005A58CC"/>
    <w:rsid w:val="005A603D"/>
    <w:rsid w:val="005A60BF"/>
    <w:rsid w:val="005A6A37"/>
    <w:rsid w:val="005A70EE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91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264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4A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748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227"/>
    <w:rsid w:val="006467BA"/>
    <w:rsid w:val="00646B51"/>
    <w:rsid w:val="00646D2C"/>
    <w:rsid w:val="00646E5B"/>
    <w:rsid w:val="006471A3"/>
    <w:rsid w:val="006473EC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6C83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2DC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3F7"/>
    <w:rsid w:val="006A6A32"/>
    <w:rsid w:val="006A7197"/>
    <w:rsid w:val="006A71C1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0CA"/>
    <w:rsid w:val="006B52CB"/>
    <w:rsid w:val="006B5546"/>
    <w:rsid w:val="006B5612"/>
    <w:rsid w:val="006B5B1E"/>
    <w:rsid w:val="006B5F7F"/>
    <w:rsid w:val="006B7552"/>
    <w:rsid w:val="006B7779"/>
    <w:rsid w:val="006B7E0B"/>
    <w:rsid w:val="006B7E37"/>
    <w:rsid w:val="006C0470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0702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1C4A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589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32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47F2A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3FE"/>
    <w:rsid w:val="007566C3"/>
    <w:rsid w:val="007566FD"/>
    <w:rsid w:val="00756D1D"/>
    <w:rsid w:val="0075771F"/>
    <w:rsid w:val="0075779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A88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8D2"/>
    <w:rsid w:val="007D0A34"/>
    <w:rsid w:val="007D13C9"/>
    <w:rsid w:val="007D1E61"/>
    <w:rsid w:val="007D2266"/>
    <w:rsid w:val="007D2768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ABE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6C4"/>
    <w:rsid w:val="008027E7"/>
    <w:rsid w:val="0080283E"/>
    <w:rsid w:val="00802D6B"/>
    <w:rsid w:val="00803091"/>
    <w:rsid w:val="00804981"/>
    <w:rsid w:val="00806026"/>
    <w:rsid w:val="008069D9"/>
    <w:rsid w:val="00806A0E"/>
    <w:rsid w:val="00807947"/>
    <w:rsid w:val="008079CF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C7C"/>
    <w:rsid w:val="00815EE1"/>
    <w:rsid w:val="00816266"/>
    <w:rsid w:val="008165A3"/>
    <w:rsid w:val="00816851"/>
    <w:rsid w:val="00817221"/>
    <w:rsid w:val="00817237"/>
    <w:rsid w:val="00817841"/>
    <w:rsid w:val="00817EEC"/>
    <w:rsid w:val="008201BE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08E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2E55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078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CF7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B7C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CB1"/>
    <w:rsid w:val="008C1581"/>
    <w:rsid w:val="008C1775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15B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3E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D2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0226"/>
    <w:rsid w:val="00911146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CB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5D54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3CE8"/>
    <w:rsid w:val="009946EF"/>
    <w:rsid w:val="00994728"/>
    <w:rsid w:val="0099529E"/>
    <w:rsid w:val="009960BE"/>
    <w:rsid w:val="009961AD"/>
    <w:rsid w:val="00996A1B"/>
    <w:rsid w:val="00996D9A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B06"/>
    <w:rsid w:val="009A3E0B"/>
    <w:rsid w:val="009A4078"/>
    <w:rsid w:val="009A491E"/>
    <w:rsid w:val="009A4E4E"/>
    <w:rsid w:val="009A511E"/>
    <w:rsid w:val="009A527B"/>
    <w:rsid w:val="009A6EF0"/>
    <w:rsid w:val="009A7077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21E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4D9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889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CC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BB7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3939"/>
    <w:rsid w:val="00A341CD"/>
    <w:rsid w:val="00A34B62"/>
    <w:rsid w:val="00A34C6D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57C40"/>
    <w:rsid w:val="00A602B5"/>
    <w:rsid w:val="00A6172B"/>
    <w:rsid w:val="00A6175A"/>
    <w:rsid w:val="00A617E8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8ED"/>
    <w:rsid w:val="00A65A46"/>
    <w:rsid w:val="00A65D4B"/>
    <w:rsid w:val="00A66456"/>
    <w:rsid w:val="00A66BC8"/>
    <w:rsid w:val="00A67A32"/>
    <w:rsid w:val="00A67FE8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0F59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74F"/>
    <w:rsid w:val="00A94CD5"/>
    <w:rsid w:val="00A94E5D"/>
    <w:rsid w:val="00A94F27"/>
    <w:rsid w:val="00A95788"/>
    <w:rsid w:val="00A9598B"/>
    <w:rsid w:val="00A95C66"/>
    <w:rsid w:val="00A95E22"/>
    <w:rsid w:val="00A95F07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AB5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756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91C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07E91"/>
    <w:rsid w:val="00B1041F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30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D5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76B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2E60"/>
    <w:rsid w:val="00B531D7"/>
    <w:rsid w:val="00B53623"/>
    <w:rsid w:val="00B5368B"/>
    <w:rsid w:val="00B53DA1"/>
    <w:rsid w:val="00B53E12"/>
    <w:rsid w:val="00B54259"/>
    <w:rsid w:val="00B5429D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6C36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076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5E09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A7C74"/>
    <w:rsid w:val="00BB0758"/>
    <w:rsid w:val="00BB0B3E"/>
    <w:rsid w:val="00BB0C47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97F"/>
    <w:rsid w:val="00BD6F1A"/>
    <w:rsid w:val="00BD708F"/>
    <w:rsid w:val="00BD74AF"/>
    <w:rsid w:val="00BE167A"/>
    <w:rsid w:val="00BE1A2F"/>
    <w:rsid w:val="00BE1BC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9DB"/>
    <w:rsid w:val="00C0209F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6E41"/>
    <w:rsid w:val="00C171D7"/>
    <w:rsid w:val="00C17472"/>
    <w:rsid w:val="00C21300"/>
    <w:rsid w:val="00C217A5"/>
    <w:rsid w:val="00C21CC7"/>
    <w:rsid w:val="00C21D08"/>
    <w:rsid w:val="00C228FE"/>
    <w:rsid w:val="00C22B8C"/>
    <w:rsid w:val="00C22E20"/>
    <w:rsid w:val="00C23350"/>
    <w:rsid w:val="00C23452"/>
    <w:rsid w:val="00C235DC"/>
    <w:rsid w:val="00C2366F"/>
    <w:rsid w:val="00C23D88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B3A"/>
    <w:rsid w:val="00C30ECD"/>
    <w:rsid w:val="00C30F7A"/>
    <w:rsid w:val="00C323A9"/>
    <w:rsid w:val="00C335B8"/>
    <w:rsid w:val="00C33D35"/>
    <w:rsid w:val="00C3451A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1E"/>
    <w:rsid w:val="00C37CDD"/>
    <w:rsid w:val="00C405E0"/>
    <w:rsid w:val="00C40FFE"/>
    <w:rsid w:val="00C412FC"/>
    <w:rsid w:val="00C4132A"/>
    <w:rsid w:val="00C41A2D"/>
    <w:rsid w:val="00C422FE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59E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7A5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4D7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514"/>
    <w:rsid w:val="00CA1E60"/>
    <w:rsid w:val="00CA1F20"/>
    <w:rsid w:val="00CA2651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43A"/>
    <w:rsid w:val="00CB25F2"/>
    <w:rsid w:val="00CB2CC3"/>
    <w:rsid w:val="00CB2E09"/>
    <w:rsid w:val="00CB308E"/>
    <w:rsid w:val="00CB316B"/>
    <w:rsid w:val="00CB31A9"/>
    <w:rsid w:val="00CB3788"/>
    <w:rsid w:val="00CB3BA3"/>
    <w:rsid w:val="00CB41B4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24D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0D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FC6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1C3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47FF2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A67"/>
    <w:rsid w:val="00D52C1B"/>
    <w:rsid w:val="00D5303E"/>
    <w:rsid w:val="00D53BB5"/>
    <w:rsid w:val="00D540BE"/>
    <w:rsid w:val="00D547D0"/>
    <w:rsid w:val="00D54BA8"/>
    <w:rsid w:val="00D56103"/>
    <w:rsid w:val="00D56135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6AA3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6CCD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2DD5"/>
    <w:rsid w:val="00DA3919"/>
    <w:rsid w:val="00DA447A"/>
    <w:rsid w:val="00DA4974"/>
    <w:rsid w:val="00DA5E3F"/>
    <w:rsid w:val="00DA5F29"/>
    <w:rsid w:val="00DA619A"/>
    <w:rsid w:val="00DA61B5"/>
    <w:rsid w:val="00DA6222"/>
    <w:rsid w:val="00DA6308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06C8"/>
    <w:rsid w:val="00DB1895"/>
    <w:rsid w:val="00DB1B93"/>
    <w:rsid w:val="00DB2271"/>
    <w:rsid w:val="00DB2A0D"/>
    <w:rsid w:val="00DB2A1A"/>
    <w:rsid w:val="00DB35AA"/>
    <w:rsid w:val="00DB35F7"/>
    <w:rsid w:val="00DB3803"/>
    <w:rsid w:val="00DB3BA7"/>
    <w:rsid w:val="00DB3C0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B7ED2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7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2B1"/>
    <w:rsid w:val="00DE752D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5FC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4F88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46F4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27D91"/>
    <w:rsid w:val="00E303A1"/>
    <w:rsid w:val="00E308CE"/>
    <w:rsid w:val="00E3221B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37E1B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77B"/>
    <w:rsid w:val="00E96F69"/>
    <w:rsid w:val="00E9706B"/>
    <w:rsid w:val="00E973ED"/>
    <w:rsid w:val="00E9781A"/>
    <w:rsid w:val="00EA0654"/>
    <w:rsid w:val="00EA0BF7"/>
    <w:rsid w:val="00EA103F"/>
    <w:rsid w:val="00EA1E67"/>
    <w:rsid w:val="00EA227C"/>
    <w:rsid w:val="00EA2E65"/>
    <w:rsid w:val="00EA35A2"/>
    <w:rsid w:val="00EA3D42"/>
    <w:rsid w:val="00EA41C8"/>
    <w:rsid w:val="00EA471A"/>
    <w:rsid w:val="00EA4819"/>
    <w:rsid w:val="00EA4A87"/>
    <w:rsid w:val="00EA5B11"/>
    <w:rsid w:val="00EA5CD0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315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962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A32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4A4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8F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1E15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B0D"/>
    <w:rsid w:val="00F47DAD"/>
    <w:rsid w:val="00F506BA"/>
    <w:rsid w:val="00F50719"/>
    <w:rsid w:val="00F50F09"/>
    <w:rsid w:val="00F51AE8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0F7"/>
    <w:rsid w:val="00F57890"/>
    <w:rsid w:val="00F60012"/>
    <w:rsid w:val="00F60AD9"/>
    <w:rsid w:val="00F60C47"/>
    <w:rsid w:val="00F61162"/>
    <w:rsid w:val="00F61D19"/>
    <w:rsid w:val="00F6281B"/>
    <w:rsid w:val="00F62843"/>
    <w:rsid w:val="00F62DDE"/>
    <w:rsid w:val="00F630A7"/>
    <w:rsid w:val="00F63175"/>
    <w:rsid w:val="00F64331"/>
    <w:rsid w:val="00F64487"/>
    <w:rsid w:val="00F644C7"/>
    <w:rsid w:val="00F653B0"/>
    <w:rsid w:val="00F65AB1"/>
    <w:rsid w:val="00F65B93"/>
    <w:rsid w:val="00F660D7"/>
    <w:rsid w:val="00F66100"/>
    <w:rsid w:val="00F66741"/>
    <w:rsid w:val="00F667D2"/>
    <w:rsid w:val="00F67E65"/>
    <w:rsid w:val="00F70137"/>
    <w:rsid w:val="00F7222B"/>
    <w:rsid w:val="00F7255A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74C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9C4"/>
    <w:rsid w:val="00F91E58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632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1DB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7EB"/>
    <w:rsid w:val="00FB47F3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51A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2A6A-DB36-4AD8-AA49-5FBAF8BD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19</Pages>
  <Words>4225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Manuel J. Brito Rosado</cp:lastModifiedBy>
  <cp:revision>21</cp:revision>
  <cp:lastPrinted>2020-10-27T00:45:00Z</cp:lastPrinted>
  <dcterms:created xsi:type="dcterms:W3CDTF">2020-10-24T20:42:00Z</dcterms:created>
  <dcterms:modified xsi:type="dcterms:W3CDTF">2020-11-30T23:31:00Z</dcterms:modified>
</cp:coreProperties>
</file>