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B487E" w:rsidRPr="00403D69" w14:paraId="74149087" w14:textId="77777777" w:rsidTr="00475F49">
        <w:trPr>
          <w:trHeight w:val="414"/>
        </w:trPr>
        <w:tc>
          <w:tcPr>
            <w:tcW w:w="4439" w:type="pct"/>
            <w:vMerge w:val="restart"/>
            <w:shd w:val="clear" w:color="auto" w:fill="auto"/>
            <w:hideMark/>
          </w:tcPr>
          <w:p w14:paraId="65CCCF5A" w14:textId="77777777" w:rsidR="007B487E" w:rsidRPr="00403D69" w:rsidRDefault="007B487E" w:rsidP="00475F49">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D3BA421" w14:textId="77777777" w:rsidR="007B487E" w:rsidRPr="00403D69" w:rsidRDefault="007B487E" w:rsidP="00475F49">
            <w:pPr>
              <w:spacing w:line="360" w:lineRule="auto"/>
              <w:ind w:left="-51"/>
              <w:jc w:val="center"/>
              <w:rPr>
                <w:rFonts w:ascii="Arial" w:hAnsi="Arial" w:cs="Arial"/>
                <w:b/>
              </w:rPr>
            </w:pPr>
            <w:r w:rsidRPr="00403D69">
              <w:rPr>
                <w:rFonts w:ascii="Arial" w:hAnsi="Arial" w:cs="Arial"/>
                <w:b/>
              </w:rPr>
              <w:t>PÁGINA</w:t>
            </w:r>
          </w:p>
        </w:tc>
      </w:tr>
      <w:tr w:rsidR="007B487E" w:rsidRPr="00403D69" w14:paraId="3F39A84D" w14:textId="77777777" w:rsidTr="00475F49">
        <w:trPr>
          <w:trHeight w:val="414"/>
        </w:trPr>
        <w:tc>
          <w:tcPr>
            <w:tcW w:w="4439" w:type="pct"/>
            <w:vMerge/>
            <w:shd w:val="clear" w:color="auto" w:fill="auto"/>
            <w:hideMark/>
          </w:tcPr>
          <w:p w14:paraId="53F985B3" w14:textId="77777777" w:rsidR="007B487E" w:rsidRPr="00403D69" w:rsidRDefault="007B487E" w:rsidP="00475F49">
            <w:pPr>
              <w:spacing w:line="360" w:lineRule="auto"/>
              <w:rPr>
                <w:rFonts w:ascii="Arial" w:hAnsi="Arial" w:cs="Arial"/>
                <w:b/>
                <w:bCs/>
              </w:rPr>
            </w:pPr>
          </w:p>
        </w:tc>
        <w:tc>
          <w:tcPr>
            <w:tcW w:w="561" w:type="pct"/>
            <w:vMerge/>
            <w:shd w:val="clear" w:color="auto" w:fill="auto"/>
            <w:hideMark/>
          </w:tcPr>
          <w:p w14:paraId="268B0B35" w14:textId="77777777" w:rsidR="007B487E" w:rsidRPr="00403D69" w:rsidRDefault="007B487E" w:rsidP="00475F49">
            <w:pPr>
              <w:spacing w:line="360" w:lineRule="auto"/>
              <w:jc w:val="center"/>
              <w:rPr>
                <w:rFonts w:ascii="Arial" w:hAnsi="Arial" w:cs="Arial"/>
                <w:b/>
              </w:rPr>
            </w:pPr>
          </w:p>
        </w:tc>
      </w:tr>
      <w:tr w:rsidR="007B487E" w:rsidRPr="00403D69" w14:paraId="607688DF" w14:textId="77777777" w:rsidTr="00475F49">
        <w:trPr>
          <w:trHeight w:val="414"/>
        </w:trPr>
        <w:tc>
          <w:tcPr>
            <w:tcW w:w="4439" w:type="pct"/>
            <w:vMerge w:val="restart"/>
            <w:shd w:val="clear" w:color="auto" w:fill="auto"/>
            <w:hideMark/>
          </w:tcPr>
          <w:p w14:paraId="21FA66B8" w14:textId="77777777" w:rsidR="007B487E" w:rsidRDefault="007B487E" w:rsidP="00475F49">
            <w:pPr>
              <w:spacing w:line="360" w:lineRule="auto"/>
              <w:rPr>
                <w:rFonts w:ascii="Arial" w:hAnsi="Arial" w:cs="Arial"/>
                <w:b/>
                <w:bCs/>
              </w:rPr>
            </w:pPr>
            <w:r w:rsidRPr="00C84572">
              <w:rPr>
                <w:rFonts w:ascii="Arial" w:hAnsi="Arial" w:cs="Arial"/>
                <w:b/>
                <w:bCs/>
              </w:rPr>
              <w:t>INTRODUCCIÓN</w:t>
            </w:r>
          </w:p>
          <w:p w14:paraId="1E436508" w14:textId="77777777" w:rsidR="007B487E" w:rsidRPr="00C84572" w:rsidRDefault="007B487E" w:rsidP="00475F49">
            <w:pPr>
              <w:spacing w:line="360" w:lineRule="auto"/>
              <w:rPr>
                <w:rFonts w:ascii="Arial" w:hAnsi="Arial" w:cs="Arial"/>
                <w:b/>
                <w:bCs/>
              </w:rPr>
            </w:pPr>
          </w:p>
        </w:tc>
        <w:tc>
          <w:tcPr>
            <w:tcW w:w="561" w:type="pct"/>
            <w:vMerge w:val="restart"/>
            <w:shd w:val="clear" w:color="auto" w:fill="auto"/>
            <w:hideMark/>
          </w:tcPr>
          <w:p w14:paraId="1A87A2A0" w14:textId="77777777" w:rsidR="007B487E" w:rsidRPr="00403D69" w:rsidRDefault="007B487E" w:rsidP="00475F49">
            <w:pPr>
              <w:spacing w:line="360" w:lineRule="auto"/>
              <w:jc w:val="center"/>
              <w:rPr>
                <w:rFonts w:ascii="Arial" w:hAnsi="Arial" w:cs="Arial"/>
                <w:b/>
              </w:rPr>
            </w:pPr>
            <w:r>
              <w:rPr>
                <w:rFonts w:ascii="Arial" w:hAnsi="Arial" w:cs="Arial"/>
                <w:b/>
              </w:rPr>
              <w:t>2</w:t>
            </w:r>
          </w:p>
        </w:tc>
      </w:tr>
      <w:tr w:rsidR="007B487E" w:rsidRPr="00403D69" w14:paraId="066D850F" w14:textId="77777777" w:rsidTr="00475F49">
        <w:trPr>
          <w:trHeight w:val="414"/>
        </w:trPr>
        <w:tc>
          <w:tcPr>
            <w:tcW w:w="4439" w:type="pct"/>
            <w:vMerge/>
            <w:shd w:val="clear" w:color="auto" w:fill="auto"/>
            <w:hideMark/>
          </w:tcPr>
          <w:p w14:paraId="3E6DCE6B" w14:textId="77777777" w:rsidR="007B487E" w:rsidRPr="00403D69" w:rsidRDefault="007B487E" w:rsidP="00475F49">
            <w:pPr>
              <w:spacing w:line="360" w:lineRule="auto"/>
              <w:rPr>
                <w:rFonts w:ascii="Arial" w:hAnsi="Arial" w:cs="Arial"/>
                <w:b/>
                <w:bCs/>
              </w:rPr>
            </w:pPr>
          </w:p>
        </w:tc>
        <w:tc>
          <w:tcPr>
            <w:tcW w:w="561" w:type="pct"/>
            <w:vMerge/>
            <w:shd w:val="clear" w:color="auto" w:fill="auto"/>
            <w:hideMark/>
          </w:tcPr>
          <w:p w14:paraId="1594BEEF" w14:textId="77777777" w:rsidR="007B487E" w:rsidRPr="00403D69" w:rsidRDefault="007B487E" w:rsidP="00475F49">
            <w:pPr>
              <w:spacing w:line="360" w:lineRule="auto"/>
              <w:jc w:val="center"/>
              <w:rPr>
                <w:rFonts w:ascii="Arial" w:hAnsi="Arial" w:cs="Arial"/>
                <w:b/>
              </w:rPr>
            </w:pPr>
          </w:p>
        </w:tc>
      </w:tr>
      <w:tr w:rsidR="007B487E" w:rsidRPr="00403D69" w14:paraId="3CF628E9" w14:textId="77777777" w:rsidTr="00475F49">
        <w:trPr>
          <w:trHeight w:val="414"/>
        </w:trPr>
        <w:tc>
          <w:tcPr>
            <w:tcW w:w="4439" w:type="pct"/>
            <w:vMerge w:val="restart"/>
            <w:shd w:val="clear" w:color="auto" w:fill="auto"/>
            <w:hideMark/>
          </w:tcPr>
          <w:p w14:paraId="329646B3" w14:textId="77777777" w:rsidR="007B487E" w:rsidRPr="00403D69" w:rsidRDefault="007B487E" w:rsidP="00475F49">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4A2307FC" w14:textId="4BFFFBBE" w:rsidR="007B487E" w:rsidRPr="00403D69" w:rsidRDefault="007B487E" w:rsidP="00D86B42">
            <w:pPr>
              <w:tabs>
                <w:tab w:val="left" w:pos="380"/>
                <w:tab w:val="center" w:pos="455"/>
              </w:tabs>
              <w:spacing w:line="360" w:lineRule="auto"/>
              <w:rPr>
                <w:rFonts w:ascii="Arial" w:hAnsi="Arial" w:cs="Arial"/>
                <w:b/>
              </w:rPr>
            </w:pPr>
            <w:r>
              <w:rPr>
                <w:rFonts w:ascii="Arial" w:hAnsi="Arial" w:cs="Arial"/>
                <w:b/>
              </w:rPr>
              <w:tab/>
            </w:r>
            <w:r w:rsidR="00D86B42">
              <w:rPr>
                <w:rFonts w:ascii="Arial" w:hAnsi="Arial" w:cs="Arial"/>
                <w:b/>
              </w:rPr>
              <w:t>4</w:t>
            </w:r>
          </w:p>
        </w:tc>
      </w:tr>
      <w:tr w:rsidR="007B487E" w:rsidRPr="00403D69" w14:paraId="5B388EF4" w14:textId="77777777" w:rsidTr="00475F49">
        <w:trPr>
          <w:trHeight w:val="414"/>
        </w:trPr>
        <w:tc>
          <w:tcPr>
            <w:tcW w:w="4439" w:type="pct"/>
            <w:vMerge/>
            <w:shd w:val="clear" w:color="auto" w:fill="auto"/>
            <w:hideMark/>
          </w:tcPr>
          <w:p w14:paraId="4A8C4EBB" w14:textId="77777777" w:rsidR="007B487E" w:rsidRPr="00403D69" w:rsidRDefault="007B487E" w:rsidP="00475F49">
            <w:pPr>
              <w:spacing w:line="360" w:lineRule="auto"/>
              <w:rPr>
                <w:rFonts w:ascii="Arial" w:hAnsi="Arial" w:cs="Arial"/>
                <w:b/>
                <w:bCs/>
              </w:rPr>
            </w:pPr>
          </w:p>
        </w:tc>
        <w:tc>
          <w:tcPr>
            <w:tcW w:w="561" w:type="pct"/>
            <w:vMerge/>
            <w:shd w:val="clear" w:color="auto" w:fill="auto"/>
            <w:hideMark/>
          </w:tcPr>
          <w:p w14:paraId="03B53ED8" w14:textId="77777777" w:rsidR="007B487E" w:rsidRPr="00403D69" w:rsidRDefault="007B487E" w:rsidP="00475F49">
            <w:pPr>
              <w:spacing w:line="360" w:lineRule="auto"/>
              <w:jc w:val="center"/>
              <w:rPr>
                <w:rFonts w:ascii="Arial" w:hAnsi="Arial" w:cs="Arial"/>
                <w:b/>
              </w:rPr>
            </w:pPr>
          </w:p>
        </w:tc>
      </w:tr>
      <w:tr w:rsidR="007B487E" w:rsidRPr="00403D69" w14:paraId="6A85C4FD" w14:textId="77777777" w:rsidTr="00475F49">
        <w:trPr>
          <w:trHeight w:val="414"/>
        </w:trPr>
        <w:tc>
          <w:tcPr>
            <w:tcW w:w="4439" w:type="pct"/>
            <w:vMerge w:val="restart"/>
            <w:shd w:val="clear" w:color="auto" w:fill="auto"/>
            <w:hideMark/>
          </w:tcPr>
          <w:p w14:paraId="23D1001B" w14:textId="77777777" w:rsidR="007B487E" w:rsidRDefault="007B487E" w:rsidP="007B487E">
            <w:pPr>
              <w:pStyle w:val="Prrafodelista"/>
              <w:numPr>
                <w:ilvl w:val="0"/>
                <w:numId w:val="23"/>
              </w:numPr>
              <w:spacing w:line="360" w:lineRule="auto"/>
              <w:ind w:left="291" w:hanging="284"/>
              <w:rPr>
                <w:rFonts w:ascii="Arial" w:hAnsi="Arial" w:cs="Arial"/>
                <w:b/>
                <w:bCs/>
              </w:rPr>
            </w:pPr>
            <w:r w:rsidRPr="008A221D">
              <w:rPr>
                <w:rFonts w:ascii="Arial" w:hAnsi="Arial" w:cs="Arial"/>
                <w:b/>
                <w:bCs/>
              </w:rPr>
              <w:t>INFORME INDIVIDUAL DE AUDITORÍA RELATIVO A INGRESOS Y EGRESOS</w:t>
            </w:r>
          </w:p>
          <w:p w14:paraId="23FDE101" w14:textId="77777777" w:rsidR="007B487E" w:rsidRPr="00BE2F9E" w:rsidRDefault="007B487E" w:rsidP="00475F49">
            <w:pPr>
              <w:pStyle w:val="Prrafodelista"/>
              <w:spacing w:line="360" w:lineRule="auto"/>
              <w:ind w:left="291"/>
              <w:rPr>
                <w:rFonts w:ascii="Arial" w:hAnsi="Arial" w:cs="Arial"/>
                <w:b/>
                <w:bCs/>
                <w:sz w:val="6"/>
                <w:szCs w:val="6"/>
              </w:rPr>
            </w:pPr>
          </w:p>
        </w:tc>
        <w:tc>
          <w:tcPr>
            <w:tcW w:w="561" w:type="pct"/>
            <w:vMerge w:val="restart"/>
            <w:shd w:val="clear" w:color="auto" w:fill="auto"/>
            <w:hideMark/>
          </w:tcPr>
          <w:p w14:paraId="5DADAAFE" w14:textId="77777777" w:rsidR="007B487E" w:rsidRPr="00403D69" w:rsidRDefault="007B487E" w:rsidP="00475F49">
            <w:pPr>
              <w:spacing w:line="360" w:lineRule="auto"/>
              <w:jc w:val="center"/>
              <w:rPr>
                <w:rFonts w:ascii="Arial" w:hAnsi="Arial" w:cs="Arial"/>
                <w:b/>
              </w:rPr>
            </w:pPr>
            <w:bookmarkStart w:id="0" w:name="_GoBack"/>
            <w:bookmarkEnd w:id="0"/>
          </w:p>
        </w:tc>
      </w:tr>
      <w:tr w:rsidR="007B487E" w:rsidRPr="00403D69" w14:paraId="581F437C" w14:textId="77777777" w:rsidTr="00475F49">
        <w:trPr>
          <w:trHeight w:val="414"/>
        </w:trPr>
        <w:tc>
          <w:tcPr>
            <w:tcW w:w="4439" w:type="pct"/>
            <w:vMerge/>
            <w:shd w:val="clear" w:color="auto" w:fill="auto"/>
            <w:hideMark/>
          </w:tcPr>
          <w:p w14:paraId="28E2FB46" w14:textId="77777777" w:rsidR="007B487E" w:rsidRPr="00403D69" w:rsidRDefault="007B487E" w:rsidP="00475F49">
            <w:pPr>
              <w:spacing w:line="360" w:lineRule="auto"/>
              <w:rPr>
                <w:rFonts w:ascii="Arial" w:hAnsi="Arial" w:cs="Arial"/>
                <w:b/>
                <w:bCs/>
              </w:rPr>
            </w:pPr>
          </w:p>
        </w:tc>
        <w:tc>
          <w:tcPr>
            <w:tcW w:w="561" w:type="pct"/>
            <w:vMerge/>
            <w:shd w:val="clear" w:color="auto" w:fill="auto"/>
            <w:hideMark/>
          </w:tcPr>
          <w:p w14:paraId="26CE6C58" w14:textId="77777777" w:rsidR="007B487E" w:rsidRPr="00403D69" w:rsidRDefault="007B487E" w:rsidP="00475F49">
            <w:pPr>
              <w:spacing w:line="360" w:lineRule="auto"/>
              <w:jc w:val="center"/>
              <w:rPr>
                <w:rFonts w:ascii="Arial" w:hAnsi="Arial" w:cs="Arial"/>
                <w:b/>
              </w:rPr>
            </w:pPr>
          </w:p>
        </w:tc>
      </w:tr>
      <w:tr w:rsidR="007B487E" w:rsidRPr="00403D69" w14:paraId="54B29A5B" w14:textId="77777777" w:rsidTr="00475F49">
        <w:trPr>
          <w:trHeight w:val="20"/>
        </w:trPr>
        <w:tc>
          <w:tcPr>
            <w:tcW w:w="4439" w:type="pct"/>
            <w:shd w:val="clear" w:color="auto" w:fill="auto"/>
            <w:hideMark/>
          </w:tcPr>
          <w:p w14:paraId="426CCBE1" w14:textId="77777777" w:rsidR="007B487E" w:rsidRPr="00403D69" w:rsidRDefault="007B487E" w:rsidP="00475F49">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62D65CCA" w14:textId="676E5774" w:rsidR="007B487E" w:rsidRPr="00403D69" w:rsidRDefault="00F91254" w:rsidP="00475F49">
            <w:pPr>
              <w:spacing w:line="360" w:lineRule="auto"/>
              <w:jc w:val="center"/>
              <w:rPr>
                <w:rFonts w:ascii="Arial" w:hAnsi="Arial" w:cs="Arial"/>
                <w:b/>
              </w:rPr>
            </w:pPr>
            <w:r>
              <w:rPr>
                <w:rFonts w:ascii="Arial" w:hAnsi="Arial" w:cs="Arial"/>
                <w:b/>
              </w:rPr>
              <w:t>5</w:t>
            </w:r>
          </w:p>
        </w:tc>
      </w:tr>
      <w:tr w:rsidR="007B487E" w:rsidRPr="00403D69" w14:paraId="00A0C4AD" w14:textId="77777777" w:rsidTr="00475F49">
        <w:trPr>
          <w:trHeight w:val="20"/>
        </w:trPr>
        <w:tc>
          <w:tcPr>
            <w:tcW w:w="4439" w:type="pct"/>
            <w:shd w:val="clear" w:color="auto" w:fill="auto"/>
          </w:tcPr>
          <w:p w14:paraId="62D88141" w14:textId="77777777" w:rsidR="007B487E" w:rsidRPr="00403D69" w:rsidRDefault="007B487E" w:rsidP="00475F49">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26E37F8B" w14:textId="77777777" w:rsidR="007B487E" w:rsidRPr="00403D69" w:rsidRDefault="007B487E" w:rsidP="00475F49">
            <w:pPr>
              <w:spacing w:line="360" w:lineRule="auto"/>
              <w:jc w:val="center"/>
              <w:rPr>
                <w:rFonts w:ascii="Arial" w:hAnsi="Arial" w:cs="Arial"/>
                <w:b/>
              </w:rPr>
            </w:pPr>
            <w:r>
              <w:rPr>
                <w:rFonts w:ascii="Arial" w:hAnsi="Arial" w:cs="Arial"/>
                <w:b/>
              </w:rPr>
              <w:t>5</w:t>
            </w:r>
          </w:p>
        </w:tc>
      </w:tr>
      <w:tr w:rsidR="007B487E" w:rsidRPr="00403D69" w14:paraId="615D9B83" w14:textId="77777777" w:rsidTr="00475F49">
        <w:trPr>
          <w:trHeight w:val="20"/>
        </w:trPr>
        <w:tc>
          <w:tcPr>
            <w:tcW w:w="4439" w:type="pct"/>
            <w:shd w:val="clear" w:color="auto" w:fill="auto"/>
          </w:tcPr>
          <w:p w14:paraId="32A5D7C5" w14:textId="77777777" w:rsidR="007B487E" w:rsidRPr="00403D69" w:rsidRDefault="007B487E" w:rsidP="00475F49">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1F537FE1" w14:textId="16A3F9AB" w:rsidR="007B487E" w:rsidRPr="00403D69" w:rsidRDefault="004F3666" w:rsidP="00475F49">
            <w:pPr>
              <w:spacing w:line="360" w:lineRule="auto"/>
              <w:jc w:val="center"/>
              <w:rPr>
                <w:rFonts w:ascii="Arial" w:hAnsi="Arial" w:cs="Arial"/>
                <w:b/>
              </w:rPr>
            </w:pPr>
            <w:r>
              <w:rPr>
                <w:rFonts w:ascii="Arial" w:hAnsi="Arial" w:cs="Arial"/>
                <w:b/>
              </w:rPr>
              <w:t>6</w:t>
            </w:r>
          </w:p>
        </w:tc>
      </w:tr>
      <w:tr w:rsidR="007B487E" w:rsidRPr="00403D69" w14:paraId="28D926BB" w14:textId="77777777" w:rsidTr="00475F49">
        <w:trPr>
          <w:trHeight w:val="20"/>
        </w:trPr>
        <w:tc>
          <w:tcPr>
            <w:tcW w:w="4439" w:type="pct"/>
            <w:shd w:val="clear" w:color="auto" w:fill="auto"/>
          </w:tcPr>
          <w:p w14:paraId="5F23DEB2" w14:textId="77777777" w:rsidR="007B487E" w:rsidRPr="00403D69" w:rsidRDefault="007B487E" w:rsidP="00475F49">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7E233C9C" w14:textId="6A396940" w:rsidR="007B487E" w:rsidRPr="00403D69" w:rsidRDefault="00D86B42" w:rsidP="00475F49">
            <w:pPr>
              <w:spacing w:line="360" w:lineRule="auto"/>
              <w:jc w:val="center"/>
              <w:rPr>
                <w:rFonts w:ascii="Arial" w:hAnsi="Arial" w:cs="Arial"/>
                <w:b/>
              </w:rPr>
            </w:pPr>
            <w:r>
              <w:rPr>
                <w:rFonts w:ascii="Arial" w:hAnsi="Arial" w:cs="Arial"/>
                <w:b/>
              </w:rPr>
              <w:t>6</w:t>
            </w:r>
          </w:p>
        </w:tc>
      </w:tr>
      <w:tr w:rsidR="007B487E" w:rsidRPr="00403D69" w14:paraId="29EED53E" w14:textId="77777777" w:rsidTr="00475F49">
        <w:trPr>
          <w:trHeight w:val="20"/>
        </w:trPr>
        <w:tc>
          <w:tcPr>
            <w:tcW w:w="4439" w:type="pct"/>
            <w:shd w:val="clear" w:color="auto" w:fill="auto"/>
          </w:tcPr>
          <w:p w14:paraId="2DAFA9BA" w14:textId="77777777" w:rsidR="007B487E" w:rsidRPr="00945D64" w:rsidRDefault="007B487E" w:rsidP="00475F49">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470F1D96" w14:textId="52FE4774" w:rsidR="007B487E" w:rsidRPr="00403D69" w:rsidRDefault="004F3666" w:rsidP="00475F49">
            <w:pPr>
              <w:spacing w:line="360" w:lineRule="auto"/>
              <w:jc w:val="center"/>
              <w:rPr>
                <w:rFonts w:ascii="Arial" w:hAnsi="Arial" w:cs="Arial"/>
                <w:b/>
              </w:rPr>
            </w:pPr>
            <w:r>
              <w:rPr>
                <w:rFonts w:ascii="Arial" w:hAnsi="Arial" w:cs="Arial"/>
                <w:b/>
              </w:rPr>
              <w:t>7</w:t>
            </w:r>
          </w:p>
        </w:tc>
      </w:tr>
      <w:tr w:rsidR="007B487E" w:rsidRPr="00403D69" w14:paraId="499F205C" w14:textId="77777777" w:rsidTr="00475F49">
        <w:trPr>
          <w:trHeight w:val="20"/>
        </w:trPr>
        <w:tc>
          <w:tcPr>
            <w:tcW w:w="4439" w:type="pct"/>
            <w:shd w:val="clear" w:color="auto" w:fill="auto"/>
          </w:tcPr>
          <w:p w14:paraId="4A776585" w14:textId="77777777" w:rsidR="007B487E" w:rsidRPr="00403D69" w:rsidRDefault="007B487E" w:rsidP="00475F49">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617E696B" w14:textId="2DFE4948" w:rsidR="007B487E" w:rsidRPr="00403D69" w:rsidRDefault="004F3666" w:rsidP="00475F49">
            <w:pPr>
              <w:spacing w:line="360" w:lineRule="auto"/>
              <w:jc w:val="center"/>
              <w:rPr>
                <w:rFonts w:ascii="Arial" w:hAnsi="Arial" w:cs="Arial"/>
                <w:b/>
              </w:rPr>
            </w:pPr>
            <w:r>
              <w:rPr>
                <w:rFonts w:ascii="Arial" w:hAnsi="Arial" w:cs="Arial"/>
                <w:b/>
              </w:rPr>
              <w:t>8</w:t>
            </w:r>
          </w:p>
        </w:tc>
      </w:tr>
      <w:tr w:rsidR="007B487E" w:rsidRPr="00403D69" w14:paraId="2463A504" w14:textId="77777777" w:rsidTr="00475F49">
        <w:trPr>
          <w:trHeight w:val="20"/>
        </w:trPr>
        <w:tc>
          <w:tcPr>
            <w:tcW w:w="4439" w:type="pct"/>
            <w:shd w:val="clear" w:color="auto" w:fill="auto"/>
          </w:tcPr>
          <w:p w14:paraId="78A9583D" w14:textId="77777777" w:rsidR="007B487E" w:rsidRPr="00403D69" w:rsidRDefault="007B487E" w:rsidP="00475F49">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3AB0ECE" w14:textId="725B338C" w:rsidR="007B487E" w:rsidRPr="00403D69" w:rsidRDefault="00D86B42" w:rsidP="00475F49">
            <w:pPr>
              <w:spacing w:line="360" w:lineRule="auto"/>
              <w:jc w:val="center"/>
              <w:rPr>
                <w:rFonts w:ascii="Arial" w:hAnsi="Arial" w:cs="Arial"/>
                <w:b/>
              </w:rPr>
            </w:pPr>
            <w:r>
              <w:rPr>
                <w:rFonts w:ascii="Arial" w:hAnsi="Arial" w:cs="Arial"/>
                <w:b/>
              </w:rPr>
              <w:t>9</w:t>
            </w:r>
          </w:p>
        </w:tc>
      </w:tr>
      <w:tr w:rsidR="007B487E" w:rsidRPr="00403D69" w14:paraId="50703C3E" w14:textId="77777777" w:rsidTr="00475F49">
        <w:trPr>
          <w:trHeight w:val="20"/>
        </w:trPr>
        <w:tc>
          <w:tcPr>
            <w:tcW w:w="4439" w:type="pct"/>
            <w:shd w:val="clear" w:color="auto" w:fill="auto"/>
          </w:tcPr>
          <w:p w14:paraId="1DBE5C6D" w14:textId="7AA35070" w:rsidR="007B487E" w:rsidRDefault="007B487E" w:rsidP="00475F49">
            <w:pPr>
              <w:spacing w:after="180" w:line="360" w:lineRule="auto"/>
              <w:ind w:left="708"/>
              <w:rPr>
                <w:rFonts w:ascii="Arial" w:hAnsi="Arial" w:cs="Arial"/>
                <w:b/>
                <w:bCs/>
              </w:rPr>
            </w:pPr>
            <w:r>
              <w:rPr>
                <w:rFonts w:ascii="Arial" w:hAnsi="Arial" w:cs="Arial"/>
                <w:b/>
                <w:bCs/>
              </w:rPr>
              <w:t>G</w:t>
            </w:r>
            <w:r w:rsidR="00DE3BA5">
              <w:rPr>
                <w:rFonts w:ascii="Arial" w:hAnsi="Arial" w:cs="Arial"/>
                <w:b/>
                <w:bCs/>
              </w:rPr>
              <w:t>.</w:t>
            </w:r>
            <w:r w:rsidR="00DE3BA5">
              <w:t xml:space="preserve"> </w:t>
            </w:r>
            <w:r w:rsidR="00DE3BA5" w:rsidRPr="00DE3BA5">
              <w:rPr>
                <w:rFonts w:ascii="Arial" w:hAnsi="Arial" w:cs="Arial"/>
                <w:b/>
                <w:bCs/>
              </w:rPr>
              <w:t>Servidores Públicos que intervinieron en la Auditoría</w:t>
            </w:r>
          </w:p>
        </w:tc>
        <w:tc>
          <w:tcPr>
            <w:tcW w:w="561" w:type="pct"/>
            <w:shd w:val="clear" w:color="auto" w:fill="auto"/>
          </w:tcPr>
          <w:p w14:paraId="2AEC9080" w14:textId="5BAC9672" w:rsidR="007B487E" w:rsidRDefault="004F3666" w:rsidP="00EF5DB9">
            <w:pPr>
              <w:spacing w:line="360" w:lineRule="auto"/>
              <w:jc w:val="center"/>
              <w:rPr>
                <w:rFonts w:ascii="Arial" w:hAnsi="Arial" w:cs="Arial"/>
                <w:b/>
              </w:rPr>
            </w:pPr>
            <w:r>
              <w:rPr>
                <w:rFonts w:ascii="Arial" w:hAnsi="Arial" w:cs="Arial"/>
                <w:b/>
              </w:rPr>
              <w:t>11</w:t>
            </w:r>
          </w:p>
        </w:tc>
      </w:tr>
      <w:tr w:rsidR="007B487E" w:rsidRPr="00403D69" w14:paraId="3C4E716A" w14:textId="77777777" w:rsidTr="00475F49">
        <w:trPr>
          <w:trHeight w:val="20"/>
        </w:trPr>
        <w:tc>
          <w:tcPr>
            <w:tcW w:w="4439" w:type="pct"/>
            <w:shd w:val="clear" w:color="auto" w:fill="auto"/>
          </w:tcPr>
          <w:p w14:paraId="7CC3E3C5" w14:textId="77777777" w:rsidR="007B487E" w:rsidRPr="001B3167" w:rsidRDefault="007B487E" w:rsidP="00475F49">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02060730" w14:textId="26EB170B" w:rsidR="007B487E" w:rsidRPr="00403D69" w:rsidRDefault="007B487E" w:rsidP="006A0287">
            <w:pPr>
              <w:spacing w:line="360" w:lineRule="auto"/>
              <w:jc w:val="center"/>
              <w:rPr>
                <w:rFonts w:ascii="Arial" w:hAnsi="Arial" w:cs="Arial"/>
                <w:b/>
              </w:rPr>
            </w:pPr>
            <w:r>
              <w:rPr>
                <w:rFonts w:ascii="Arial" w:hAnsi="Arial" w:cs="Arial"/>
                <w:b/>
              </w:rPr>
              <w:t>1</w:t>
            </w:r>
            <w:r w:rsidR="004F3666">
              <w:rPr>
                <w:rFonts w:ascii="Arial" w:hAnsi="Arial" w:cs="Arial"/>
                <w:b/>
              </w:rPr>
              <w:t>1</w:t>
            </w:r>
          </w:p>
        </w:tc>
      </w:tr>
      <w:tr w:rsidR="007B487E" w:rsidRPr="00403D69" w14:paraId="466AF786" w14:textId="77777777" w:rsidTr="00475F49">
        <w:trPr>
          <w:trHeight w:val="20"/>
        </w:trPr>
        <w:tc>
          <w:tcPr>
            <w:tcW w:w="4439" w:type="pct"/>
            <w:shd w:val="clear" w:color="auto" w:fill="auto"/>
          </w:tcPr>
          <w:p w14:paraId="2861B319" w14:textId="77777777" w:rsidR="007B487E" w:rsidRPr="00403D69" w:rsidRDefault="007B487E" w:rsidP="00475F49">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7208A6B" w14:textId="2832B669" w:rsidR="007B487E" w:rsidRPr="00403D69" w:rsidRDefault="007B487E" w:rsidP="006A0287">
            <w:pPr>
              <w:spacing w:line="360" w:lineRule="auto"/>
              <w:jc w:val="center"/>
              <w:rPr>
                <w:rFonts w:ascii="Arial" w:hAnsi="Arial" w:cs="Arial"/>
                <w:b/>
              </w:rPr>
            </w:pPr>
            <w:r>
              <w:rPr>
                <w:rFonts w:ascii="Arial" w:hAnsi="Arial" w:cs="Arial"/>
                <w:b/>
              </w:rPr>
              <w:t>1</w:t>
            </w:r>
            <w:r w:rsidR="004F3666">
              <w:rPr>
                <w:rFonts w:ascii="Arial" w:hAnsi="Arial" w:cs="Arial"/>
                <w:b/>
              </w:rPr>
              <w:t>1</w:t>
            </w:r>
          </w:p>
        </w:tc>
      </w:tr>
      <w:tr w:rsidR="007B487E" w:rsidRPr="00403D69" w14:paraId="777D5F77" w14:textId="77777777" w:rsidTr="00475F49">
        <w:trPr>
          <w:trHeight w:val="20"/>
        </w:trPr>
        <w:tc>
          <w:tcPr>
            <w:tcW w:w="4439" w:type="pct"/>
            <w:shd w:val="clear" w:color="auto" w:fill="auto"/>
            <w:hideMark/>
          </w:tcPr>
          <w:p w14:paraId="10A6A28E" w14:textId="77777777" w:rsidR="007B487E" w:rsidRPr="00403D69" w:rsidRDefault="007B487E" w:rsidP="00475F49">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3B6D104" w14:textId="55E9B138" w:rsidR="007B487E" w:rsidRPr="00403D69" w:rsidRDefault="007B487E" w:rsidP="00EF5DB9">
            <w:pPr>
              <w:spacing w:line="360" w:lineRule="auto"/>
              <w:jc w:val="center"/>
              <w:rPr>
                <w:rFonts w:ascii="Arial" w:hAnsi="Arial" w:cs="Arial"/>
                <w:b/>
              </w:rPr>
            </w:pPr>
            <w:r>
              <w:rPr>
                <w:rFonts w:ascii="Arial" w:hAnsi="Arial" w:cs="Arial"/>
                <w:b/>
              </w:rPr>
              <w:t>1</w:t>
            </w:r>
            <w:r w:rsidR="00EF5DB9">
              <w:rPr>
                <w:rFonts w:ascii="Arial" w:hAnsi="Arial" w:cs="Arial"/>
                <w:b/>
              </w:rPr>
              <w:t>2</w:t>
            </w:r>
          </w:p>
        </w:tc>
      </w:tr>
      <w:tr w:rsidR="007B487E" w:rsidRPr="00403D69" w14:paraId="5C6722B4" w14:textId="77777777" w:rsidTr="00475F49">
        <w:trPr>
          <w:trHeight w:val="20"/>
        </w:trPr>
        <w:tc>
          <w:tcPr>
            <w:tcW w:w="4439" w:type="pct"/>
            <w:shd w:val="clear" w:color="auto" w:fill="auto"/>
          </w:tcPr>
          <w:p w14:paraId="1FC45058" w14:textId="77777777" w:rsidR="007B487E" w:rsidRPr="00A47051" w:rsidRDefault="007B487E" w:rsidP="007B487E">
            <w:pPr>
              <w:pStyle w:val="Prrafodelista"/>
              <w:numPr>
                <w:ilvl w:val="0"/>
                <w:numId w:val="24"/>
              </w:numPr>
              <w:spacing w:after="180" w:line="360" w:lineRule="auto"/>
              <w:rPr>
                <w:rFonts w:ascii="Arial" w:hAnsi="Arial" w:cs="Arial"/>
                <w:b/>
                <w:bCs/>
              </w:rPr>
            </w:pPr>
            <w:r w:rsidRPr="00A47051">
              <w:rPr>
                <w:rFonts w:ascii="Arial" w:hAnsi="Arial" w:cs="Arial"/>
                <w:b/>
                <w:bCs/>
              </w:rPr>
              <w:t>Resumen de Resultados Finales de Auditoría y Observaciones Determinadas en Materia Financiera</w:t>
            </w:r>
          </w:p>
        </w:tc>
        <w:tc>
          <w:tcPr>
            <w:tcW w:w="561" w:type="pct"/>
            <w:shd w:val="clear" w:color="auto" w:fill="auto"/>
          </w:tcPr>
          <w:p w14:paraId="494AFA0A" w14:textId="48D14268" w:rsidR="007B487E" w:rsidRDefault="007B487E" w:rsidP="004F3666">
            <w:pPr>
              <w:spacing w:line="360" w:lineRule="auto"/>
              <w:jc w:val="center"/>
              <w:rPr>
                <w:rFonts w:ascii="Arial" w:hAnsi="Arial" w:cs="Arial"/>
                <w:b/>
              </w:rPr>
            </w:pPr>
            <w:r>
              <w:rPr>
                <w:rFonts w:ascii="Arial" w:hAnsi="Arial" w:cs="Arial"/>
                <w:b/>
              </w:rPr>
              <w:t>1</w:t>
            </w:r>
            <w:r w:rsidR="004F3666">
              <w:rPr>
                <w:rFonts w:ascii="Arial" w:hAnsi="Arial" w:cs="Arial"/>
                <w:b/>
              </w:rPr>
              <w:t>2</w:t>
            </w:r>
          </w:p>
        </w:tc>
      </w:tr>
      <w:tr w:rsidR="007B487E" w:rsidRPr="00403D69" w14:paraId="3D01F53E" w14:textId="77777777" w:rsidTr="00475F49">
        <w:trPr>
          <w:trHeight w:val="20"/>
        </w:trPr>
        <w:tc>
          <w:tcPr>
            <w:tcW w:w="4439" w:type="pct"/>
            <w:shd w:val="clear" w:color="auto" w:fill="auto"/>
          </w:tcPr>
          <w:p w14:paraId="7BAB41C2" w14:textId="77777777" w:rsidR="007B487E" w:rsidRPr="00D03638" w:rsidRDefault="007B487E" w:rsidP="00475F49">
            <w:pPr>
              <w:spacing w:after="180" w:line="360" w:lineRule="auto"/>
              <w:jc w:val="both"/>
              <w:rPr>
                <w:rFonts w:ascii="Arial" w:hAnsi="Arial" w:cs="Arial"/>
                <w:b/>
                <w:bCs/>
              </w:rPr>
            </w:pPr>
            <w:r>
              <w:rPr>
                <w:rFonts w:ascii="Arial" w:hAnsi="Arial" w:cs="Arial"/>
                <w:b/>
                <w:bCs/>
              </w:rPr>
              <w:t>II</w:t>
            </w:r>
            <w:r w:rsidRPr="00D03638">
              <w:rPr>
                <w:rFonts w:ascii="Arial" w:hAnsi="Arial" w:cs="Arial"/>
                <w:b/>
                <w:bCs/>
              </w:rPr>
              <w:t>. DICTAMEN DEL INFORME INDIVIDUAL DE AUDITORÍA</w:t>
            </w:r>
            <w:r w:rsidRPr="00D03638">
              <w:rPr>
                <w:rFonts w:ascii="Arial" w:hAnsi="Arial" w:cs="Arial"/>
                <w:b/>
                <w:bCs/>
              </w:rPr>
              <w:tab/>
            </w:r>
          </w:p>
        </w:tc>
        <w:tc>
          <w:tcPr>
            <w:tcW w:w="561" w:type="pct"/>
            <w:shd w:val="clear" w:color="auto" w:fill="auto"/>
          </w:tcPr>
          <w:p w14:paraId="74069EAB" w14:textId="79164016" w:rsidR="007B487E" w:rsidRPr="00403D69" w:rsidRDefault="006A0287" w:rsidP="00D86B42">
            <w:pPr>
              <w:spacing w:line="360" w:lineRule="auto"/>
              <w:jc w:val="center"/>
              <w:rPr>
                <w:rFonts w:ascii="Arial" w:hAnsi="Arial" w:cs="Arial"/>
                <w:b/>
              </w:rPr>
            </w:pPr>
            <w:r>
              <w:rPr>
                <w:rFonts w:ascii="Arial" w:hAnsi="Arial" w:cs="Arial"/>
                <w:b/>
              </w:rPr>
              <w:t>1</w:t>
            </w:r>
            <w:r w:rsidR="006C4AA9">
              <w:rPr>
                <w:rFonts w:ascii="Arial" w:hAnsi="Arial" w:cs="Arial"/>
                <w:b/>
              </w:rPr>
              <w:t>4</w:t>
            </w:r>
          </w:p>
        </w:tc>
      </w:tr>
    </w:tbl>
    <w:p w14:paraId="654322E6" w14:textId="3CA6D540" w:rsidR="00813133" w:rsidRPr="001906E4" w:rsidRDefault="00871430" w:rsidP="001906E4">
      <w:pPr>
        <w:tabs>
          <w:tab w:val="left" w:pos="9072"/>
        </w:tabs>
        <w:spacing w:line="360" w:lineRule="auto"/>
        <w:ind w:right="49"/>
        <w:contextualSpacing/>
        <w:jc w:val="both"/>
        <w:rPr>
          <w:rFonts w:ascii="Arial" w:hAnsi="Arial" w:cs="Arial"/>
          <w:b/>
          <w:bCs/>
        </w:rPr>
      </w:pPr>
      <w:r w:rsidRPr="001906E4">
        <w:rPr>
          <w:rFonts w:ascii="Arial" w:hAnsi="Arial" w:cs="Arial"/>
          <w:b/>
          <w:bCs/>
        </w:rPr>
        <w:lastRenderedPageBreak/>
        <w:t>INTRODUCCIÓN</w:t>
      </w:r>
    </w:p>
    <w:p w14:paraId="00AA3213" w14:textId="77777777" w:rsidR="00813133" w:rsidRPr="001906E4" w:rsidRDefault="00813133" w:rsidP="001906E4">
      <w:pPr>
        <w:tabs>
          <w:tab w:val="left" w:pos="9072"/>
        </w:tabs>
        <w:spacing w:line="360" w:lineRule="auto"/>
        <w:ind w:right="49"/>
        <w:contextualSpacing/>
        <w:jc w:val="both"/>
        <w:rPr>
          <w:rFonts w:ascii="Arial" w:hAnsi="Arial" w:cs="Arial"/>
          <w:b/>
          <w:bCs/>
          <w:sz w:val="28"/>
        </w:rPr>
      </w:pPr>
    </w:p>
    <w:p w14:paraId="3A16B0A3" w14:textId="3C72E5C4" w:rsidR="00B838E0" w:rsidRPr="001906E4" w:rsidRDefault="00B838E0" w:rsidP="001906E4">
      <w:pPr>
        <w:spacing w:line="360" w:lineRule="auto"/>
        <w:ind w:right="190"/>
        <w:contextualSpacing/>
        <w:jc w:val="both"/>
        <w:rPr>
          <w:rFonts w:ascii="Arial" w:hAnsi="Arial" w:cs="Arial"/>
        </w:rPr>
      </w:pPr>
      <w:r w:rsidRPr="001906E4">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el Gobierno del Estado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6326FABF" w14:textId="77777777" w:rsidR="00813133" w:rsidRPr="001906E4" w:rsidRDefault="00813133" w:rsidP="001906E4">
      <w:pPr>
        <w:spacing w:line="360" w:lineRule="auto"/>
        <w:ind w:right="190"/>
        <w:jc w:val="both"/>
        <w:rPr>
          <w:rFonts w:ascii="Arial" w:hAnsi="Arial" w:cs="Arial"/>
          <w:sz w:val="28"/>
        </w:rPr>
      </w:pPr>
    </w:p>
    <w:p w14:paraId="2A73F650" w14:textId="2F0F1733" w:rsidR="00B838E0" w:rsidRPr="001906E4" w:rsidRDefault="00B838E0" w:rsidP="001906E4">
      <w:pPr>
        <w:pStyle w:val="Textoindependiente"/>
        <w:spacing w:line="360" w:lineRule="auto"/>
        <w:ind w:right="190"/>
        <w:rPr>
          <w:rFonts w:ascii="Arial" w:hAnsi="Arial" w:cs="Arial"/>
        </w:rPr>
      </w:pPr>
      <w:r w:rsidRPr="001906E4">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17086A45" w14:textId="77777777" w:rsidR="00813133" w:rsidRPr="001906E4" w:rsidRDefault="00813133" w:rsidP="001906E4">
      <w:pPr>
        <w:pStyle w:val="Textoindependiente"/>
        <w:spacing w:line="360" w:lineRule="auto"/>
        <w:ind w:right="190"/>
        <w:rPr>
          <w:rFonts w:ascii="Arial" w:hAnsi="Arial" w:cs="Arial"/>
          <w:sz w:val="28"/>
        </w:rPr>
      </w:pPr>
    </w:p>
    <w:p w14:paraId="288B9853" w14:textId="41FDE0C5" w:rsidR="00813133" w:rsidRPr="001906E4" w:rsidRDefault="00871430" w:rsidP="001906E4">
      <w:pPr>
        <w:tabs>
          <w:tab w:val="left" w:pos="9072"/>
        </w:tabs>
        <w:spacing w:line="360" w:lineRule="auto"/>
        <w:ind w:right="51"/>
        <w:contextualSpacing/>
        <w:jc w:val="both"/>
        <w:rPr>
          <w:rFonts w:ascii="Arial" w:hAnsi="Arial" w:cs="Arial"/>
          <w:bCs/>
        </w:rPr>
      </w:pPr>
      <w:r w:rsidRPr="001906E4">
        <w:rPr>
          <w:rFonts w:ascii="Arial" w:hAnsi="Arial" w:cs="Arial"/>
          <w:bCs/>
        </w:rPr>
        <w:t>La formulación, revisión y aprobación de la Cuenta Pública de</w:t>
      </w:r>
      <w:r w:rsidR="007B487E" w:rsidRPr="001906E4">
        <w:rPr>
          <w:rFonts w:ascii="Arial" w:hAnsi="Arial" w:cs="Arial"/>
          <w:bCs/>
        </w:rPr>
        <w:t>l fideicomiso</w:t>
      </w:r>
      <w:r w:rsidRPr="001906E4">
        <w:rPr>
          <w:rFonts w:ascii="Arial" w:hAnsi="Arial" w:cs="Arial"/>
          <w:bCs/>
        </w:rPr>
        <w:t xml:space="preserve"> </w:t>
      </w:r>
      <w:r w:rsidR="007B487E" w:rsidRPr="001906E4">
        <w:rPr>
          <w:rFonts w:ascii="Arial" w:hAnsi="Arial" w:cs="Arial"/>
          <w:b/>
          <w:bCs/>
        </w:rPr>
        <w:t>Fondo de Garantía Líquida o Fuente Alterna de Pago del Estado de Quintana Roo</w:t>
      </w:r>
      <w:r w:rsidRPr="001906E4">
        <w:rPr>
          <w:rFonts w:ascii="Arial" w:hAnsi="Arial" w:cs="Arial"/>
        </w:rPr>
        <w:t>,</w:t>
      </w:r>
      <w:r w:rsidRPr="001906E4">
        <w:rPr>
          <w:rFonts w:ascii="Arial" w:hAnsi="Arial" w:cs="Arial"/>
          <w:bCs/>
        </w:rPr>
        <w:t xml:space="preserve"> comprende la realización de actividades en las que participa la Legislatura del Estado, las cuales comprenden:</w:t>
      </w:r>
    </w:p>
    <w:p w14:paraId="43A4C1F4" w14:textId="77777777" w:rsidR="00813133" w:rsidRPr="001906E4" w:rsidRDefault="00813133" w:rsidP="001906E4">
      <w:pPr>
        <w:tabs>
          <w:tab w:val="left" w:pos="9072"/>
        </w:tabs>
        <w:spacing w:line="360" w:lineRule="auto"/>
        <w:ind w:right="51"/>
        <w:contextualSpacing/>
        <w:jc w:val="both"/>
        <w:rPr>
          <w:rFonts w:ascii="Arial" w:hAnsi="Arial" w:cs="Arial"/>
          <w:b/>
          <w:sz w:val="28"/>
        </w:rPr>
      </w:pPr>
    </w:p>
    <w:p w14:paraId="08FCBF80" w14:textId="68EA2B5D" w:rsidR="00871430" w:rsidRPr="001906E4" w:rsidRDefault="00871430" w:rsidP="001906E4">
      <w:pPr>
        <w:tabs>
          <w:tab w:val="left" w:pos="9072"/>
        </w:tabs>
        <w:spacing w:line="360" w:lineRule="auto"/>
        <w:ind w:right="51"/>
        <w:contextualSpacing/>
        <w:jc w:val="both"/>
        <w:rPr>
          <w:rFonts w:ascii="Arial" w:hAnsi="Arial" w:cs="Arial"/>
          <w:bCs/>
        </w:rPr>
      </w:pPr>
      <w:r w:rsidRPr="001906E4">
        <w:rPr>
          <w:rFonts w:ascii="Arial" w:hAnsi="Arial" w:cs="Arial"/>
          <w:b/>
          <w:bCs/>
        </w:rPr>
        <w:t>A.- El Proceso Administrativo;</w:t>
      </w:r>
      <w:r w:rsidRPr="001906E4">
        <w:rPr>
          <w:rFonts w:ascii="Arial" w:hAnsi="Arial" w:cs="Arial"/>
          <w:bCs/>
        </w:rPr>
        <w:t xml:space="preserve"> que es desarrollado fundamentalmente por </w:t>
      </w:r>
      <w:r w:rsidR="007B487E" w:rsidRPr="001906E4">
        <w:rPr>
          <w:rFonts w:ascii="Arial" w:hAnsi="Arial" w:cs="Arial"/>
          <w:bCs/>
        </w:rPr>
        <w:t xml:space="preserve">el fideicomiso </w:t>
      </w:r>
      <w:r w:rsidR="007B487E" w:rsidRPr="001906E4">
        <w:rPr>
          <w:rFonts w:ascii="Arial" w:hAnsi="Arial" w:cs="Arial"/>
          <w:b/>
          <w:bCs/>
        </w:rPr>
        <w:t>Fondo de Garantía Líquida o Fuente Alterna de Pago del Estado de Quintana Roo</w:t>
      </w:r>
      <w:r w:rsidRPr="001906E4">
        <w:rPr>
          <w:rFonts w:ascii="Arial" w:hAnsi="Arial" w:cs="Arial"/>
          <w:bCs/>
        </w:rPr>
        <w:t>, en la integración de la Cuenta Pública, la cual comprende los resultados de las labores administrativas realizadas en el ejercicio fiscal 2019, así como las principales políticas financieras, económicas y sociales que influyeron en el r</w:t>
      </w:r>
      <w:r w:rsidR="003C4C36" w:rsidRPr="001906E4">
        <w:rPr>
          <w:rFonts w:ascii="Arial" w:hAnsi="Arial" w:cs="Arial"/>
          <w:bCs/>
        </w:rPr>
        <w:t>esultado de los ingresos obtenidos</w:t>
      </w:r>
      <w:r w:rsidRPr="001906E4">
        <w:rPr>
          <w:rFonts w:ascii="Arial" w:hAnsi="Arial" w:cs="Arial"/>
          <w:bCs/>
        </w:rPr>
        <w:t xml:space="preserve"> y los gastos efectuados por la entidad fiscalizada. </w:t>
      </w:r>
    </w:p>
    <w:p w14:paraId="7A8E7E80" w14:textId="77777777" w:rsidR="00813133" w:rsidRPr="001906E4" w:rsidRDefault="00813133" w:rsidP="001906E4">
      <w:pPr>
        <w:tabs>
          <w:tab w:val="left" w:pos="9072"/>
        </w:tabs>
        <w:spacing w:line="360" w:lineRule="auto"/>
        <w:ind w:right="49"/>
        <w:jc w:val="both"/>
        <w:rPr>
          <w:rFonts w:ascii="Arial" w:hAnsi="Arial" w:cs="Arial"/>
          <w:bCs/>
          <w:sz w:val="28"/>
        </w:rPr>
      </w:pPr>
    </w:p>
    <w:p w14:paraId="5A29166A" w14:textId="09107044" w:rsidR="00871430" w:rsidRPr="001906E4" w:rsidRDefault="00871430" w:rsidP="001906E4">
      <w:pPr>
        <w:tabs>
          <w:tab w:val="left" w:pos="9072"/>
        </w:tabs>
        <w:spacing w:line="360" w:lineRule="auto"/>
        <w:ind w:right="51"/>
        <w:contextualSpacing/>
        <w:jc w:val="both"/>
        <w:rPr>
          <w:rFonts w:ascii="Arial" w:hAnsi="Arial" w:cs="Arial"/>
          <w:b/>
          <w:bCs/>
        </w:rPr>
      </w:pPr>
      <w:r w:rsidRPr="001906E4">
        <w:rPr>
          <w:rFonts w:ascii="Arial" w:hAnsi="Arial" w:cs="Arial"/>
          <w:b/>
          <w:bCs/>
        </w:rPr>
        <w:lastRenderedPageBreak/>
        <w:t xml:space="preserve">B.- El Proceso de Vigilancia; </w:t>
      </w:r>
      <w:r w:rsidRPr="001906E4">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w:t>
      </w:r>
      <w:bookmarkStart w:id="1" w:name="_Hlk11355006"/>
      <w:r w:rsidRPr="001906E4">
        <w:rPr>
          <w:rFonts w:ascii="Arial" w:hAnsi="Arial" w:cs="Arial"/>
          <w:bCs/>
        </w:rPr>
        <w:t>disposiciones legales y normativas aplicables</w:t>
      </w:r>
      <w:bookmarkEnd w:id="1"/>
      <w:r w:rsidRPr="001906E4">
        <w:rPr>
          <w:rFonts w:ascii="Arial" w:hAnsi="Arial" w:cs="Arial"/>
          <w:bCs/>
        </w:rPr>
        <w:t>, en cuanto a los ingresos y gastos públicos, y todo lo relacionado con la actividad financiera-administrativa de</w:t>
      </w:r>
      <w:r w:rsidR="007B487E" w:rsidRPr="001906E4">
        <w:rPr>
          <w:rFonts w:ascii="Arial" w:hAnsi="Arial" w:cs="Arial"/>
          <w:bCs/>
        </w:rPr>
        <w:t>l fideicomiso</w:t>
      </w:r>
      <w:r w:rsidRPr="001906E4">
        <w:rPr>
          <w:rFonts w:ascii="Arial" w:hAnsi="Arial" w:cs="Arial"/>
          <w:bCs/>
        </w:rPr>
        <w:t xml:space="preserve"> </w:t>
      </w:r>
      <w:r w:rsidR="007B487E" w:rsidRPr="001906E4">
        <w:rPr>
          <w:rFonts w:ascii="Arial" w:hAnsi="Arial" w:cs="Arial"/>
          <w:b/>
          <w:bCs/>
        </w:rPr>
        <w:t>Fondo de Garantía Líquida o Fuente Alterna de Pago del Estado de Quintana Roo</w:t>
      </w:r>
      <w:r w:rsidR="003C4C36" w:rsidRPr="001906E4">
        <w:rPr>
          <w:rFonts w:ascii="Arial" w:hAnsi="Arial" w:cs="Arial"/>
          <w:b/>
          <w:bCs/>
        </w:rPr>
        <w:t>.</w:t>
      </w:r>
    </w:p>
    <w:p w14:paraId="3D488259" w14:textId="77777777" w:rsidR="00B1351F" w:rsidRPr="001906E4" w:rsidRDefault="00B1351F" w:rsidP="001906E4">
      <w:pPr>
        <w:tabs>
          <w:tab w:val="left" w:pos="9072"/>
        </w:tabs>
        <w:spacing w:line="360" w:lineRule="auto"/>
        <w:ind w:right="51"/>
        <w:contextualSpacing/>
        <w:jc w:val="both"/>
        <w:rPr>
          <w:rFonts w:ascii="Arial" w:hAnsi="Arial" w:cs="Arial"/>
          <w:b/>
          <w:bCs/>
          <w:sz w:val="28"/>
        </w:rPr>
      </w:pPr>
    </w:p>
    <w:p w14:paraId="6CE5F36B" w14:textId="0B304D28" w:rsidR="00813133" w:rsidRPr="001906E4" w:rsidRDefault="00871430" w:rsidP="001906E4">
      <w:pPr>
        <w:tabs>
          <w:tab w:val="left" w:pos="9072"/>
        </w:tabs>
        <w:spacing w:line="360" w:lineRule="auto"/>
        <w:ind w:right="51"/>
        <w:contextualSpacing/>
        <w:jc w:val="both"/>
        <w:rPr>
          <w:rFonts w:ascii="Arial" w:hAnsi="Arial" w:cs="Arial"/>
        </w:rPr>
      </w:pPr>
      <w:r w:rsidRPr="001906E4">
        <w:rPr>
          <w:rFonts w:ascii="Arial" w:hAnsi="Arial" w:cs="Arial"/>
        </w:rPr>
        <w:t>En la Cuenta Pública de</w:t>
      </w:r>
      <w:r w:rsidR="007B487E" w:rsidRPr="001906E4">
        <w:rPr>
          <w:rFonts w:ascii="Arial" w:hAnsi="Arial" w:cs="Arial"/>
        </w:rPr>
        <w:t>l fideicomiso</w:t>
      </w:r>
      <w:r w:rsidRPr="001906E4">
        <w:rPr>
          <w:rFonts w:ascii="Arial" w:hAnsi="Arial" w:cs="Arial"/>
        </w:rPr>
        <w:t xml:space="preserve"> </w:t>
      </w:r>
      <w:r w:rsidR="007B487E" w:rsidRPr="001906E4">
        <w:rPr>
          <w:rFonts w:ascii="Arial" w:hAnsi="Arial" w:cs="Arial"/>
          <w:b/>
          <w:bCs/>
        </w:rPr>
        <w:t>Fondo de Garantía Líquida o Fuente Alterna de Pago del Estado de Quintana Roo</w:t>
      </w:r>
      <w:r w:rsidRPr="001906E4">
        <w:rPr>
          <w:rFonts w:ascii="Arial" w:hAnsi="Arial" w:cs="Arial"/>
          <w:b/>
          <w:bCs/>
        </w:rPr>
        <w:t xml:space="preserve">, </w:t>
      </w:r>
      <w:r w:rsidRPr="001906E4">
        <w:rPr>
          <w:rFonts w:ascii="Arial" w:hAnsi="Arial" w:cs="Arial"/>
        </w:rPr>
        <w:t>correspondiente al ejercicio fiscal 2019, se encuentran reflejados los i</w:t>
      </w:r>
      <w:r w:rsidRPr="001906E4">
        <w:rPr>
          <w:rFonts w:ascii="Arial" w:hAnsi="Arial" w:cs="Arial"/>
          <w:bCs/>
        </w:rPr>
        <w:t>ngresos obtenidos y egresos ejercidos</w:t>
      </w:r>
      <w:r w:rsidRPr="001906E4">
        <w:rPr>
          <w:rFonts w:ascii="Arial" w:hAnsi="Arial" w:cs="Arial"/>
        </w:rPr>
        <w:t xml:space="preserve"> de recursos propios.</w:t>
      </w:r>
    </w:p>
    <w:p w14:paraId="570CA443" w14:textId="77777777" w:rsidR="00B1351F" w:rsidRPr="001906E4" w:rsidRDefault="00B1351F" w:rsidP="001906E4">
      <w:pPr>
        <w:tabs>
          <w:tab w:val="left" w:pos="9072"/>
        </w:tabs>
        <w:spacing w:line="360" w:lineRule="auto"/>
        <w:ind w:right="51"/>
        <w:contextualSpacing/>
        <w:jc w:val="both"/>
        <w:rPr>
          <w:rFonts w:ascii="Arial" w:hAnsi="Arial" w:cs="Arial"/>
          <w:sz w:val="28"/>
        </w:rPr>
      </w:pPr>
    </w:p>
    <w:p w14:paraId="4709D500" w14:textId="4C19ADE7" w:rsidR="003C4C36" w:rsidRPr="001906E4" w:rsidRDefault="003C4C36" w:rsidP="001906E4">
      <w:pPr>
        <w:spacing w:line="360" w:lineRule="auto"/>
        <w:ind w:right="190"/>
        <w:jc w:val="both"/>
        <w:rPr>
          <w:rFonts w:ascii="Arial" w:hAnsi="Arial" w:cs="Arial"/>
          <w:bCs/>
        </w:rPr>
      </w:pPr>
      <w:r w:rsidRPr="001906E4">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w:t>
      </w:r>
      <w:r w:rsidR="00813133" w:rsidRPr="001906E4">
        <w:rPr>
          <w:rFonts w:ascii="Arial" w:hAnsi="Arial" w:cs="Arial"/>
          <w:bCs/>
        </w:rPr>
        <w:t>2019</w:t>
      </w:r>
      <w:r w:rsidRPr="001906E4">
        <w:rPr>
          <w:rFonts w:ascii="Arial" w:hAnsi="Arial" w:cs="Arial"/>
          <w:bCs/>
        </w:rPr>
        <w:t xml:space="preserve">, el cual fue expedido y publicado en el portal web de la Auditoría Superior del Estado de Quintana Roo. </w:t>
      </w:r>
    </w:p>
    <w:p w14:paraId="10314C6A" w14:textId="77777777" w:rsidR="00813133" w:rsidRPr="001906E4" w:rsidRDefault="00813133" w:rsidP="001906E4">
      <w:pPr>
        <w:spacing w:line="360" w:lineRule="auto"/>
        <w:ind w:right="190"/>
        <w:jc w:val="both"/>
        <w:rPr>
          <w:rFonts w:ascii="Arial" w:hAnsi="Arial" w:cs="Arial"/>
          <w:bCs/>
          <w:sz w:val="28"/>
        </w:rPr>
      </w:pPr>
    </w:p>
    <w:p w14:paraId="0B930B81" w14:textId="7FB16E93" w:rsidR="00871430" w:rsidRPr="001906E4" w:rsidRDefault="00871430" w:rsidP="001906E4">
      <w:pPr>
        <w:tabs>
          <w:tab w:val="left" w:pos="9072"/>
        </w:tabs>
        <w:spacing w:line="360" w:lineRule="auto"/>
        <w:ind w:right="51"/>
        <w:contextualSpacing/>
        <w:jc w:val="both"/>
        <w:rPr>
          <w:rFonts w:ascii="Arial" w:hAnsi="Arial" w:cs="Arial"/>
          <w:bCs/>
        </w:rPr>
      </w:pPr>
      <w:bookmarkStart w:id="2" w:name="_Hlk11404920"/>
      <w:r w:rsidRPr="001906E4">
        <w:rPr>
          <w:rFonts w:ascii="Arial" w:hAnsi="Arial" w:cs="Arial"/>
        </w:rPr>
        <w:t>Por lo anterior y en cumplimiento a los artículos 2, 3, 4, 5, 6</w:t>
      </w:r>
      <w:r w:rsidR="00526BD2" w:rsidRPr="001906E4">
        <w:rPr>
          <w:rFonts w:ascii="Arial" w:hAnsi="Arial" w:cs="Arial"/>
        </w:rPr>
        <w:t>,</w:t>
      </w:r>
      <w:r w:rsidRPr="001906E4">
        <w:rPr>
          <w:rFonts w:ascii="Arial" w:hAnsi="Arial" w:cs="Arial"/>
        </w:rPr>
        <w:t xml:space="preserve"> fracciones I, II y XX,16, 17, 19 fracciones I, VI, VII, VIII, XII, XV, XXVI y XXVIII, 22 en su último párrafo, 38, 41, 42 y 86</w:t>
      </w:r>
      <w:r w:rsidR="00526BD2" w:rsidRPr="001906E4">
        <w:rPr>
          <w:rFonts w:ascii="Arial" w:hAnsi="Arial" w:cs="Arial"/>
        </w:rPr>
        <w:t>,</w:t>
      </w:r>
      <w:r w:rsidRPr="001906E4">
        <w:rPr>
          <w:rFonts w:ascii="Arial" w:hAnsi="Arial" w:cs="Arial"/>
        </w:rPr>
        <w:t xml:space="preserve"> fracciones I, XVII, XXII y XXXVI de la Ley de Fiscalización y Rendición de Cuentas del Estado de Quintana Roo</w:t>
      </w:r>
      <w:bookmarkEnd w:id="2"/>
      <w:r w:rsidRPr="001906E4">
        <w:rPr>
          <w:rFonts w:ascii="Arial" w:hAnsi="Arial" w:cs="Arial"/>
        </w:rPr>
        <w:t xml:space="preserve">, se tiene a bien presentar </w:t>
      </w:r>
      <w:r w:rsidR="007B487E" w:rsidRPr="001906E4">
        <w:rPr>
          <w:rFonts w:ascii="Arial" w:hAnsi="Arial" w:cs="Arial"/>
        </w:rPr>
        <w:t>e</w:t>
      </w:r>
      <w:r w:rsidRPr="001906E4">
        <w:rPr>
          <w:rFonts w:ascii="Arial" w:hAnsi="Arial" w:cs="Arial"/>
        </w:rPr>
        <w:t>l Inform</w:t>
      </w:r>
      <w:r w:rsidR="007B487E" w:rsidRPr="001906E4">
        <w:rPr>
          <w:rFonts w:ascii="Arial" w:hAnsi="Arial" w:cs="Arial"/>
        </w:rPr>
        <w:t>e</w:t>
      </w:r>
      <w:r w:rsidRPr="001906E4">
        <w:rPr>
          <w:rFonts w:ascii="Arial" w:hAnsi="Arial" w:cs="Arial"/>
        </w:rPr>
        <w:t xml:space="preserve"> Individual de Auditoría, obtenido con relación a la Cuenta Pública </w:t>
      </w:r>
      <w:r w:rsidR="00B1351F" w:rsidRPr="001906E4">
        <w:rPr>
          <w:rFonts w:ascii="Arial" w:hAnsi="Arial" w:cs="Arial"/>
        </w:rPr>
        <w:t xml:space="preserve">del </w:t>
      </w:r>
      <w:r w:rsidR="007B487E" w:rsidRPr="001906E4">
        <w:rPr>
          <w:rFonts w:ascii="Arial" w:hAnsi="Arial" w:cs="Arial"/>
          <w:bCs/>
        </w:rPr>
        <w:t>fideicomiso</w:t>
      </w:r>
      <w:r w:rsidRPr="001906E4">
        <w:rPr>
          <w:rFonts w:ascii="Arial" w:hAnsi="Arial" w:cs="Arial"/>
          <w:b/>
        </w:rPr>
        <w:t xml:space="preserve"> </w:t>
      </w:r>
      <w:r w:rsidR="007B487E" w:rsidRPr="001906E4">
        <w:rPr>
          <w:rFonts w:ascii="Arial" w:hAnsi="Arial" w:cs="Arial"/>
          <w:b/>
          <w:bCs/>
        </w:rPr>
        <w:t>Fondo de Garantía Líquida o Fuente Alterna de Pago del Estado de Quintana Roo</w:t>
      </w:r>
      <w:r w:rsidRPr="001906E4">
        <w:rPr>
          <w:rFonts w:ascii="Arial" w:hAnsi="Arial" w:cs="Arial"/>
        </w:rPr>
        <w:t>,</w:t>
      </w:r>
      <w:r w:rsidRPr="001906E4">
        <w:rPr>
          <w:rFonts w:ascii="Arial" w:hAnsi="Arial" w:cs="Arial"/>
          <w:b/>
        </w:rPr>
        <w:t xml:space="preserve"> </w:t>
      </w:r>
      <w:r w:rsidR="00B1351F" w:rsidRPr="001906E4">
        <w:rPr>
          <w:rFonts w:ascii="Arial" w:hAnsi="Arial" w:cs="Arial"/>
          <w:bCs/>
        </w:rPr>
        <w:t xml:space="preserve">correspondiente al </w:t>
      </w:r>
      <w:r w:rsidRPr="001906E4">
        <w:rPr>
          <w:rFonts w:ascii="Arial" w:hAnsi="Arial" w:cs="Arial"/>
          <w:bCs/>
        </w:rPr>
        <w:t>ejercicio fiscal 2019.</w:t>
      </w:r>
    </w:p>
    <w:p w14:paraId="6338B2FB" w14:textId="22D5554A" w:rsidR="00B1351F" w:rsidRDefault="00B1351F" w:rsidP="001906E4">
      <w:pPr>
        <w:tabs>
          <w:tab w:val="left" w:pos="9072"/>
        </w:tabs>
        <w:spacing w:line="360" w:lineRule="auto"/>
        <w:ind w:right="51"/>
        <w:contextualSpacing/>
        <w:jc w:val="both"/>
        <w:rPr>
          <w:rFonts w:ascii="Arial" w:hAnsi="Arial" w:cs="Arial"/>
          <w:bCs/>
        </w:rPr>
      </w:pPr>
    </w:p>
    <w:p w14:paraId="14D24000" w14:textId="18CF2ACD" w:rsidR="00871430" w:rsidRPr="001906E4" w:rsidRDefault="00871430" w:rsidP="001906E4">
      <w:pPr>
        <w:tabs>
          <w:tab w:val="left" w:pos="9072"/>
        </w:tabs>
        <w:spacing w:line="360" w:lineRule="auto"/>
        <w:ind w:right="51"/>
        <w:contextualSpacing/>
        <w:jc w:val="both"/>
        <w:rPr>
          <w:rFonts w:ascii="Arial" w:hAnsi="Arial" w:cs="Arial"/>
          <w:b/>
          <w:bCs/>
        </w:rPr>
      </w:pPr>
      <w:r w:rsidRPr="001906E4">
        <w:rPr>
          <w:rFonts w:ascii="Arial" w:hAnsi="Arial" w:cs="Arial"/>
          <w:b/>
          <w:bCs/>
        </w:rPr>
        <w:t>ANTECEDENTES DE LA ENTIDAD FISCALIZADA</w:t>
      </w:r>
    </w:p>
    <w:p w14:paraId="5EA9C481" w14:textId="77777777" w:rsidR="00B1351F" w:rsidRPr="001906E4" w:rsidRDefault="00B1351F" w:rsidP="001906E4">
      <w:pPr>
        <w:tabs>
          <w:tab w:val="left" w:pos="9072"/>
        </w:tabs>
        <w:spacing w:line="360" w:lineRule="auto"/>
        <w:ind w:right="51"/>
        <w:contextualSpacing/>
        <w:jc w:val="both"/>
        <w:rPr>
          <w:rFonts w:ascii="Arial" w:hAnsi="Arial" w:cs="Arial"/>
          <w:b/>
          <w:bCs/>
        </w:rPr>
      </w:pPr>
    </w:p>
    <w:p w14:paraId="24BC1452" w14:textId="7F75112F" w:rsidR="00871430" w:rsidRPr="001906E4" w:rsidRDefault="00871430" w:rsidP="001906E4">
      <w:pPr>
        <w:tabs>
          <w:tab w:val="left" w:pos="9072"/>
        </w:tabs>
        <w:spacing w:line="360" w:lineRule="auto"/>
        <w:ind w:right="49"/>
        <w:jc w:val="both"/>
        <w:rPr>
          <w:rFonts w:ascii="Arial" w:hAnsi="Arial" w:cs="Arial"/>
          <w:b/>
        </w:rPr>
      </w:pPr>
      <w:r w:rsidRPr="001906E4">
        <w:rPr>
          <w:rFonts w:ascii="Arial" w:hAnsi="Arial" w:cs="Arial"/>
          <w:b/>
        </w:rPr>
        <w:t>De su</w:t>
      </w:r>
      <w:r w:rsidR="00C812CE" w:rsidRPr="001906E4">
        <w:rPr>
          <w:rFonts w:ascii="Arial" w:hAnsi="Arial" w:cs="Arial"/>
          <w:b/>
        </w:rPr>
        <w:t xml:space="preserve"> </w:t>
      </w:r>
      <w:r w:rsidRPr="001906E4">
        <w:rPr>
          <w:rFonts w:ascii="Arial" w:hAnsi="Arial" w:cs="Arial"/>
          <w:b/>
        </w:rPr>
        <w:t>Creación y Objeto</w:t>
      </w:r>
    </w:p>
    <w:p w14:paraId="4921289E" w14:textId="77777777" w:rsidR="00B1351F" w:rsidRPr="001906E4" w:rsidRDefault="00B1351F" w:rsidP="001906E4">
      <w:pPr>
        <w:tabs>
          <w:tab w:val="left" w:pos="9072"/>
        </w:tabs>
        <w:spacing w:line="360" w:lineRule="auto"/>
        <w:ind w:right="49"/>
        <w:jc w:val="both"/>
        <w:rPr>
          <w:rFonts w:ascii="Arial" w:hAnsi="Arial" w:cs="Arial"/>
          <w:b/>
        </w:rPr>
      </w:pPr>
    </w:p>
    <w:p w14:paraId="1D802216" w14:textId="57D119FC" w:rsidR="007B487E" w:rsidRPr="001906E4" w:rsidRDefault="007B487E" w:rsidP="001906E4">
      <w:pPr>
        <w:spacing w:line="360" w:lineRule="auto"/>
        <w:ind w:right="193"/>
        <w:contextualSpacing/>
        <w:jc w:val="both"/>
        <w:rPr>
          <w:rFonts w:ascii="Arial" w:hAnsi="Arial" w:cs="Arial"/>
        </w:rPr>
      </w:pPr>
      <w:r w:rsidRPr="001906E4">
        <w:rPr>
          <w:rFonts w:ascii="Arial" w:hAnsi="Arial" w:cs="Arial"/>
        </w:rPr>
        <w:t>El 9 de julio de 1993, los fideicomitentes Gobierno del Estado Libre y Soberano de Quintana Roo y Unión Ganadera Regional de Quintana Roo, así como la fiduciaria Banco de Crédito Rural Peninsular, S.N.C., celebraron un contrato de fideicomiso denominado “Fondo de Garantía para las Empresas de Solidaridad del Estado de Quintana Roo”</w:t>
      </w:r>
      <w:r w:rsidR="0007352B">
        <w:rPr>
          <w:rFonts w:ascii="Arial" w:hAnsi="Arial" w:cs="Arial"/>
        </w:rPr>
        <w:t>,</w:t>
      </w:r>
      <w:r w:rsidRPr="001906E4">
        <w:rPr>
          <w:rFonts w:ascii="Arial" w:hAnsi="Arial" w:cs="Arial"/>
        </w:rPr>
        <w:t xml:space="preserve"> que también podía identificarse bajo las siglas “FOGARQROO”. Los fideicomisarios son los productores organizados que presenten proyectos productivos viables y que sean elegibles como sujetos de crédito del Banco de Crédito Rural Peninsular, S.N.C.</w:t>
      </w:r>
      <w:r w:rsidR="0007352B">
        <w:rPr>
          <w:rFonts w:ascii="Arial" w:hAnsi="Arial" w:cs="Arial"/>
        </w:rPr>
        <w:t>,</w:t>
      </w:r>
      <w:r w:rsidRPr="001906E4">
        <w:rPr>
          <w:rFonts w:ascii="Arial" w:hAnsi="Arial" w:cs="Arial"/>
        </w:rPr>
        <w:t xml:space="preserve"> que no cuenten con garantía suficiente para respaldar los créditos solicitados y que fueron admitidos por acuerdo del comité técnico del Fideicomiso. </w:t>
      </w:r>
    </w:p>
    <w:p w14:paraId="735D28A5" w14:textId="77777777" w:rsidR="00B1351F" w:rsidRPr="001906E4" w:rsidRDefault="00B1351F" w:rsidP="001906E4">
      <w:pPr>
        <w:spacing w:line="360" w:lineRule="auto"/>
        <w:ind w:right="193"/>
        <w:contextualSpacing/>
        <w:jc w:val="both"/>
        <w:rPr>
          <w:rFonts w:ascii="Arial" w:hAnsi="Arial" w:cs="Arial"/>
        </w:rPr>
      </w:pPr>
    </w:p>
    <w:p w14:paraId="73C75C5F" w14:textId="2BE63979" w:rsidR="007B487E" w:rsidRPr="001906E4" w:rsidRDefault="007B487E" w:rsidP="001906E4">
      <w:pPr>
        <w:spacing w:line="360" w:lineRule="auto"/>
        <w:ind w:right="193"/>
        <w:contextualSpacing/>
        <w:jc w:val="both"/>
        <w:rPr>
          <w:rFonts w:ascii="Arial" w:hAnsi="Arial" w:cs="Arial"/>
        </w:rPr>
      </w:pPr>
      <w:r w:rsidRPr="001906E4">
        <w:rPr>
          <w:rFonts w:ascii="Arial" w:hAnsi="Arial" w:cs="Arial"/>
        </w:rPr>
        <w:t>En fecha 27 de enero de 1994, la Unión Ganadera Regional de Quintana Roo</w:t>
      </w:r>
      <w:r w:rsidR="0007352B">
        <w:rPr>
          <w:rFonts w:ascii="Arial" w:hAnsi="Arial" w:cs="Arial"/>
        </w:rPr>
        <w:t>,</w:t>
      </w:r>
      <w:r w:rsidRPr="001906E4">
        <w:rPr>
          <w:rFonts w:ascii="Arial" w:hAnsi="Arial" w:cs="Arial"/>
        </w:rPr>
        <w:t xml:space="preserve"> solicitó la devolución de sus recursos, en virtud de que consideraba que el mismo no respondía a las expectativas de sus asociados, resultando la primera modificación al contrato de fideicomiso.</w:t>
      </w:r>
    </w:p>
    <w:p w14:paraId="2E714AC1" w14:textId="77777777" w:rsidR="00B1351F" w:rsidRPr="001906E4" w:rsidRDefault="00B1351F" w:rsidP="001906E4">
      <w:pPr>
        <w:spacing w:line="360" w:lineRule="auto"/>
        <w:ind w:right="193"/>
        <w:jc w:val="both"/>
        <w:rPr>
          <w:rFonts w:ascii="Arial" w:hAnsi="Arial" w:cs="Arial"/>
        </w:rPr>
      </w:pPr>
    </w:p>
    <w:p w14:paraId="369C8681" w14:textId="4F6C15DF" w:rsidR="007B487E" w:rsidRPr="001906E4" w:rsidRDefault="007B487E" w:rsidP="001906E4">
      <w:pPr>
        <w:spacing w:line="360" w:lineRule="auto"/>
        <w:ind w:right="193"/>
        <w:jc w:val="both"/>
        <w:rPr>
          <w:rFonts w:ascii="Arial" w:hAnsi="Arial" w:cs="Arial"/>
        </w:rPr>
      </w:pPr>
      <w:r w:rsidRPr="001906E4">
        <w:rPr>
          <w:rFonts w:ascii="Arial" w:hAnsi="Arial" w:cs="Arial"/>
        </w:rPr>
        <w:t>En virtud de la liquidación del Banco de Crédito Rural Peninsular, S.N.C.</w:t>
      </w:r>
      <w:r w:rsidR="0007352B">
        <w:rPr>
          <w:rFonts w:ascii="Arial" w:hAnsi="Arial" w:cs="Arial"/>
        </w:rPr>
        <w:t>,</w:t>
      </w:r>
      <w:r w:rsidRPr="001906E4">
        <w:rPr>
          <w:rFonts w:ascii="Arial" w:hAnsi="Arial" w:cs="Arial"/>
        </w:rPr>
        <w:t xml:space="preserve"> el Comité Técnico autorizó la sustitución de la fiduciaria a favor del Banco Interacciones, S.A., celebrando el 24 de abril de 2006 el convenio de sustitución fiduciaria.</w:t>
      </w:r>
    </w:p>
    <w:p w14:paraId="05948B0A" w14:textId="77777777" w:rsidR="00B1351F" w:rsidRPr="001906E4" w:rsidRDefault="00B1351F" w:rsidP="001906E4">
      <w:pPr>
        <w:spacing w:line="360" w:lineRule="auto"/>
        <w:ind w:right="193"/>
        <w:jc w:val="both"/>
        <w:rPr>
          <w:rFonts w:ascii="Arial" w:hAnsi="Arial" w:cs="Arial"/>
        </w:rPr>
      </w:pPr>
    </w:p>
    <w:p w14:paraId="27125078" w14:textId="15DAF6AD" w:rsidR="007B487E" w:rsidRPr="001906E4" w:rsidRDefault="007B487E" w:rsidP="001906E4">
      <w:pPr>
        <w:spacing w:line="360" w:lineRule="auto"/>
        <w:ind w:right="193"/>
        <w:jc w:val="both"/>
        <w:rPr>
          <w:rFonts w:ascii="Arial" w:hAnsi="Arial" w:cs="Arial"/>
          <w:b/>
        </w:rPr>
      </w:pPr>
      <w:r w:rsidRPr="001906E4">
        <w:rPr>
          <w:rFonts w:ascii="Arial" w:hAnsi="Arial" w:cs="Arial"/>
        </w:rPr>
        <w:t>El 3 de mayo de 2006, se celebra el Tercer Convenio Modificatorio al Contrato de Fideicomiso Irrevocable de Inversión y Garantía denominado “Fondo de Garantía para las Empresas de Solidaridad del Estado de Quintana Roo”</w:t>
      </w:r>
      <w:r w:rsidR="0030753F">
        <w:rPr>
          <w:rFonts w:ascii="Arial" w:hAnsi="Arial" w:cs="Arial"/>
        </w:rPr>
        <w:t>,</w:t>
      </w:r>
      <w:r w:rsidR="002C298D">
        <w:rPr>
          <w:rFonts w:ascii="Arial" w:hAnsi="Arial" w:cs="Arial"/>
        </w:rPr>
        <w:t xml:space="preserve"> </w:t>
      </w:r>
      <w:r w:rsidRPr="001906E4">
        <w:rPr>
          <w:rFonts w:ascii="Arial" w:hAnsi="Arial" w:cs="Arial"/>
        </w:rPr>
        <w:t>mediante el cual el Fideicomitente Gobierno del Estado Libre y Soberano de Quintana Roo y el Fiduciario Banco Interacciones, S. A.</w:t>
      </w:r>
      <w:r w:rsidR="0007352B">
        <w:rPr>
          <w:rFonts w:ascii="Arial" w:hAnsi="Arial" w:cs="Arial"/>
        </w:rPr>
        <w:t>,</w:t>
      </w:r>
      <w:r w:rsidRPr="001906E4">
        <w:rPr>
          <w:rFonts w:ascii="Arial" w:hAnsi="Arial" w:cs="Arial"/>
        </w:rPr>
        <w:t xml:space="preserve"> realizan el cambio de la denominación del fideicomiso, quedando como: </w:t>
      </w:r>
      <w:r w:rsidRPr="001906E4">
        <w:rPr>
          <w:rFonts w:ascii="Arial" w:hAnsi="Arial" w:cs="Arial"/>
          <w:b/>
        </w:rPr>
        <w:t>Fondo de Garantía Líquida o Fuente Alterna de Pago del Estado de Quintana Roo (FOGARQROO).</w:t>
      </w:r>
    </w:p>
    <w:p w14:paraId="45C9D9C7" w14:textId="77777777" w:rsidR="00B1351F" w:rsidRPr="001906E4" w:rsidRDefault="00B1351F" w:rsidP="001906E4">
      <w:pPr>
        <w:spacing w:line="360" w:lineRule="auto"/>
        <w:ind w:right="193"/>
        <w:jc w:val="both"/>
        <w:rPr>
          <w:rFonts w:ascii="Arial" w:hAnsi="Arial" w:cs="Arial"/>
          <w:b/>
        </w:rPr>
      </w:pPr>
    </w:p>
    <w:p w14:paraId="4D367E4C" w14:textId="7008EB98" w:rsidR="00871430" w:rsidRPr="001906E4" w:rsidRDefault="007B487E" w:rsidP="001906E4">
      <w:pPr>
        <w:tabs>
          <w:tab w:val="left" w:pos="9072"/>
        </w:tabs>
        <w:spacing w:line="360" w:lineRule="auto"/>
        <w:ind w:right="49"/>
        <w:jc w:val="both"/>
        <w:rPr>
          <w:rFonts w:ascii="Arial" w:hAnsi="Arial" w:cs="Arial"/>
          <w:b/>
        </w:rPr>
      </w:pPr>
      <w:r w:rsidRPr="001906E4">
        <w:rPr>
          <w:rFonts w:ascii="Arial" w:hAnsi="Arial" w:cs="Arial"/>
        </w:rPr>
        <w:t>Finalmente, mediante escritura pública número 211,475 del 4 de julio de 2018</w:t>
      </w:r>
      <w:r w:rsidR="0007352B">
        <w:rPr>
          <w:rFonts w:ascii="Arial" w:hAnsi="Arial" w:cs="Arial"/>
        </w:rPr>
        <w:t>,</w:t>
      </w:r>
      <w:r w:rsidRPr="001906E4">
        <w:rPr>
          <w:rFonts w:ascii="Arial" w:hAnsi="Arial" w:cs="Arial"/>
        </w:rPr>
        <w:t xml:space="preserve"> protocolizada por el Titular de la Notaría Pública número 151 de la Ciudad de México, el “Banco Interacciones”, S.A., Institución de Banca Múltiple, Grupo Financiero Interacciones se fusionó al “Banco mercantil del Norte”, S.A., Institución de Banca Múltiple, Grupo Financiero Banorte, quedando esta última como “Fiduciaria” del fideicomiso </w:t>
      </w:r>
      <w:r w:rsidRPr="001906E4">
        <w:rPr>
          <w:rFonts w:ascii="Arial" w:hAnsi="Arial" w:cs="Arial"/>
          <w:b/>
        </w:rPr>
        <w:t>Fondo de Garantía Líquida o Fuente Alterna de Pago del Estado de Quintana Roo (FOGARQROO).</w:t>
      </w:r>
    </w:p>
    <w:p w14:paraId="6685CF22" w14:textId="77777777" w:rsidR="007B487E" w:rsidRPr="001906E4" w:rsidRDefault="007B487E" w:rsidP="001906E4">
      <w:pPr>
        <w:tabs>
          <w:tab w:val="left" w:pos="9072"/>
        </w:tabs>
        <w:spacing w:line="360" w:lineRule="auto"/>
        <w:ind w:right="49"/>
        <w:jc w:val="both"/>
        <w:rPr>
          <w:rFonts w:ascii="Arial" w:hAnsi="Arial" w:cs="Arial"/>
          <w:b/>
          <w:bCs/>
        </w:rPr>
      </w:pPr>
    </w:p>
    <w:p w14:paraId="3E97FEE1" w14:textId="4D9DC824" w:rsidR="00871430" w:rsidRPr="001906E4" w:rsidRDefault="00871430" w:rsidP="001906E4">
      <w:pPr>
        <w:tabs>
          <w:tab w:val="left" w:pos="9072"/>
        </w:tabs>
        <w:spacing w:line="360" w:lineRule="auto"/>
        <w:ind w:right="49"/>
        <w:jc w:val="both"/>
        <w:rPr>
          <w:rFonts w:ascii="Arial" w:hAnsi="Arial" w:cs="Arial"/>
          <w:b/>
          <w:bCs/>
        </w:rPr>
      </w:pPr>
      <w:r w:rsidRPr="001906E4">
        <w:rPr>
          <w:rFonts w:ascii="Arial" w:hAnsi="Arial" w:cs="Arial"/>
          <w:b/>
          <w:bCs/>
        </w:rPr>
        <w:t>I. INFORME INDIVIDUAL DE AUDITORÍA RELATIVO A INGRESOS</w:t>
      </w:r>
      <w:r w:rsidR="007B487E" w:rsidRPr="001906E4">
        <w:rPr>
          <w:rFonts w:ascii="Arial" w:hAnsi="Arial" w:cs="Arial"/>
          <w:b/>
          <w:bCs/>
        </w:rPr>
        <w:t xml:space="preserve"> Y EGRESOS</w:t>
      </w:r>
    </w:p>
    <w:p w14:paraId="3913EFD6" w14:textId="77777777" w:rsidR="00B1351F" w:rsidRPr="001906E4" w:rsidRDefault="00B1351F" w:rsidP="001906E4">
      <w:pPr>
        <w:tabs>
          <w:tab w:val="left" w:pos="9072"/>
        </w:tabs>
        <w:spacing w:line="360" w:lineRule="auto"/>
        <w:ind w:right="49"/>
        <w:jc w:val="both"/>
        <w:rPr>
          <w:rFonts w:ascii="Arial" w:hAnsi="Arial" w:cs="Arial"/>
          <w:b/>
          <w:bCs/>
        </w:rPr>
      </w:pPr>
    </w:p>
    <w:p w14:paraId="40C0EDD6" w14:textId="5499FEBE" w:rsidR="00871430" w:rsidRPr="001906E4" w:rsidRDefault="00871430" w:rsidP="001906E4">
      <w:pPr>
        <w:tabs>
          <w:tab w:val="left" w:pos="9072"/>
        </w:tabs>
        <w:spacing w:line="360" w:lineRule="auto"/>
        <w:ind w:right="49"/>
        <w:jc w:val="both"/>
        <w:rPr>
          <w:rFonts w:ascii="Arial" w:hAnsi="Arial" w:cs="Arial"/>
          <w:b/>
          <w:bCs/>
        </w:rPr>
      </w:pPr>
      <w:r w:rsidRPr="001906E4">
        <w:rPr>
          <w:rFonts w:ascii="Arial" w:hAnsi="Arial" w:cs="Arial"/>
          <w:b/>
          <w:bCs/>
        </w:rPr>
        <w:t>I.1. ASPECTOS GENERALES DE LA AUDITORÍA</w:t>
      </w:r>
    </w:p>
    <w:p w14:paraId="32CE97F7" w14:textId="77777777" w:rsidR="00B1351F" w:rsidRPr="001906E4" w:rsidRDefault="00B1351F" w:rsidP="001906E4">
      <w:pPr>
        <w:tabs>
          <w:tab w:val="left" w:pos="9072"/>
        </w:tabs>
        <w:spacing w:line="360" w:lineRule="auto"/>
        <w:ind w:right="49"/>
        <w:jc w:val="both"/>
        <w:rPr>
          <w:rFonts w:ascii="Arial" w:hAnsi="Arial" w:cs="Arial"/>
          <w:b/>
          <w:bCs/>
        </w:rPr>
      </w:pPr>
    </w:p>
    <w:p w14:paraId="3F5F1313" w14:textId="02AC69A1" w:rsidR="00871430" w:rsidRPr="001906E4" w:rsidRDefault="00871430" w:rsidP="001906E4">
      <w:pPr>
        <w:pStyle w:val="Prrafodelista"/>
        <w:numPr>
          <w:ilvl w:val="0"/>
          <w:numId w:val="22"/>
        </w:numPr>
        <w:tabs>
          <w:tab w:val="left" w:pos="9072"/>
        </w:tabs>
        <w:spacing w:line="360" w:lineRule="auto"/>
        <w:ind w:left="426" w:right="49" w:hanging="426"/>
        <w:jc w:val="both"/>
        <w:rPr>
          <w:rFonts w:ascii="Arial" w:hAnsi="Arial" w:cs="Arial"/>
          <w:b/>
          <w:bCs/>
        </w:rPr>
      </w:pPr>
      <w:r w:rsidRPr="001906E4">
        <w:rPr>
          <w:rFonts w:ascii="Arial" w:hAnsi="Arial" w:cs="Arial"/>
          <w:b/>
          <w:bCs/>
        </w:rPr>
        <w:t>Título de la Auditoría</w:t>
      </w:r>
    </w:p>
    <w:p w14:paraId="2B5D0182" w14:textId="77777777" w:rsidR="003F73DC" w:rsidRPr="001906E4" w:rsidRDefault="003F73DC" w:rsidP="001906E4">
      <w:pPr>
        <w:pStyle w:val="Prrafodelista"/>
        <w:tabs>
          <w:tab w:val="left" w:pos="9072"/>
        </w:tabs>
        <w:spacing w:line="360" w:lineRule="auto"/>
        <w:ind w:left="426" w:right="49"/>
        <w:jc w:val="both"/>
        <w:rPr>
          <w:rFonts w:ascii="Arial" w:hAnsi="Arial" w:cs="Arial"/>
          <w:b/>
          <w:bCs/>
        </w:rPr>
      </w:pPr>
    </w:p>
    <w:p w14:paraId="5146F3D5" w14:textId="37A53583" w:rsidR="007B487E" w:rsidRPr="001906E4" w:rsidRDefault="007B487E" w:rsidP="001906E4">
      <w:pPr>
        <w:tabs>
          <w:tab w:val="left" w:pos="1040"/>
          <w:tab w:val="left" w:pos="9498"/>
        </w:tabs>
        <w:spacing w:line="360" w:lineRule="auto"/>
        <w:ind w:right="193"/>
        <w:jc w:val="both"/>
        <w:rPr>
          <w:rFonts w:ascii="Arial" w:hAnsi="Arial" w:cs="Arial"/>
        </w:rPr>
      </w:pPr>
      <w:r w:rsidRPr="001906E4">
        <w:rPr>
          <w:rFonts w:ascii="Arial" w:hAnsi="Arial" w:cs="Arial"/>
          <w:bCs/>
        </w:rPr>
        <w:t xml:space="preserve">La auditoría, visita e inspección que se realizó en materia financiera al fideicomiso </w:t>
      </w:r>
      <w:r w:rsidRPr="001906E4">
        <w:rPr>
          <w:rFonts w:ascii="Arial" w:hAnsi="Arial" w:cs="Arial"/>
          <w:b/>
          <w:bCs/>
        </w:rPr>
        <w:t>Fondo de Garantía Líquida o Fuente Alterna de Pago del Estado de Quintana Roo</w:t>
      </w:r>
      <w:r w:rsidRPr="001906E4">
        <w:rPr>
          <w:rFonts w:ascii="Arial" w:hAnsi="Arial" w:cs="Arial"/>
        </w:rPr>
        <w:t>, de manera especial y enunciativa mas no limitativa, fue la siguiente:</w:t>
      </w:r>
    </w:p>
    <w:p w14:paraId="5802BF0D" w14:textId="77777777" w:rsidR="003F73DC" w:rsidRPr="001906E4" w:rsidRDefault="003F73DC" w:rsidP="001906E4">
      <w:pPr>
        <w:tabs>
          <w:tab w:val="left" w:pos="1040"/>
          <w:tab w:val="left" w:pos="9498"/>
        </w:tabs>
        <w:spacing w:line="360" w:lineRule="auto"/>
        <w:ind w:right="193"/>
        <w:jc w:val="both"/>
        <w:rPr>
          <w:rFonts w:ascii="Arial" w:hAnsi="Arial" w:cs="Arial"/>
        </w:rPr>
      </w:pPr>
    </w:p>
    <w:tbl>
      <w:tblPr>
        <w:tblW w:w="4975" w:type="pct"/>
        <w:jc w:val="center"/>
        <w:tblLayout w:type="fixed"/>
        <w:tblCellMar>
          <w:left w:w="70" w:type="dxa"/>
          <w:right w:w="70" w:type="dxa"/>
        </w:tblCellMar>
        <w:tblLook w:val="04A0" w:firstRow="1" w:lastRow="0" w:firstColumn="1" w:lastColumn="0" w:noHBand="0" w:noVBand="1"/>
      </w:tblPr>
      <w:tblGrid>
        <w:gridCol w:w="3827"/>
        <w:gridCol w:w="5813"/>
      </w:tblGrid>
      <w:tr w:rsidR="007B487E" w:rsidRPr="001906E4" w14:paraId="37901F92" w14:textId="77777777" w:rsidTr="007B487E">
        <w:trPr>
          <w:trHeight w:val="678"/>
          <w:tblHeader/>
          <w:jc w:val="center"/>
        </w:trPr>
        <w:tc>
          <w:tcPr>
            <w:tcW w:w="1985" w:type="pct"/>
            <w:shd w:val="clear" w:color="auto" w:fill="auto"/>
          </w:tcPr>
          <w:p w14:paraId="1E3137D6" w14:textId="77777777" w:rsidR="007B487E" w:rsidRPr="001906E4" w:rsidRDefault="007B487E" w:rsidP="001906E4">
            <w:pPr>
              <w:spacing w:line="360" w:lineRule="auto"/>
              <w:ind w:right="190"/>
              <w:jc w:val="both"/>
              <w:rPr>
                <w:rFonts w:ascii="Arial" w:hAnsi="Arial" w:cs="Arial"/>
                <w:b/>
                <w:bCs/>
              </w:rPr>
            </w:pPr>
            <w:r w:rsidRPr="001906E4">
              <w:rPr>
                <w:rFonts w:ascii="Arial" w:hAnsi="Arial" w:cs="Arial"/>
                <w:b/>
                <w:bCs/>
              </w:rPr>
              <w:t>19-AEMF-C-GOB-063-126</w:t>
            </w:r>
          </w:p>
        </w:tc>
        <w:tc>
          <w:tcPr>
            <w:tcW w:w="3015" w:type="pct"/>
            <w:shd w:val="clear" w:color="auto" w:fill="auto"/>
          </w:tcPr>
          <w:p w14:paraId="6137DFC3" w14:textId="77777777" w:rsidR="007B487E" w:rsidRPr="001906E4" w:rsidRDefault="007B487E" w:rsidP="001906E4">
            <w:pPr>
              <w:spacing w:line="360" w:lineRule="auto"/>
              <w:ind w:right="190"/>
              <w:jc w:val="both"/>
              <w:rPr>
                <w:rFonts w:ascii="Arial" w:hAnsi="Arial" w:cs="Arial"/>
                <w:bCs/>
              </w:rPr>
            </w:pPr>
            <w:r w:rsidRPr="001906E4">
              <w:rPr>
                <w:rFonts w:ascii="Arial" w:hAnsi="Arial" w:cs="Arial"/>
              </w:rPr>
              <w:t>“Auditoría de Cumplimiento Financiero de Ingresos y Otros Beneficios; Gastos y Otras Pérdidas”.</w:t>
            </w:r>
          </w:p>
        </w:tc>
      </w:tr>
      <w:tr w:rsidR="003F73DC" w:rsidRPr="001906E4" w14:paraId="2A0A23BC" w14:textId="77777777" w:rsidTr="007B487E">
        <w:trPr>
          <w:trHeight w:val="678"/>
          <w:tblHeader/>
          <w:jc w:val="center"/>
        </w:trPr>
        <w:tc>
          <w:tcPr>
            <w:tcW w:w="1985" w:type="pct"/>
            <w:shd w:val="clear" w:color="auto" w:fill="auto"/>
          </w:tcPr>
          <w:p w14:paraId="48CCED2F" w14:textId="77777777" w:rsidR="003F73DC" w:rsidRPr="001906E4" w:rsidRDefault="003F73DC" w:rsidP="001906E4">
            <w:pPr>
              <w:spacing w:line="360" w:lineRule="auto"/>
              <w:ind w:right="190"/>
              <w:jc w:val="both"/>
              <w:rPr>
                <w:rFonts w:ascii="Arial" w:hAnsi="Arial" w:cs="Arial"/>
                <w:b/>
                <w:bCs/>
              </w:rPr>
            </w:pPr>
          </w:p>
        </w:tc>
        <w:tc>
          <w:tcPr>
            <w:tcW w:w="3015" w:type="pct"/>
            <w:shd w:val="clear" w:color="auto" w:fill="auto"/>
          </w:tcPr>
          <w:p w14:paraId="78B3EFF9" w14:textId="77777777" w:rsidR="003F73DC" w:rsidRPr="001906E4" w:rsidRDefault="003F73DC" w:rsidP="001906E4">
            <w:pPr>
              <w:spacing w:line="360" w:lineRule="auto"/>
              <w:ind w:right="190"/>
              <w:jc w:val="both"/>
              <w:rPr>
                <w:rFonts w:ascii="Arial" w:hAnsi="Arial" w:cs="Arial"/>
              </w:rPr>
            </w:pPr>
          </w:p>
        </w:tc>
      </w:tr>
    </w:tbl>
    <w:p w14:paraId="4517A20F" w14:textId="58D54923" w:rsidR="007B487E" w:rsidRPr="001906E4" w:rsidRDefault="007B487E" w:rsidP="001906E4">
      <w:pPr>
        <w:spacing w:line="360" w:lineRule="auto"/>
        <w:ind w:right="190"/>
        <w:jc w:val="both"/>
        <w:rPr>
          <w:rFonts w:ascii="Arial" w:hAnsi="Arial" w:cs="Arial"/>
          <w:b/>
          <w:bCs/>
        </w:rPr>
      </w:pPr>
      <w:r w:rsidRPr="001906E4">
        <w:rPr>
          <w:rFonts w:ascii="Arial" w:hAnsi="Arial" w:cs="Arial"/>
          <w:b/>
          <w:bCs/>
        </w:rPr>
        <w:t>B. Objetivo</w:t>
      </w:r>
    </w:p>
    <w:p w14:paraId="0963AE7E" w14:textId="77777777" w:rsidR="003F73DC" w:rsidRPr="001906E4" w:rsidRDefault="003F73DC" w:rsidP="001906E4">
      <w:pPr>
        <w:spacing w:line="360" w:lineRule="auto"/>
        <w:ind w:right="190"/>
        <w:jc w:val="both"/>
        <w:rPr>
          <w:rFonts w:ascii="Arial" w:hAnsi="Arial" w:cs="Arial"/>
          <w:b/>
          <w:bCs/>
        </w:rPr>
      </w:pPr>
    </w:p>
    <w:p w14:paraId="3D5E1076" w14:textId="0154CD73" w:rsidR="007B487E" w:rsidRPr="001906E4" w:rsidRDefault="007B487E" w:rsidP="001906E4">
      <w:pPr>
        <w:spacing w:line="360" w:lineRule="auto"/>
        <w:ind w:right="190"/>
        <w:jc w:val="both"/>
        <w:rPr>
          <w:rFonts w:ascii="Arial" w:hAnsi="Arial" w:cs="Arial"/>
          <w:bCs/>
        </w:rPr>
      </w:pPr>
      <w:r w:rsidRPr="001906E4">
        <w:rPr>
          <w:rFonts w:ascii="Arial" w:hAnsi="Arial" w:cs="Arial"/>
          <w:bCs/>
        </w:rPr>
        <w:t xml:space="preserve">Fiscalizar la gestión financiera para comprobar el cumplimiento de lo dispuesto en el Presupuesto de Ingresos y Egresos autorizado por el Comité Técnico del </w:t>
      </w:r>
      <w:r w:rsidR="00526BD2" w:rsidRPr="001906E4">
        <w:rPr>
          <w:rFonts w:ascii="Arial" w:hAnsi="Arial" w:cs="Arial"/>
          <w:bCs/>
        </w:rPr>
        <w:t>F</w:t>
      </w:r>
      <w:r w:rsidRPr="001906E4">
        <w:rPr>
          <w:rFonts w:ascii="Arial" w:hAnsi="Arial" w:cs="Arial"/>
          <w:bCs/>
        </w:rPr>
        <w:t xml:space="preserve">ideicomiso para el ejercicio fiscal 2019, y demás disposiciones legales aplicables, en cuanto a los ingresos y gastos públicos, incluyendo la revisión del manejo, la custodia y la aplicación de recursos públicos estatales, así como de la demás información financiera, contable y patrimonial, conforme a los preceptos atribuibles, autorizado mediante instrumento jurídico. </w:t>
      </w:r>
    </w:p>
    <w:p w14:paraId="1617EAC8" w14:textId="77777777" w:rsidR="003F73DC" w:rsidRPr="001906E4" w:rsidRDefault="003F73DC" w:rsidP="001906E4">
      <w:pPr>
        <w:spacing w:line="360" w:lineRule="auto"/>
        <w:ind w:right="190"/>
        <w:jc w:val="both"/>
        <w:rPr>
          <w:rFonts w:ascii="Arial" w:hAnsi="Arial" w:cs="Arial"/>
          <w:bCs/>
        </w:rPr>
      </w:pPr>
    </w:p>
    <w:p w14:paraId="30C2D185" w14:textId="3856F6A9" w:rsidR="003F73DC" w:rsidRPr="001906E4" w:rsidRDefault="003F73DC" w:rsidP="001906E4">
      <w:pPr>
        <w:spacing w:line="360" w:lineRule="auto"/>
        <w:jc w:val="both"/>
        <w:rPr>
          <w:rFonts w:ascii="Arial" w:hAnsi="Arial" w:cs="Arial"/>
          <w:b/>
          <w:bCs/>
        </w:rPr>
      </w:pPr>
      <w:r w:rsidRPr="001906E4">
        <w:rPr>
          <w:rFonts w:ascii="Arial" w:hAnsi="Arial" w:cs="Arial"/>
          <w:b/>
          <w:bCs/>
        </w:rPr>
        <w:t>C. Alcance</w:t>
      </w:r>
    </w:p>
    <w:p w14:paraId="7B418BC1" w14:textId="77777777" w:rsidR="003F73DC" w:rsidRPr="001906E4" w:rsidRDefault="003F73DC" w:rsidP="001906E4">
      <w:pPr>
        <w:spacing w:line="360" w:lineRule="auto"/>
        <w:jc w:val="both"/>
        <w:rPr>
          <w:rFonts w:ascii="Arial" w:hAnsi="Arial" w:cs="Arial"/>
          <w:b/>
          <w:bCs/>
        </w:rPr>
      </w:pPr>
    </w:p>
    <w:p w14:paraId="3CECB335" w14:textId="7F0A08E0" w:rsidR="003F73DC" w:rsidRPr="001906E4" w:rsidRDefault="003F73DC" w:rsidP="001906E4">
      <w:pPr>
        <w:spacing w:line="360" w:lineRule="auto"/>
        <w:jc w:val="both"/>
        <w:rPr>
          <w:rFonts w:ascii="Arial" w:hAnsi="Arial" w:cs="Arial"/>
          <w:b/>
        </w:rPr>
      </w:pPr>
      <w:r w:rsidRPr="001906E4">
        <w:rPr>
          <w:rFonts w:ascii="Arial" w:hAnsi="Arial" w:cs="Arial"/>
          <w:b/>
        </w:rPr>
        <w:t xml:space="preserve">Ingresos y Otros Beneficios </w:t>
      </w:r>
    </w:p>
    <w:p w14:paraId="3F037B14" w14:textId="77777777" w:rsidR="003F73DC" w:rsidRPr="001906E4" w:rsidRDefault="003F73DC" w:rsidP="001906E4">
      <w:pPr>
        <w:spacing w:line="360" w:lineRule="auto"/>
        <w:jc w:val="both"/>
        <w:rPr>
          <w:rFonts w:ascii="Arial" w:hAnsi="Arial" w:cs="Arial"/>
        </w:rPr>
      </w:pPr>
    </w:p>
    <w:p w14:paraId="5FA3D490" w14:textId="1F7463DA" w:rsidR="003F73DC" w:rsidRPr="001906E4" w:rsidRDefault="003F73DC" w:rsidP="001906E4">
      <w:pPr>
        <w:spacing w:line="360" w:lineRule="auto"/>
        <w:jc w:val="both"/>
        <w:rPr>
          <w:rFonts w:ascii="Arial" w:hAnsi="Arial" w:cs="Arial"/>
        </w:rPr>
      </w:pPr>
      <w:r w:rsidRPr="001906E4">
        <w:rPr>
          <w:rFonts w:ascii="Arial" w:hAnsi="Arial" w:cs="Arial"/>
          <w:b/>
        </w:rPr>
        <w:t xml:space="preserve">Universo: </w:t>
      </w:r>
      <w:r w:rsidRPr="001906E4">
        <w:rPr>
          <w:rFonts w:ascii="Arial" w:hAnsi="Arial" w:cs="Arial"/>
        </w:rPr>
        <w:t>$5,815,744.87</w:t>
      </w:r>
    </w:p>
    <w:p w14:paraId="2B1E9020" w14:textId="77777777" w:rsidR="003F73DC" w:rsidRPr="001906E4" w:rsidRDefault="003F73DC" w:rsidP="001906E4">
      <w:pPr>
        <w:spacing w:line="360" w:lineRule="auto"/>
        <w:jc w:val="both"/>
        <w:rPr>
          <w:rFonts w:ascii="Arial" w:hAnsi="Arial" w:cs="Arial"/>
        </w:rPr>
      </w:pPr>
      <w:bookmarkStart w:id="3" w:name="_Toc518907881"/>
      <w:bookmarkStart w:id="4" w:name="_Toc520196704"/>
    </w:p>
    <w:p w14:paraId="4E8BE01C" w14:textId="178B73C6" w:rsidR="003F73DC" w:rsidRPr="001906E4" w:rsidRDefault="003F73DC" w:rsidP="001906E4">
      <w:pPr>
        <w:spacing w:line="360" w:lineRule="auto"/>
        <w:jc w:val="both"/>
        <w:rPr>
          <w:rFonts w:ascii="Arial" w:hAnsi="Arial" w:cs="Arial"/>
        </w:rPr>
      </w:pPr>
      <w:r w:rsidRPr="001906E4">
        <w:rPr>
          <w:rFonts w:ascii="Arial" w:hAnsi="Arial" w:cs="Arial"/>
          <w:b/>
        </w:rPr>
        <w:t xml:space="preserve">Población Objetivo: </w:t>
      </w:r>
      <w:r w:rsidRPr="001906E4">
        <w:rPr>
          <w:rFonts w:ascii="Arial" w:hAnsi="Arial" w:cs="Arial"/>
        </w:rPr>
        <w:t>$5,815,744.87</w:t>
      </w:r>
    </w:p>
    <w:p w14:paraId="67216CC2" w14:textId="77777777" w:rsidR="003F73DC" w:rsidRPr="001906E4" w:rsidRDefault="003F73DC" w:rsidP="001906E4">
      <w:pPr>
        <w:spacing w:line="360" w:lineRule="auto"/>
        <w:jc w:val="both"/>
        <w:rPr>
          <w:rFonts w:ascii="Arial" w:hAnsi="Arial" w:cs="Arial"/>
        </w:rPr>
      </w:pPr>
    </w:p>
    <w:p w14:paraId="6FCDB522" w14:textId="1A469BA3" w:rsidR="003F73DC" w:rsidRPr="001906E4" w:rsidRDefault="003F73DC" w:rsidP="001906E4">
      <w:pPr>
        <w:spacing w:line="360" w:lineRule="auto"/>
        <w:jc w:val="both"/>
        <w:rPr>
          <w:rFonts w:ascii="Arial" w:hAnsi="Arial" w:cs="Arial"/>
        </w:rPr>
      </w:pPr>
      <w:r w:rsidRPr="001906E4">
        <w:rPr>
          <w:rFonts w:ascii="Arial" w:hAnsi="Arial" w:cs="Arial"/>
          <w:b/>
        </w:rPr>
        <w:t>Muestra Auditada:</w:t>
      </w:r>
      <w:r w:rsidRPr="001906E4">
        <w:rPr>
          <w:rFonts w:ascii="Arial" w:hAnsi="Arial" w:cs="Arial"/>
        </w:rPr>
        <w:t xml:space="preserve"> </w:t>
      </w:r>
      <w:bookmarkEnd w:id="3"/>
      <w:bookmarkEnd w:id="4"/>
      <w:r w:rsidRPr="001906E4">
        <w:rPr>
          <w:rFonts w:ascii="Arial" w:hAnsi="Arial" w:cs="Arial"/>
        </w:rPr>
        <w:t>$3,489,446.92</w:t>
      </w:r>
    </w:p>
    <w:p w14:paraId="21CD869F" w14:textId="77777777" w:rsidR="003F73DC" w:rsidRPr="001906E4" w:rsidRDefault="003F73DC" w:rsidP="001906E4">
      <w:pPr>
        <w:spacing w:line="360" w:lineRule="auto"/>
        <w:jc w:val="both"/>
        <w:rPr>
          <w:rFonts w:ascii="Arial" w:hAnsi="Arial" w:cs="Arial"/>
        </w:rPr>
      </w:pPr>
    </w:p>
    <w:p w14:paraId="1D57B42B" w14:textId="6CFF0F24" w:rsidR="007B487E" w:rsidRPr="001906E4" w:rsidRDefault="003F73DC" w:rsidP="001906E4">
      <w:pPr>
        <w:spacing w:line="360" w:lineRule="auto"/>
        <w:jc w:val="both"/>
        <w:rPr>
          <w:rFonts w:ascii="Arial" w:hAnsi="Arial" w:cs="Arial"/>
        </w:rPr>
      </w:pPr>
      <w:bookmarkStart w:id="5" w:name="_Toc518907882"/>
      <w:bookmarkStart w:id="6" w:name="_Toc520196705"/>
      <w:r w:rsidRPr="001906E4">
        <w:rPr>
          <w:rFonts w:ascii="Arial" w:hAnsi="Arial" w:cs="Arial"/>
          <w:b/>
        </w:rPr>
        <w:t>Representatividad de la Muestra:</w:t>
      </w:r>
      <w:r w:rsidRPr="001906E4">
        <w:rPr>
          <w:rFonts w:ascii="Arial" w:hAnsi="Arial" w:cs="Arial"/>
        </w:rPr>
        <w:t xml:space="preserve"> </w:t>
      </w:r>
      <w:bookmarkEnd w:id="5"/>
      <w:bookmarkEnd w:id="6"/>
      <w:r w:rsidRPr="001906E4">
        <w:rPr>
          <w:rFonts w:ascii="Arial" w:hAnsi="Arial" w:cs="Arial"/>
        </w:rPr>
        <w:t>60.00%</w:t>
      </w:r>
    </w:p>
    <w:p w14:paraId="0FF4B7B1" w14:textId="77777777" w:rsidR="003F73DC" w:rsidRPr="001906E4" w:rsidRDefault="003F73DC" w:rsidP="001906E4">
      <w:pPr>
        <w:spacing w:line="360" w:lineRule="auto"/>
        <w:jc w:val="both"/>
        <w:rPr>
          <w:rFonts w:ascii="Arial" w:hAnsi="Arial" w:cs="Arial"/>
        </w:rPr>
      </w:pPr>
    </w:p>
    <w:p w14:paraId="7368D6C1" w14:textId="7FADCAA5" w:rsidR="00E36EF8" w:rsidRDefault="00E36EF8" w:rsidP="001906E4">
      <w:pPr>
        <w:spacing w:line="360" w:lineRule="auto"/>
        <w:ind w:right="190"/>
        <w:jc w:val="both"/>
        <w:rPr>
          <w:rFonts w:ascii="Arial" w:hAnsi="Arial" w:cs="Arial"/>
        </w:rPr>
      </w:pPr>
      <w:r w:rsidRPr="001906E4">
        <w:rPr>
          <w:rFonts w:ascii="Arial" w:hAnsi="Arial" w:cs="Arial"/>
        </w:rPr>
        <w:t>Durante el ejercicio auditado, el ente fiscalizado no recibió recursos federales, por lo cual el Universo y la Población Objetivo quedaron integradas únicamente por recursos estatales.</w:t>
      </w:r>
    </w:p>
    <w:p w14:paraId="49440E6E" w14:textId="77777777" w:rsidR="001906E4" w:rsidRPr="001906E4" w:rsidRDefault="001906E4" w:rsidP="001906E4">
      <w:pPr>
        <w:spacing w:line="360" w:lineRule="auto"/>
        <w:ind w:right="190"/>
        <w:jc w:val="both"/>
        <w:rPr>
          <w:rFonts w:ascii="Arial" w:hAnsi="Arial" w:cs="Arial"/>
        </w:rPr>
      </w:pPr>
    </w:p>
    <w:p w14:paraId="5B6E0801" w14:textId="624C8574" w:rsidR="00E36EF8" w:rsidRPr="001906E4" w:rsidRDefault="00E36EF8" w:rsidP="001906E4">
      <w:pPr>
        <w:spacing w:line="360" w:lineRule="auto"/>
        <w:ind w:right="190"/>
        <w:jc w:val="both"/>
        <w:rPr>
          <w:rFonts w:ascii="Arial" w:hAnsi="Arial" w:cs="Arial"/>
        </w:rPr>
      </w:pPr>
      <w:r w:rsidRPr="001906E4">
        <w:rPr>
          <w:rFonts w:ascii="Arial" w:hAnsi="Arial" w:cs="Arial"/>
        </w:rPr>
        <w:t xml:space="preserve">La población objetivo </w:t>
      </w:r>
      <w:r w:rsidR="00C63BBC" w:rsidRPr="001906E4">
        <w:rPr>
          <w:rFonts w:ascii="Arial" w:hAnsi="Arial" w:cs="Arial"/>
        </w:rPr>
        <w:t>se determinó sobre la base de los ingresos obtenidos que forman parte del Estado de Resultados p</w:t>
      </w:r>
      <w:r w:rsidRPr="001906E4">
        <w:rPr>
          <w:rFonts w:ascii="Arial" w:hAnsi="Arial" w:cs="Arial"/>
        </w:rPr>
        <w:t>or el período comprendido del 1º de enero al 31 de diciembre de 2019</w:t>
      </w:r>
      <w:r w:rsidR="00F209DE">
        <w:rPr>
          <w:rFonts w:ascii="Arial" w:hAnsi="Arial" w:cs="Arial"/>
        </w:rPr>
        <w:t>.</w:t>
      </w:r>
    </w:p>
    <w:p w14:paraId="398F66DE" w14:textId="76C0DF26" w:rsidR="00FA7980" w:rsidRDefault="00FA7980" w:rsidP="001906E4">
      <w:pPr>
        <w:spacing w:line="360" w:lineRule="auto"/>
        <w:ind w:right="190"/>
        <w:jc w:val="both"/>
        <w:rPr>
          <w:rFonts w:ascii="Arial" w:hAnsi="Arial" w:cs="Arial"/>
        </w:rPr>
      </w:pPr>
    </w:p>
    <w:p w14:paraId="2C9C3690" w14:textId="77777777" w:rsidR="002E3E76" w:rsidRPr="001906E4" w:rsidRDefault="002E3E76" w:rsidP="001906E4">
      <w:pPr>
        <w:spacing w:line="360" w:lineRule="auto"/>
        <w:ind w:right="190"/>
        <w:jc w:val="both"/>
        <w:rPr>
          <w:rFonts w:ascii="Arial" w:hAnsi="Arial" w:cs="Arial"/>
          <w:b/>
        </w:rPr>
      </w:pPr>
    </w:p>
    <w:p w14:paraId="7DCD44F9" w14:textId="56689F15" w:rsidR="00C63BBC" w:rsidRPr="001906E4" w:rsidRDefault="00C63BBC" w:rsidP="001906E4">
      <w:pPr>
        <w:spacing w:line="360" w:lineRule="auto"/>
        <w:jc w:val="both"/>
        <w:rPr>
          <w:rFonts w:ascii="Arial" w:hAnsi="Arial" w:cs="Arial"/>
          <w:b/>
          <w:bCs/>
        </w:rPr>
      </w:pPr>
      <w:r w:rsidRPr="001906E4">
        <w:rPr>
          <w:rFonts w:ascii="Arial" w:hAnsi="Arial" w:cs="Arial"/>
          <w:b/>
          <w:bCs/>
        </w:rPr>
        <w:t>Gastos y Otras Pérdidas</w:t>
      </w:r>
    </w:p>
    <w:p w14:paraId="46DC034F" w14:textId="77777777" w:rsidR="00C63BBC" w:rsidRPr="00F209DE" w:rsidRDefault="00C63BBC" w:rsidP="001906E4">
      <w:pPr>
        <w:spacing w:line="360" w:lineRule="auto"/>
        <w:jc w:val="both"/>
        <w:rPr>
          <w:rFonts w:ascii="Arial" w:hAnsi="Arial" w:cs="Arial"/>
        </w:rPr>
      </w:pPr>
    </w:p>
    <w:p w14:paraId="0177DB79" w14:textId="083376B5" w:rsidR="00C63BBC" w:rsidRPr="001906E4" w:rsidRDefault="00C63BBC" w:rsidP="001906E4">
      <w:pPr>
        <w:spacing w:line="360" w:lineRule="auto"/>
        <w:jc w:val="both"/>
        <w:rPr>
          <w:rFonts w:ascii="Arial" w:hAnsi="Arial" w:cs="Arial"/>
        </w:rPr>
      </w:pPr>
      <w:r w:rsidRPr="001906E4">
        <w:rPr>
          <w:rFonts w:ascii="Arial" w:hAnsi="Arial" w:cs="Arial"/>
          <w:b/>
        </w:rPr>
        <w:t xml:space="preserve">Universo: </w:t>
      </w:r>
      <w:r w:rsidRPr="001906E4">
        <w:rPr>
          <w:rFonts w:ascii="Arial" w:hAnsi="Arial" w:cs="Arial"/>
        </w:rPr>
        <w:t>$310,743.09</w:t>
      </w:r>
    </w:p>
    <w:p w14:paraId="6E2B6867" w14:textId="77777777" w:rsidR="00C63BBC" w:rsidRPr="00F209DE" w:rsidRDefault="00C63BBC" w:rsidP="001906E4">
      <w:pPr>
        <w:spacing w:line="360" w:lineRule="auto"/>
        <w:jc w:val="both"/>
        <w:rPr>
          <w:rFonts w:ascii="Arial" w:hAnsi="Arial" w:cs="Arial"/>
        </w:rPr>
      </w:pPr>
    </w:p>
    <w:p w14:paraId="12512125" w14:textId="6A91BE58" w:rsidR="00C63BBC" w:rsidRPr="001906E4" w:rsidRDefault="00C63BBC" w:rsidP="001906E4">
      <w:pPr>
        <w:spacing w:line="360" w:lineRule="auto"/>
        <w:jc w:val="both"/>
        <w:rPr>
          <w:rFonts w:ascii="Arial" w:hAnsi="Arial" w:cs="Arial"/>
        </w:rPr>
      </w:pPr>
      <w:r w:rsidRPr="001906E4">
        <w:rPr>
          <w:rFonts w:ascii="Arial" w:hAnsi="Arial" w:cs="Arial"/>
          <w:b/>
        </w:rPr>
        <w:t xml:space="preserve">Población Objetivo: </w:t>
      </w:r>
      <w:r w:rsidRPr="001906E4">
        <w:rPr>
          <w:rFonts w:ascii="Arial" w:hAnsi="Arial" w:cs="Arial"/>
        </w:rPr>
        <w:t>$310,743.09</w:t>
      </w:r>
    </w:p>
    <w:p w14:paraId="4D7152D8" w14:textId="77777777" w:rsidR="00C63BBC" w:rsidRPr="00F209DE" w:rsidRDefault="00C63BBC" w:rsidP="001906E4">
      <w:pPr>
        <w:spacing w:line="360" w:lineRule="auto"/>
        <w:jc w:val="both"/>
        <w:rPr>
          <w:rFonts w:ascii="Arial" w:hAnsi="Arial" w:cs="Arial"/>
        </w:rPr>
      </w:pPr>
    </w:p>
    <w:p w14:paraId="0F841079" w14:textId="15D0CE65" w:rsidR="00C63BBC" w:rsidRPr="001906E4" w:rsidRDefault="00C63BBC" w:rsidP="001906E4">
      <w:pPr>
        <w:spacing w:line="360" w:lineRule="auto"/>
        <w:jc w:val="both"/>
        <w:rPr>
          <w:rFonts w:ascii="Arial" w:hAnsi="Arial" w:cs="Arial"/>
        </w:rPr>
      </w:pPr>
      <w:r w:rsidRPr="001906E4">
        <w:rPr>
          <w:rFonts w:ascii="Arial" w:hAnsi="Arial" w:cs="Arial"/>
          <w:b/>
        </w:rPr>
        <w:t>Muestra Auditada:</w:t>
      </w:r>
      <w:r w:rsidRPr="001906E4">
        <w:rPr>
          <w:rFonts w:ascii="Arial" w:hAnsi="Arial" w:cs="Arial"/>
        </w:rPr>
        <w:t xml:space="preserve"> $186,445.85</w:t>
      </w:r>
    </w:p>
    <w:p w14:paraId="5878A9ED" w14:textId="77777777" w:rsidR="00C63BBC" w:rsidRPr="00F209DE" w:rsidRDefault="00C63BBC" w:rsidP="001906E4">
      <w:pPr>
        <w:spacing w:line="360" w:lineRule="auto"/>
        <w:jc w:val="both"/>
        <w:rPr>
          <w:rFonts w:ascii="Arial" w:hAnsi="Arial" w:cs="Arial"/>
        </w:rPr>
      </w:pPr>
    </w:p>
    <w:p w14:paraId="281BDD3D" w14:textId="7C3B628E" w:rsidR="00C63BBC" w:rsidRPr="001906E4" w:rsidRDefault="00C63BBC" w:rsidP="001906E4">
      <w:pPr>
        <w:spacing w:line="360" w:lineRule="auto"/>
        <w:jc w:val="both"/>
        <w:rPr>
          <w:rFonts w:ascii="Arial" w:hAnsi="Arial" w:cs="Arial"/>
        </w:rPr>
      </w:pPr>
      <w:r w:rsidRPr="001906E4">
        <w:rPr>
          <w:rFonts w:ascii="Arial" w:hAnsi="Arial" w:cs="Arial"/>
          <w:b/>
        </w:rPr>
        <w:t>Representatividad de la Muestra:</w:t>
      </w:r>
      <w:r w:rsidRPr="001906E4">
        <w:rPr>
          <w:rFonts w:ascii="Arial" w:hAnsi="Arial" w:cs="Arial"/>
        </w:rPr>
        <w:t xml:space="preserve"> 60.00%</w:t>
      </w:r>
    </w:p>
    <w:p w14:paraId="61DBFB52" w14:textId="77777777" w:rsidR="00C63BBC" w:rsidRPr="00F209DE" w:rsidRDefault="00C63BBC" w:rsidP="001906E4">
      <w:pPr>
        <w:spacing w:line="360" w:lineRule="auto"/>
        <w:ind w:right="190"/>
        <w:jc w:val="both"/>
        <w:rPr>
          <w:rFonts w:ascii="Arial" w:hAnsi="Arial" w:cs="Arial"/>
          <w:b/>
        </w:rPr>
      </w:pPr>
    </w:p>
    <w:p w14:paraId="264AA488" w14:textId="55BBA3EB" w:rsidR="00E36EF8" w:rsidRDefault="00E36EF8" w:rsidP="001906E4">
      <w:pPr>
        <w:spacing w:line="360" w:lineRule="auto"/>
        <w:ind w:right="190"/>
        <w:jc w:val="both"/>
        <w:rPr>
          <w:rFonts w:ascii="Arial" w:hAnsi="Arial" w:cs="Arial"/>
        </w:rPr>
      </w:pPr>
      <w:r w:rsidRPr="001906E4">
        <w:rPr>
          <w:rFonts w:ascii="Arial" w:hAnsi="Arial" w:cs="Arial"/>
        </w:rPr>
        <w:t>Durante el ejercicio auditado, el ente fiscalizado no recibió recursos federales, por lo cual el Universo y la Población Objetivo quedaron integradas únicamente por recursos estatales.</w:t>
      </w:r>
    </w:p>
    <w:p w14:paraId="1A8C5A45" w14:textId="77777777" w:rsidR="001906E4" w:rsidRPr="00F209DE" w:rsidRDefault="001906E4" w:rsidP="001906E4">
      <w:pPr>
        <w:spacing w:line="360" w:lineRule="auto"/>
        <w:ind w:right="190"/>
        <w:jc w:val="both"/>
        <w:rPr>
          <w:rFonts w:ascii="Arial" w:hAnsi="Arial" w:cs="Arial"/>
        </w:rPr>
      </w:pPr>
    </w:p>
    <w:p w14:paraId="6CA2152B" w14:textId="119F6BC3" w:rsidR="00E36EF8" w:rsidRDefault="00E36EF8" w:rsidP="001906E4">
      <w:pPr>
        <w:spacing w:line="360" w:lineRule="auto"/>
        <w:ind w:right="190"/>
        <w:jc w:val="both"/>
        <w:rPr>
          <w:rFonts w:ascii="Arial" w:hAnsi="Arial" w:cs="Arial"/>
        </w:rPr>
      </w:pPr>
      <w:r w:rsidRPr="001906E4">
        <w:rPr>
          <w:rFonts w:ascii="Arial" w:hAnsi="Arial" w:cs="Arial"/>
        </w:rPr>
        <w:t xml:space="preserve">La población objetivo se determinó sobre la base de los gastos y otras pérdidas </w:t>
      </w:r>
      <w:r w:rsidR="00EA61A8" w:rsidRPr="001906E4">
        <w:rPr>
          <w:rFonts w:ascii="Arial" w:hAnsi="Arial" w:cs="Arial"/>
        </w:rPr>
        <w:t xml:space="preserve">que forman parte del Estado de Resultados </w:t>
      </w:r>
      <w:r w:rsidRPr="001906E4">
        <w:rPr>
          <w:rFonts w:ascii="Arial" w:hAnsi="Arial" w:cs="Arial"/>
        </w:rPr>
        <w:t>por el período comprendido del 1º de enero al 31 de diciembre de 2019</w:t>
      </w:r>
      <w:r w:rsidR="00F209DE">
        <w:rPr>
          <w:rFonts w:ascii="Arial" w:hAnsi="Arial" w:cs="Arial"/>
        </w:rPr>
        <w:t>.</w:t>
      </w:r>
    </w:p>
    <w:p w14:paraId="71DCC517" w14:textId="77777777" w:rsidR="001906E4" w:rsidRPr="00F209DE" w:rsidRDefault="001906E4" w:rsidP="001906E4">
      <w:pPr>
        <w:spacing w:line="360" w:lineRule="auto"/>
        <w:ind w:right="190"/>
        <w:jc w:val="both"/>
        <w:rPr>
          <w:rFonts w:ascii="Arial" w:hAnsi="Arial" w:cs="Arial"/>
        </w:rPr>
      </w:pPr>
    </w:p>
    <w:p w14:paraId="6231E9B8" w14:textId="788015C6" w:rsidR="00871430" w:rsidRPr="001906E4" w:rsidRDefault="00871430" w:rsidP="001906E4">
      <w:pPr>
        <w:tabs>
          <w:tab w:val="left" w:pos="9072"/>
        </w:tabs>
        <w:spacing w:line="360" w:lineRule="auto"/>
        <w:ind w:right="49"/>
        <w:jc w:val="both"/>
        <w:rPr>
          <w:rFonts w:ascii="Arial" w:hAnsi="Arial" w:cs="Arial"/>
          <w:b/>
          <w:bCs/>
        </w:rPr>
      </w:pPr>
      <w:r w:rsidRPr="001906E4">
        <w:rPr>
          <w:rFonts w:ascii="Arial" w:hAnsi="Arial" w:cs="Arial"/>
          <w:b/>
          <w:bCs/>
        </w:rPr>
        <w:t>D. Criterios de Selección</w:t>
      </w:r>
      <w:r w:rsidR="0098102A" w:rsidRPr="001906E4">
        <w:rPr>
          <w:rFonts w:ascii="Arial" w:hAnsi="Arial" w:cs="Arial"/>
          <w:b/>
          <w:bCs/>
        </w:rPr>
        <w:t xml:space="preserve">  </w:t>
      </w:r>
    </w:p>
    <w:p w14:paraId="2BE175E1" w14:textId="77777777" w:rsidR="00FA7980" w:rsidRPr="001906E4" w:rsidRDefault="00FA7980" w:rsidP="001906E4">
      <w:pPr>
        <w:tabs>
          <w:tab w:val="left" w:pos="9072"/>
        </w:tabs>
        <w:spacing w:line="360" w:lineRule="auto"/>
        <w:ind w:right="49"/>
        <w:jc w:val="both"/>
        <w:rPr>
          <w:rFonts w:ascii="Arial" w:hAnsi="Arial" w:cs="Arial"/>
          <w:b/>
          <w:bCs/>
        </w:rPr>
      </w:pPr>
    </w:p>
    <w:p w14:paraId="44242073" w14:textId="27774451" w:rsidR="00871430" w:rsidRPr="001906E4" w:rsidRDefault="00871430" w:rsidP="001906E4">
      <w:pPr>
        <w:tabs>
          <w:tab w:val="left" w:pos="9072"/>
          <w:tab w:val="left" w:pos="9498"/>
        </w:tabs>
        <w:spacing w:line="360" w:lineRule="auto"/>
        <w:ind w:right="49"/>
        <w:jc w:val="both"/>
        <w:rPr>
          <w:rFonts w:ascii="Arial" w:hAnsi="Arial" w:cs="Arial"/>
          <w:bCs/>
        </w:rPr>
      </w:pPr>
      <w:r w:rsidRPr="001906E4">
        <w:rPr>
          <w:rFonts w:ascii="Arial" w:hAnsi="Arial" w:cs="Arial"/>
          <w:bCs/>
        </w:rPr>
        <w:t>En la auditoría realizada se buscó obtener una seguridad razonable de que el objetivo y alcance planteados para la fiscalización de la entidad, respecto al cumplimiento financiero de los ingresos y otros beneficios</w:t>
      </w:r>
      <w:r w:rsidR="00FC7DD0" w:rsidRPr="001906E4">
        <w:rPr>
          <w:rFonts w:ascii="Arial" w:hAnsi="Arial" w:cs="Arial"/>
          <w:bCs/>
        </w:rPr>
        <w:t xml:space="preserve"> y gastos y otras pérdidas</w:t>
      </w:r>
      <w:r w:rsidRPr="001906E4">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974F153" w14:textId="38123406" w:rsidR="00871430" w:rsidRPr="001906E4" w:rsidRDefault="00871430" w:rsidP="001906E4">
      <w:pPr>
        <w:tabs>
          <w:tab w:val="left" w:pos="9072"/>
        </w:tabs>
        <w:spacing w:line="360" w:lineRule="auto"/>
        <w:ind w:right="49"/>
        <w:jc w:val="both"/>
        <w:rPr>
          <w:rFonts w:ascii="Arial" w:hAnsi="Arial" w:cs="Arial"/>
          <w:bCs/>
        </w:rPr>
      </w:pPr>
      <w:r w:rsidRPr="001906E4">
        <w:rPr>
          <w:rFonts w:ascii="Arial" w:hAnsi="Arial" w:cs="Arial"/>
          <w:bCs/>
        </w:rPr>
        <w:t>Para la determinación de los rubros u operaciones a revisar en la auditoría, se llevó a cabo un estudio previo de toda la información concerniente a</w:t>
      </w:r>
      <w:r w:rsidR="001E761F" w:rsidRPr="001906E4">
        <w:rPr>
          <w:rFonts w:ascii="Arial" w:hAnsi="Arial" w:cs="Arial"/>
          <w:bCs/>
        </w:rPr>
        <w:t>l fideicomiso</w:t>
      </w:r>
      <w:r w:rsidRPr="001906E4">
        <w:rPr>
          <w:rFonts w:ascii="Arial" w:hAnsi="Arial" w:cs="Arial"/>
          <w:bCs/>
        </w:rPr>
        <w:t xml:space="preserve"> </w:t>
      </w:r>
      <w:r w:rsidR="007B487E" w:rsidRPr="001906E4">
        <w:rPr>
          <w:rFonts w:ascii="Arial" w:hAnsi="Arial" w:cs="Arial"/>
          <w:b/>
        </w:rPr>
        <w:t>Fondo de Garantía Líquida o Fuente Alterna de Pago del Estado de Quintana Roo</w:t>
      </w:r>
      <w:r w:rsidRPr="001906E4">
        <w:rPr>
          <w:rFonts w:ascii="Arial" w:hAnsi="Arial" w:cs="Arial"/>
        </w:rPr>
        <w:t>,</w:t>
      </w:r>
      <w:r w:rsidRPr="001906E4">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00124295" w:rsidRPr="001906E4">
        <w:rPr>
          <w:rFonts w:ascii="Arial" w:hAnsi="Arial" w:cs="Arial"/>
          <w:bCs/>
        </w:rPr>
        <w:t xml:space="preserve">histórica </w:t>
      </w:r>
      <w:r w:rsidRPr="001906E4">
        <w:rPr>
          <w:rFonts w:ascii="Arial" w:hAnsi="Arial" w:cs="Arial"/>
          <w:bCs/>
        </w:rPr>
        <w:t>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2D629868" w14:textId="77777777" w:rsidR="00FA7980" w:rsidRPr="001906E4" w:rsidRDefault="00FA7980" w:rsidP="001906E4">
      <w:pPr>
        <w:tabs>
          <w:tab w:val="left" w:pos="9072"/>
        </w:tabs>
        <w:spacing w:line="360" w:lineRule="auto"/>
        <w:ind w:right="49"/>
        <w:jc w:val="both"/>
        <w:rPr>
          <w:rFonts w:ascii="Arial" w:hAnsi="Arial" w:cs="Arial"/>
          <w:bCs/>
        </w:rPr>
      </w:pPr>
    </w:p>
    <w:p w14:paraId="3A3AEEE1" w14:textId="162F6A9A" w:rsidR="00871430" w:rsidRPr="001906E4" w:rsidRDefault="00871430" w:rsidP="001906E4">
      <w:pPr>
        <w:tabs>
          <w:tab w:val="left" w:pos="9072"/>
        </w:tabs>
        <w:spacing w:line="360" w:lineRule="auto"/>
        <w:ind w:right="49"/>
        <w:jc w:val="both"/>
        <w:rPr>
          <w:rFonts w:ascii="Arial" w:hAnsi="Arial" w:cs="Arial"/>
          <w:bCs/>
        </w:rPr>
      </w:pPr>
      <w:r w:rsidRPr="001906E4">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w:t>
      </w:r>
      <w:r w:rsidR="00DE3BA5" w:rsidRPr="00DE3BA5">
        <w:rPr>
          <w:rFonts w:ascii="Arial" w:hAnsi="Arial" w:cs="Arial"/>
          <w:bCs/>
        </w:rPr>
        <w:t>determinándose mediante la competencia técnica y profesional   la actuación fiscalizadora, basándose</w:t>
      </w:r>
      <w:r w:rsidR="00DE3BA5" w:rsidRPr="001906E4">
        <w:rPr>
          <w:rFonts w:ascii="Arial" w:hAnsi="Arial" w:cs="Arial"/>
          <w:bCs/>
        </w:rPr>
        <w:t xml:space="preserve"> </w:t>
      </w:r>
      <w:r w:rsidRPr="001906E4">
        <w:rPr>
          <w:rFonts w:ascii="Arial" w:hAnsi="Arial" w:cs="Arial"/>
          <w:bCs/>
        </w:rPr>
        <w:t xml:space="preserve">en diversos elementos y factores que se integraron en los procedimientos de auditoría aplicados y que se reflejaron en la planeación </w:t>
      </w:r>
      <w:r w:rsidR="00C7048C" w:rsidRPr="001906E4">
        <w:rPr>
          <w:rFonts w:ascii="Arial" w:hAnsi="Arial" w:cs="Arial"/>
          <w:bCs/>
        </w:rPr>
        <w:t xml:space="preserve">genérica, la planeación </w:t>
      </w:r>
      <w:r w:rsidRPr="001906E4">
        <w:rPr>
          <w:rFonts w:ascii="Arial" w:hAnsi="Arial" w:cs="Arial"/>
          <w:bCs/>
        </w:rPr>
        <w:t>específica y el programa específico de auditoría, dando con ello cumplimiento a las etapas de planificación, programación, ejecución y elaboración de informes, estipuladas en las NPASNF.</w:t>
      </w:r>
    </w:p>
    <w:p w14:paraId="6950A73D" w14:textId="77777777" w:rsidR="00FA7980" w:rsidRPr="001906E4" w:rsidRDefault="00FA7980" w:rsidP="001906E4">
      <w:pPr>
        <w:tabs>
          <w:tab w:val="left" w:pos="9072"/>
        </w:tabs>
        <w:spacing w:line="360" w:lineRule="auto"/>
        <w:ind w:right="49"/>
        <w:jc w:val="both"/>
        <w:rPr>
          <w:rFonts w:ascii="Arial" w:hAnsi="Arial" w:cs="Arial"/>
          <w:bCs/>
        </w:rPr>
      </w:pPr>
    </w:p>
    <w:p w14:paraId="2CD15581" w14:textId="2117C5E5" w:rsidR="00871430" w:rsidRPr="001906E4" w:rsidRDefault="00871430" w:rsidP="001906E4">
      <w:pPr>
        <w:tabs>
          <w:tab w:val="left" w:pos="9072"/>
        </w:tabs>
        <w:spacing w:line="360" w:lineRule="auto"/>
        <w:ind w:right="49"/>
        <w:jc w:val="both"/>
        <w:rPr>
          <w:rFonts w:ascii="Arial" w:hAnsi="Arial" w:cs="Arial"/>
          <w:b/>
        </w:rPr>
      </w:pPr>
      <w:r w:rsidRPr="001906E4">
        <w:rPr>
          <w:rFonts w:ascii="Arial" w:hAnsi="Arial" w:cs="Arial"/>
          <w:b/>
        </w:rPr>
        <w:t>E. Áreas Revisadas</w:t>
      </w:r>
    </w:p>
    <w:p w14:paraId="280FB73D" w14:textId="77777777" w:rsidR="00FA7980" w:rsidRPr="001906E4" w:rsidRDefault="00FA7980" w:rsidP="001906E4">
      <w:pPr>
        <w:tabs>
          <w:tab w:val="left" w:pos="9072"/>
        </w:tabs>
        <w:spacing w:line="360" w:lineRule="auto"/>
        <w:ind w:right="49"/>
        <w:jc w:val="both"/>
        <w:rPr>
          <w:rFonts w:ascii="Arial" w:hAnsi="Arial" w:cs="Arial"/>
          <w:b/>
        </w:rPr>
      </w:pPr>
    </w:p>
    <w:p w14:paraId="7840B7B1" w14:textId="08EB438D" w:rsidR="001E761F" w:rsidRPr="001906E4" w:rsidRDefault="001E761F" w:rsidP="001906E4">
      <w:pPr>
        <w:widowControl w:val="0"/>
        <w:spacing w:line="360" w:lineRule="auto"/>
        <w:ind w:right="193"/>
        <w:jc w:val="both"/>
        <w:rPr>
          <w:rFonts w:ascii="Arial" w:hAnsi="Arial" w:cs="Arial"/>
          <w:bCs/>
        </w:rPr>
      </w:pPr>
      <w:r w:rsidRPr="001906E4">
        <w:rPr>
          <w:rFonts w:ascii="Arial" w:hAnsi="Arial" w:cs="Arial"/>
          <w:color w:val="000000"/>
        </w:rPr>
        <w:t>El</w:t>
      </w:r>
      <w:r w:rsidRPr="001906E4">
        <w:rPr>
          <w:rFonts w:ascii="Arial" w:hAnsi="Arial" w:cs="Arial"/>
        </w:rPr>
        <w:t xml:space="preserve"> fideicomiso </w:t>
      </w:r>
      <w:r w:rsidRPr="001906E4">
        <w:rPr>
          <w:rFonts w:ascii="Arial" w:hAnsi="Arial" w:cs="Arial"/>
          <w:b/>
          <w:color w:val="000000"/>
        </w:rPr>
        <w:t xml:space="preserve">Fondo de Garantía Líquida o Fuente Alterna de Pago </w:t>
      </w:r>
      <w:r w:rsidRPr="001906E4">
        <w:rPr>
          <w:rFonts w:ascii="Arial" w:hAnsi="Arial" w:cs="Arial"/>
          <w:b/>
          <w:bCs/>
        </w:rPr>
        <w:t xml:space="preserve">del Estado de Quintana Roo, </w:t>
      </w:r>
      <w:r w:rsidRPr="001906E4">
        <w:rPr>
          <w:rFonts w:ascii="Arial" w:hAnsi="Arial" w:cs="Arial"/>
          <w:bCs/>
        </w:rPr>
        <w:t>no cuenta con estructura orgánica.</w:t>
      </w:r>
    </w:p>
    <w:p w14:paraId="606C1EC9" w14:textId="77777777" w:rsidR="00325998" w:rsidRPr="001906E4" w:rsidRDefault="00325998" w:rsidP="001906E4">
      <w:pPr>
        <w:spacing w:line="360" w:lineRule="auto"/>
        <w:jc w:val="both"/>
        <w:rPr>
          <w:rFonts w:ascii="Arial" w:hAnsi="Arial" w:cs="Arial"/>
          <w:b/>
        </w:rPr>
      </w:pPr>
      <w:r w:rsidRPr="001906E4">
        <w:rPr>
          <w:rFonts w:ascii="Arial" w:hAnsi="Arial" w:cs="Arial"/>
          <w:b/>
        </w:rPr>
        <w:t>F. Procedimientos de Auditoría Aplicados</w:t>
      </w:r>
    </w:p>
    <w:p w14:paraId="2EE5E634" w14:textId="77777777" w:rsidR="00325998" w:rsidRPr="001906E4" w:rsidRDefault="00325998" w:rsidP="001906E4">
      <w:pPr>
        <w:spacing w:line="360" w:lineRule="auto"/>
        <w:jc w:val="both"/>
        <w:rPr>
          <w:rFonts w:ascii="Arial" w:hAnsi="Arial" w:cs="Arial"/>
          <w:b/>
        </w:rPr>
      </w:pPr>
    </w:p>
    <w:p w14:paraId="44BD22EB" w14:textId="77777777" w:rsidR="00325998" w:rsidRPr="001906E4" w:rsidRDefault="00325998" w:rsidP="001906E4">
      <w:pPr>
        <w:tabs>
          <w:tab w:val="left" w:pos="9498"/>
        </w:tabs>
        <w:spacing w:line="360" w:lineRule="auto"/>
        <w:ind w:right="190"/>
        <w:jc w:val="both"/>
        <w:rPr>
          <w:rFonts w:ascii="Arial" w:hAnsi="Arial" w:cs="Arial"/>
          <w:bCs/>
        </w:rPr>
      </w:pPr>
      <w:r w:rsidRPr="001906E4">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26F17CE5" w14:textId="77777777" w:rsidR="00325998" w:rsidRPr="001906E4" w:rsidRDefault="00325998" w:rsidP="001906E4">
      <w:pPr>
        <w:spacing w:line="360" w:lineRule="auto"/>
        <w:jc w:val="both"/>
        <w:rPr>
          <w:rFonts w:ascii="Arial" w:hAnsi="Arial" w:cs="Arial"/>
          <w:bCs/>
        </w:rPr>
      </w:pPr>
    </w:p>
    <w:p w14:paraId="195129C5" w14:textId="77777777" w:rsidR="00325998" w:rsidRPr="001906E4" w:rsidRDefault="00325998" w:rsidP="001906E4">
      <w:pPr>
        <w:spacing w:line="360" w:lineRule="auto"/>
        <w:ind w:right="190"/>
        <w:jc w:val="both"/>
        <w:rPr>
          <w:rFonts w:ascii="Arial" w:hAnsi="Arial" w:cs="Arial"/>
          <w:bCs/>
        </w:rPr>
      </w:pPr>
      <w:r w:rsidRPr="001906E4">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59BC3678" w14:textId="77777777" w:rsidR="00325998" w:rsidRPr="001906E4" w:rsidRDefault="00325998" w:rsidP="001906E4">
      <w:pPr>
        <w:spacing w:line="360" w:lineRule="auto"/>
        <w:jc w:val="both"/>
        <w:rPr>
          <w:rFonts w:ascii="Arial" w:hAnsi="Arial" w:cs="Arial"/>
          <w:bCs/>
        </w:rPr>
      </w:pPr>
    </w:p>
    <w:p w14:paraId="24827382" w14:textId="77777777" w:rsidR="00325998" w:rsidRPr="001906E4" w:rsidRDefault="00325998" w:rsidP="001906E4">
      <w:pPr>
        <w:spacing w:line="360" w:lineRule="auto"/>
        <w:ind w:right="190"/>
        <w:jc w:val="both"/>
        <w:rPr>
          <w:rFonts w:ascii="Arial" w:hAnsi="Arial" w:cs="Arial"/>
          <w:bCs/>
        </w:rPr>
      </w:pPr>
      <w:r w:rsidRPr="001906E4">
        <w:rPr>
          <w:rFonts w:ascii="Arial" w:hAnsi="Arial" w:cs="Arial"/>
          <w:bCs/>
        </w:rPr>
        <w:t xml:space="preserve">Las técnicas para obtener la evidencia de auditoría incluyeron el estudio general, inspección, observación, indagación, confirmación, </w:t>
      </w:r>
      <w:proofErr w:type="spellStart"/>
      <w:r w:rsidRPr="001906E4">
        <w:rPr>
          <w:rFonts w:ascii="Arial" w:hAnsi="Arial" w:cs="Arial"/>
          <w:bCs/>
        </w:rPr>
        <w:t>recálculo</w:t>
      </w:r>
      <w:proofErr w:type="spellEnd"/>
      <w:r w:rsidRPr="001906E4">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8918BEC" w14:textId="77777777" w:rsidR="00325998" w:rsidRPr="001906E4" w:rsidRDefault="00325998" w:rsidP="008100A1">
      <w:pPr>
        <w:spacing w:line="360" w:lineRule="auto"/>
        <w:ind w:right="190"/>
        <w:jc w:val="both"/>
        <w:rPr>
          <w:rFonts w:ascii="Arial" w:hAnsi="Arial" w:cs="Arial"/>
          <w:bCs/>
        </w:rPr>
      </w:pPr>
      <w:r w:rsidRPr="001906E4">
        <w:rPr>
          <w:rFonts w:ascii="Arial" w:hAnsi="Arial" w:cs="Arial"/>
          <w:bCs/>
        </w:rPr>
        <w:t>Los procedimientos de auditoría aplicados para obtener evidencia de auditoría suficiente, competente, pertinente y relevante, correspondieron a:</w:t>
      </w:r>
    </w:p>
    <w:p w14:paraId="52B184F8" w14:textId="77777777" w:rsidR="00325998" w:rsidRPr="001906E4" w:rsidRDefault="00325998" w:rsidP="008100A1">
      <w:pPr>
        <w:spacing w:line="360" w:lineRule="auto"/>
        <w:jc w:val="both"/>
        <w:rPr>
          <w:rFonts w:ascii="Arial" w:hAnsi="Arial" w:cs="Arial"/>
          <w:bCs/>
        </w:rPr>
      </w:pPr>
    </w:p>
    <w:p w14:paraId="7FCF35B6" w14:textId="18076D03" w:rsidR="001E761F" w:rsidRPr="001906E4" w:rsidRDefault="001E761F" w:rsidP="008100A1">
      <w:pPr>
        <w:pStyle w:val="Prrafodelista"/>
        <w:numPr>
          <w:ilvl w:val="0"/>
          <w:numId w:val="25"/>
        </w:numPr>
        <w:spacing w:line="360" w:lineRule="auto"/>
        <w:ind w:left="284" w:right="193" w:hanging="284"/>
        <w:jc w:val="both"/>
        <w:rPr>
          <w:rFonts w:ascii="Arial" w:hAnsi="Arial" w:cs="Arial"/>
          <w:bCs/>
        </w:rPr>
      </w:pPr>
      <w:r w:rsidRPr="001906E4">
        <w:rPr>
          <w:rFonts w:ascii="Arial" w:hAnsi="Arial" w:cs="Arial"/>
          <w:bCs/>
        </w:rPr>
        <w:t xml:space="preserve">Verificar que las cuentas bancarias se encuentren registradas en </w:t>
      </w:r>
      <w:r w:rsidR="0007352B">
        <w:rPr>
          <w:rFonts w:ascii="Arial" w:hAnsi="Arial" w:cs="Arial"/>
          <w:bCs/>
        </w:rPr>
        <w:t xml:space="preserve">la </w:t>
      </w:r>
      <w:r w:rsidRPr="001906E4">
        <w:rPr>
          <w:rFonts w:ascii="Arial" w:hAnsi="Arial" w:cs="Arial"/>
          <w:bCs/>
        </w:rPr>
        <w:t>contabilidad.</w:t>
      </w:r>
    </w:p>
    <w:p w14:paraId="3D4EAF4F" w14:textId="77777777" w:rsidR="00325998" w:rsidRPr="001906E4" w:rsidRDefault="00325998" w:rsidP="008100A1">
      <w:pPr>
        <w:pStyle w:val="Prrafodelista"/>
        <w:spacing w:line="360" w:lineRule="auto"/>
        <w:ind w:left="284" w:right="193"/>
        <w:jc w:val="both"/>
        <w:rPr>
          <w:rFonts w:ascii="Arial" w:hAnsi="Arial" w:cs="Arial"/>
          <w:bCs/>
        </w:rPr>
      </w:pPr>
    </w:p>
    <w:p w14:paraId="4B4C96E7" w14:textId="1AA10809" w:rsidR="001E761F" w:rsidRPr="001906E4" w:rsidRDefault="001E761F" w:rsidP="008100A1">
      <w:pPr>
        <w:pStyle w:val="Prrafodelista"/>
        <w:numPr>
          <w:ilvl w:val="0"/>
          <w:numId w:val="25"/>
        </w:numPr>
        <w:spacing w:line="360" w:lineRule="auto"/>
        <w:ind w:left="284" w:right="193" w:hanging="284"/>
        <w:jc w:val="both"/>
        <w:rPr>
          <w:rFonts w:ascii="Arial" w:hAnsi="Arial" w:cs="Arial"/>
          <w:bCs/>
        </w:rPr>
      </w:pPr>
      <w:r w:rsidRPr="001906E4">
        <w:rPr>
          <w:rFonts w:ascii="Arial" w:hAnsi="Arial" w:cs="Arial"/>
          <w:bCs/>
        </w:rPr>
        <w:t>Verificar que todas las cuentas bancarias registradas en estados financieros se encuentren activas.</w:t>
      </w:r>
    </w:p>
    <w:p w14:paraId="61FD657C" w14:textId="77777777" w:rsidR="00325998" w:rsidRPr="001906E4" w:rsidRDefault="00325998" w:rsidP="008100A1">
      <w:pPr>
        <w:pStyle w:val="Prrafodelista"/>
        <w:spacing w:line="360" w:lineRule="auto"/>
        <w:jc w:val="both"/>
        <w:rPr>
          <w:rFonts w:ascii="Arial" w:hAnsi="Arial" w:cs="Arial"/>
          <w:bCs/>
        </w:rPr>
      </w:pPr>
    </w:p>
    <w:p w14:paraId="54460BA3" w14:textId="29023471" w:rsidR="001E761F" w:rsidRPr="001906E4" w:rsidRDefault="001E761F" w:rsidP="008100A1">
      <w:pPr>
        <w:pStyle w:val="Prrafodelista"/>
        <w:numPr>
          <w:ilvl w:val="0"/>
          <w:numId w:val="25"/>
        </w:numPr>
        <w:spacing w:line="360" w:lineRule="auto"/>
        <w:ind w:left="284" w:right="193" w:hanging="284"/>
        <w:jc w:val="both"/>
        <w:rPr>
          <w:rFonts w:ascii="Arial" w:hAnsi="Arial" w:cs="Arial"/>
          <w:bCs/>
        </w:rPr>
      </w:pPr>
      <w:r w:rsidRPr="001906E4">
        <w:rPr>
          <w:rFonts w:ascii="Arial" w:hAnsi="Arial" w:cs="Arial"/>
          <w:bCs/>
        </w:rPr>
        <w:t xml:space="preserve">Verificar que los intereses, comisiones o cargos en cuentas de cheques e inversiones se encuentren registrados en </w:t>
      </w:r>
      <w:r w:rsidR="0007352B">
        <w:rPr>
          <w:rFonts w:ascii="Arial" w:hAnsi="Arial" w:cs="Arial"/>
          <w:bCs/>
        </w:rPr>
        <w:t xml:space="preserve">la </w:t>
      </w:r>
      <w:r w:rsidRPr="001906E4">
        <w:rPr>
          <w:rFonts w:ascii="Arial" w:hAnsi="Arial" w:cs="Arial"/>
          <w:bCs/>
        </w:rPr>
        <w:t>contabilidad.</w:t>
      </w:r>
    </w:p>
    <w:p w14:paraId="78E2A9C9" w14:textId="77777777" w:rsidR="00325998" w:rsidRPr="001906E4" w:rsidRDefault="00325998" w:rsidP="008100A1">
      <w:pPr>
        <w:pStyle w:val="Prrafodelista"/>
        <w:spacing w:line="360" w:lineRule="auto"/>
        <w:jc w:val="both"/>
        <w:rPr>
          <w:rFonts w:ascii="Arial" w:hAnsi="Arial" w:cs="Arial"/>
          <w:bCs/>
        </w:rPr>
      </w:pPr>
    </w:p>
    <w:p w14:paraId="1E393F63" w14:textId="0D364678" w:rsidR="001E761F" w:rsidRPr="001906E4" w:rsidRDefault="00325998" w:rsidP="008100A1">
      <w:pPr>
        <w:pStyle w:val="Prrafodelista"/>
        <w:numPr>
          <w:ilvl w:val="0"/>
          <w:numId w:val="25"/>
        </w:numPr>
        <w:spacing w:line="360" w:lineRule="auto"/>
        <w:ind w:left="284" w:right="193" w:hanging="284"/>
        <w:jc w:val="both"/>
        <w:rPr>
          <w:rFonts w:ascii="Arial" w:hAnsi="Arial" w:cs="Arial"/>
          <w:bCs/>
        </w:rPr>
      </w:pPr>
      <w:r w:rsidRPr="001906E4">
        <w:rPr>
          <w:rFonts w:ascii="Arial" w:hAnsi="Arial" w:cs="Arial"/>
          <w:bCs/>
        </w:rPr>
        <w:t>Revisar</w:t>
      </w:r>
      <w:r w:rsidR="001E761F" w:rsidRPr="001906E4">
        <w:rPr>
          <w:rFonts w:ascii="Arial" w:hAnsi="Arial" w:cs="Arial"/>
          <w:bCs/>
        </w:rPr>
        <w:t xml:space="preserve"> la efectividad de las normas o lineamientos para el otorgamiento, control y recuperación de los recursos.</w:t>
      </w:r>
    </w:p>
    <w:p w14:paraId="2ADD611C" w14:textId="77777777" w:rsidR="00325998" w:rsidRPr="001906E4" w:rsidRDefault="00325998" w:rsidP="008100A1">
      <w:pPr>
        <w:pStyle w:val="Prrafodelista"/>
        <w:spacing w:line="360" w:lineRule="auto"/>
        <w:jc w:val="both"/>
        <w:rPr>
          <w:rFonts w:ascii="Arial" w:hAnsi="Arial" w:cs="Arial"/>
          <w:bCs/>
        </w:rPr>
      </w:pPr>
    </w:p>
    <w:p w14:paraId="15418445" w14:textId="1603E688" w:rsidR="001E761F" w:rsidRPr="001906E4" w:rsidRDefault="001E761F" w:rsidP="008100A1">
      <w:pPr>
        <w:pStyle w:val="Prrafodelista"/>
        <w:numPr>
          <w:ilvl w:val="0"/>
          <w:numId w:val="25"/>
        </w:numPr>
        <w:spacing w:line="360" w:lineRule="auto"/>
        <w:ind w:left="284" w:right="193" w:hanging="284"/>
        <w:jc w:val="both"/>
        <w:rPr>
          <w:rFonts w:ascii="Arial" w:hAnsi="Arial" w:cs="Arial"/>
          <w:bCs/>
        </w:rPr>
      </w:pPr>
      <w:r w:rsidRPr="001906E4">
        <w:rPr>
          <w:rFonts w:ascii="Arial" w:hAnsi="Arial" w:cs="Arial"/>
          <w:bCs/>
        </w:rPr>
        <w:t>Verificar que se cuente con un sistema contable que cumpla con las normas establecidas por el CONAC.</w:t>
      </w:r>
    </w:p>
    <w:p w14:paraId="54D1EFA7" w14:textId="77777777" w:rsidR="00325998" w:rsidRPr="001906E4" w:rsidRDefault="00325998" w:rsidP="008100A1">
      <w:pPr>
        <w:pStyle w:val="Prrafodelista"/>
        <w:spacing w:line="360" w:lineRule="auto"/>
        <w:jc w:val="both"/>
        <w:rPr>
          <w:rFonts w:ascii="Arial" w:hAnsi="Arial" w:cs="Arial"/>
          <w:bCs/>
        </w:rPr>
      </w:pPr>
    </w:p>
    <w:p w14:paraId="0D7C139A" w14:textId="1C9C56B5" w:rsidR="001E761F" w:rsidRPr="001906E4" w:rsidRDefault="001E761F" w:rsidP="008100A1">
      <w:pPr>
        <w:pStyle w:val="Prrafodelista"/>
        <w:numPr>
          <w:ilvl w:val="0"/>
          <w:numId w:val="25"/>
        </w:numPr>
        <w:spacing w:line="360" w:lineRule="auto"/>
        <w:ind w:left="284" w:right="193" w:hanging="284"/>
        <w:jc w:val="both"/>
        <w:rPr>
          <w:rFonts w:ascii="Arial" w:hAnsi="Arial" w:cs="Arial"/>
          <w:bCs/>
        </w:rPr>
      </w:pPr>
      <w:r w:rsidRPr="001906E4">
        <w:rPr>
          <w:rFonts w:ascii="Arial" w:hAnsi="Arial" w:cs="Arial"/>
          <w:bCs/>
        </w:rPr>
        <w:t>Verificar que la documentación comprobatoria cumpla con los requisitos fiscales, corresponda al ejercicio sujeto a revisión, que no se encuentre alterada, apócrifa y en su caso, esté debidamente sellada con la identificación del origen de los recursos y ejercicio fiscal correspondiente.</w:t>
      </w:r>
    </w:p>
    <w:p w14:paraId="1B104CC7" w14:textId="77777777" w:rsidR="00325998" w:rsidRPr="001906E4" w:rsidRDefault="00325998" w:rsidP="008100A1">
      <w:pPr>
        <w:pStyle w:val="Prrafodelista"/>
        <w:spacing w:line="360" w:lineRule="auto"/>
        <w:jc w:val="both"/>
        <w:rPr>
          <w:rFonts w:ascii="Arial" w:hAnsi="Arial" w:cs="Arial"/>
          <w:bCs/>
          <w:highlight w:val="yellow"/>
        </w:rPr>
      </w:pPr>
    </w:p>
    <w:p w14:paraId="6C08A7D3" w14:textId="0077A60B" w:rsidR="001E761F" w:rsidRPr="001906E4" w:rsidRDefault="001E761F" w:rsidP="008100A1">
      <w:pPr>
        <w:pStyle w:val="Prrafodelista"/>
        <w:numPr>
          <w:ilvl w:val="0"/>
          <w:numId w:val="25"/>
        </w:numPr>
        <w:spacing w:line="360" w:lineRule="auto"/>
        <w:ind w:left="284" w:right="193" w:hanging="284"/>
        <w:jc w:val="both"/>
        <w:rPr>
          <w:rFonts w:ascii="Arial" w:hAnsi="Arial" w:cs="Arial"/>
          <w:bCs/>
        </w:rPr>
      </w:pPr>
      <w:r w:rsidRPr="001906E4">
        <w:rPr>
          <w:rFonts w:ascii="Arial" w:hAnsi="Arial" w:cs="Arial"/>
          <w:bCs/>
        </w:rPr>
        <w:t xml:space="preserve">Revisar el origen, destino, comprobación y justificación del gasto, y que </w:t>
      </w:r>
      <w:r w:rsidR="006165E1">
        <w:rPr>
          <w:rFonts w:ascii="Arial" w:hAnsi="Arial" w:cs="Arial"/>
          <w:bCs/>
        </w:rPr>
        <w:t xml:space="preserve">estos </w:t>
      </w:r>
      <w:r w:rsidRPr="001906E4">
        <w:rPr>
          <w:rFonts w:ascii="Arial" w:hAnsi="Arial" w:cs="Arial"/>
          <w:bCs/>
        </w:rPr>
        <w:t>se</w:t>
      </w:r>
      <w:r w:rsidR="006165E1">
        <w:rPr>
          <w:rFonts w:ascii="Arial" w:hAnsi="Arial" w:cs="Arial"/>
          <w:bCs/>
        </w:rPr>
        <w:t xml:space="preserve"> hayan</w:t>
      </w:r>
      <w:r w:rsidRPr="001906E4">
        <w:rPr>
          <w:rFonts w:ascii="Arial" w:hAnsi="Arial" w:cs="Arial"/>
          <w:bCs/>
        </w:rPr>
        <w:t xml:space="preserve"> </w:t>
      </w:r>
      <w:r w:rsidR="0007352B">
        <w:rPr>
          <w:rFonts w:ascii="Arial" w:hAnsi="Arial" w:cs="Arial"/>
          <w:bCs/>
        </w:rPr>
        <w:t>ejerci</w:t>
      </w:r>
      <w:r w:rsidR="006165E1">
        <w:rPr>
          <w:rFonts w:ascii="Arial" w:hAnsi="Arial" w:cs="Arial"/>
          <w:bCs/>
        </w:rPr>
        <w:t>do</w:t>
      </w:r>
      <w:r w:rsidR="0007352B">
        <w:rPr>
          <w:rFonts w:ascii="Arial" w:hAnsi="Arial" w:cs="Arial"/>
          <w:bCs/>
        </w:rPr>
        <w:t xml:space="preserve"> </w:t>
      </w:r>
      <w:r w:rsidRPr="001906E4">
        <w:rPr>
          <w:rFonts w:ascii="Arial" w:hAnsi="Arial" w:cs="Arial"/>
          <w:bCs/>
        </w:rPr>
        <w:t>con eficacia, eficiencia, austeridad y racionalidad presupuestaria.</w:t>
      </w:r>
    </w:p>
    <w:p w14:paraId="290C5CD3" w14:textId="77777777" w:rsidR="00325998" w:rsidRPr="001906E4" w:rsidRDefault="00325998" w:rsidP="008100A1">
      <w:pPr>
        <w:pStyle w:val="Prrafodelista"/>
        <w:spacing w:line="360" w:lineRule="auto"/>
        <w:jc w:val="both"/>
        <w:rPr>
          <w:rFonts w:ascii="Arial" w:hAnsi="Arial" w:cs="Arial"/>
          <w:bCs/>
        </w:rPr>
      </w:pPr>
    </w:p>
    <w:p w14:paraId="2C49E1CD" w14:textId="5B8BB815" w:rsidR="00871430" w:rsidRPr="001906E4" w:rsidRDefault="00871430" w:rsidP="008100A1">
      <w:pPr>
        <w:tabs>
          <w:tab w:val="left" w:pos="9072"/>
        </w:tabs>
        <w:spacing w:line="360" w:lineRule="auto"/>
        <w:ind w:right="49"/>
        <w:jc w:val="both"/>
        <w:rPr>
          <w:rFonts w:ascii="Arial" w:hAnsi="Arial" w:cs="Arial"/>
          <w:bCs/>
        </w:rPr>
      </w:pPr>
      <w:r w:rsidRPr="001906E4">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153E20C8" w14:textId="5F9082D9" w:rsidR="008B32E9" w:rsidRPr="001906E4" w:rsidRDefault="008B32E9" w:rsidP="008100A1">
      <w:pPr>
        <w:spacing w:line="360" w:lineRule="auto"/>
        <w:ind w:right="190"/>
        <w:jc w:val="both"/>
        <w:rPr>
          <w:rFonts w:ascii="Arial" w:hAnsi="Arial" w:cs="Arial"/>
          <w:b/>
        </w:rPr>
      </w:pPr>
      <w:r w:rsidRPr="001906E4">
        <w:rPr>
          <w:rFonts w:ascii="Arial" w:hAnsi="Arial" w:cs="Arial"/>
          <w:b/>
        </w:rPr>
        <w:t xml:space="preserve">G. </w:t>
      </w:r>
      <w:r w:rsidR="00DE3BA5" w:rsidRPr="00DE3BA5">
        <w:rPr>
          <w:rFonts w:ascii="Arial" w:hAnsi="Arial" w:cs="Arial"/>
          <w:b/>
        </w:rPr>
        <w:t>Servidores Públicos que intervinieron en la Auditoría</w:t>
      </w:r>
    </w:p>
    <w:p w14:paraId="0B7C4BD6" w14:textId="77777777" w:rsidR="008B32E9" w:rsidRPr="001906E4" w:rsidRDefault="008B32E9" w:rsidP="008100A1">
      <w:pPr>
        <w:spacing w:line="360" w:lineRule="auto"/>
        <w:ind w:right="190"/>
        <w:jc w:val="both"/>
        <w:rPr>
          <w:rFonts w:ascii="Arial" w:hAnsi="Arial" w:cs="Arial"/>
          <w:bCs/>
        </w:rPr>
      </w:pPr>
    </w:p>
    <w:p w14:paraId="3A76068B" w14:textId="570FC102" w:rsidR="008B32E9" w:rsidRPr="001906E4" w:rsidRDefault="008B32E9" w:rsidP="008100A1">
      <w:pPr>
        <w:spacing w:line="360" w:lineRule="auto"/>
        <w:ind w:right="190"/>
        <w:jc w:val="both"/>
        <w:rPr>
          <w:rFonts w:ascii="Arial" w:hAnsi="Arial" w:cs="Arial"/>
          <w:bCs/>
        </w:rPr>
      </w:pPr>
      <w:r w:rsidRPr="001906E4">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00DE3BA5" w:rsidRPr="00DE3BA5">
        <w:rPr>
          <w:rFonts w:ascii="Arial" w:hAnsi="Arial" w:cs="Arial"/>
          <w:bCs/>
        </w:rPr>
        <w:t>se encuentra referido en la orden emitida con oficio número ASEQROO/ASE/AEMF/0606/08/2020, siendo los servidores públicos a cargo de coordinar y supervisar la auditoría, los siguientes:</w:t>
      </w:r>
    </w:p>
    <w:p w14:paraId="5CE5C601" w14:textId="77777777" w:rsidR="008B32E9" w:rsidRPr="001906E4" w:rsidRDefault="008B32E9" w:rsidP="001906E4">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B32E9" w:rsidRPr="001906E4" w14:paraId="06DA5CEF" w14:textId="77777777" w:rsidTr="008168D1">
        <w:trPr>
          <w:tblHeader/>
          <w:jc w:val="center"/>
        </w:trPr>
        <w:tc>
          <w:tcPr>
            <w:tcW w:w="6374" w:type="dxa"/>
            <w:shd w:val="clear" w:color="auto" w:fill="D0CECE" w:themeFill="background2" w:themeFillShade="E6"/>
          </w:tcPr>
          <w:p w14:paraId="75EA0773" w14:textId="77777777" w:rsidR="008B32E9" w:rsidRPr="001906E4" w:rsidRDefault="008B32E9" w:rsidP="001906E4">
            <w:pPr>
              <w:spacing w:line="360" w:lineRule="auto"/>
              <w:jc w:val="both"/>
              <w:rPr>
                <w:rFonts w:ascii="Arial" w:hAnsi="Arial" w:cs="Arial"/>
                <w:b/>
                <w:bCs/>
              </w:rPr>
            </w:pPr>
            <w:r w:rsidRPr="001906E4">
              <w:rPr>
                <w:rFonts w:ascii="Arial" w:hAnsi="Arial" w:cs="Arial"/>
                <w:bCs/>
              </w:rPr>
              <w:t xml:space="preserve"> </w:t>
            </w:r>
            <w:r w:rsidRPr="001906E4">
              <w:rPr>
                <w:rFonts w:ascii="Arial" w:hAnsi="Arial" w:cs="Arial"/>
                <w:b/>
                <w:bCs/>
              </w:rPr>
              <w:t>Nombre</w:t>
            </w:r>
          </w:p>
        </w:tc>
        <w:tc>
          <w:tcPr>
            <w:tcW w:w="2977" w:type="dxa"/>
            <w:shd w:val="clear" w:color="auto" w:fill="D0CECE" w:themeFill="background2" w:themeFillShade="E6"/>
          </w:tcPr>
          <w:p w14:paraId="2E2CC6FB" w14:textId="77777777" w:rsidR="008B32E9" w:rsidRPr="001906E4" w:rsidRDefault="008B32E9" w:rsidP="001906E4">
            <w:pPr>
              <w:spacing w:line="360" w:lineRule="auto"/>
              <w:jc w:val="both"/>
              <w:rPr>
                <w:rFonts w:ascii="Arial" w:hAnsi="Arial" w:cs="Arial"/>
                <w:b/>
                <w:bCs/>
              </w:rPr>
            </w:pPr>
            <w:r w:rsidRPr="001906E4">
              <w:rPr>
                <w:rFonts w:ascii="Arial" w:hAnsi="Arial" w:cs="Arial"/>
                <w:b/>
                <w:bCs/>
              </w:rPr>
              <w:t>Cargo</w:t>
            </w:r>
          </w:p>
        </w:tc>
      </w:tr>
      <w:tr w:rsidR="005D5A09" w:rsidRPr="001906E4" w14:paraId="3F1E0ED2" w14:textId="77777777" w:rsidTr="008168D1">
        <w:trPr>
          <w:jc w:val="center"/>
        </w:trPr>
        <w:tc>
          <w:tcPr>
            <w:tcW w:w="6374" w:type="dxa"/>
            <w:shd w:val="clear" w:color="auto" w:fill="auto"/>
          </w:tcPr>
          <w:p w14:paraId="022BF6D3" w14:textId="461AA0B8" w:rsidR="005D5A09" w:rsidRPr="001906E4" w:rsidRDefault="005D5A09" w:rsidP="001906E4">
            <w:pPr>
              <w:spacing w:line="360" w:lineRule="auto"/>
              <w:jc w:val="both"/>
              <w:rPr>
                <w:rFonts w:ascii="Arial" w:hAnsi="Arial" w:cs="Arial"/>
                <w:bCs/>
              </w:rPr>
            </w:pPr>
            <w:r w:rsidRPr="001906E4">
              <w:rPr>
                <w:rFonts w:ascii="Arial" w:hAnsi="Arial" w:cs="Arial"/>
                <w:bCs/>
              </w:rPr>
              <w:t>L.C. Víctor Antonio Medina Navarrete</w:t>
            </w:r>
          </w:p>
        </w:tc>
        <w:tc>
          <w:tcPr>
            <w:tcW w:w="2977" w:type="dxa"/>
            <w:shd w:val="clear" w:color="auto" w:fill="auto"/>
          </w:tcPr>
          <w:p w14:paraId="6BA8A064" w14:textId="0B1CB04D" w:rsidR="005D5A09" w:rsidRPr="001906E4" w:rsidRDefault="005D5A09" w:rsidP="001906E4">
            <w:pPr>
              <w:spacing w:line="360" w:lineRule="auto"/>
              <w:jc w:val="both"/>
              <w:rPr>
                <w:rFonts w:ascii="Arial" w:hAnsi="Arial" w:cs="Arial"/>
                <w:bCs/>
              </w:rPr>
            </w:pPr>
            <w:r w:rsidRPr="001906E4">
              <w:rPr>
                <w:rFonts w:ascii="Arial" w:hAnsi="Arial" w:cs="Arial"/>
                <w:bCs/>
              </w:rPr>
              <w:t>Coordinador</w:t>
            </w:r>
          </w:p>
        </w:tc>
      </w:tr>
      <w:tr w:rsidR="005D5A09" w:rsidRPr="001906E4" w14:paraId="4D501BA0" w14:textId="77777777" w:rsidTr="008168D1">
        <w:trPr>
          <w:jc w:val="center"/>
        </w:trPr>
        <w:tc>
          <w:tcPr>
            <w:tcW w:w="6374" w:type="dxa"/>
            <w:shd w:val="clear" w:color="auto" w:fill="auto"/>
          </w:tcPr>
          <w:p w14:paraId="7F2B6DD2" w14:textId="465BC4D3" w:rsidR="005D5A09" w:rsidRPr="001906E4" w:rsidRDefault="005D5A09" w:rsidP="001906E4">
            <w:pPr>
              <w:spacing w:line="360" w:lineRule="auto"/>
              <w:jc w:val="both"/>
              <w:rPr>
                <w:rFonts w:ascii="Arial" w:hAnsi="Arial" w:cs="Arial"/>
                <w:bCs/>
              </w:rPr>
            </w:pPr>
            <w:r w:rsidRPr="001906E4">
              <w:rPr>
                <w:rFonts w:ascii="Arial" w:hAnsi="Arial" w:cs="Arial"/>
                <w:bCs/>
              </w:rPr>
              <w:t>L.C. María Victoria Ochoa Muñoz</w:t>
            </w:r>
          </w:p>
        </w:tc>
        <w:tc>
          <w:tcPr>
            <w:tcW w:w="2977" w:type="dxa"/>
            <w:shd w:val="clear" w:color="auto" w:fill="auto"/>
          </w:tcPr>
          <w:p w14:paraId="402101D5" w14:textId="4E2E6B91" w:rsidR="005D5A09" w:rsidRPr="001906E4" w:rsidRDefault="005D5A09" w:rsidP="001906E4">
            <w:pPr>
              <w:spacing w:line="360" w:lineRule="auto"/>
              <w:jc w:val="both"/>
              <w:rPr>
                <w:rFonts w:ascii="Arial" w:hAnsi="Arial" w:cs="Arial"/>
                <w:bCs/>
              </w:rPr>
            </w:pPr>
            <w:r w:rsidRPr="001906E4">
              <w:rPr>
                <w:rFonts w:ascii="Arial" w:hAnsi="Arial" w:cs="Arial"/>
                <w:bCs/>
              </w:rPr>
              <w:t>Supervisor</w:t>
            </w:r>
          </w:p>
        </w:tc>
      </w:tr>
    </w:tbl>
    <w:p w14:paraId="15409B66" w14:textId="7644EE1B" w:rsidR="008B32E9" w:rsidRPr="00F209DE" w:rsidRDefault="008B32E9" w:rsidP="001906E4">
      <w:pPr>
        <w:spacing w:line="360" w:lineRule="auto"/>
        <w:ind w:right="190"/>
        <w:jc w:val="both"/>
        <w:rPr>
          <w:rFonts w:ascii="Arial" w:hAnsi="Arial" w:cs="Arial"/>
          <w:b/>
          <w:sz w:val="28"/>
          <w:szCs w:val="28"/>
        </w:rPr>
      </w:pPr>
    </w:p>
    <w:p w14:paraId="6A965C76" w14:textId="77777777" w:rsidR="008B32E9" w:rsidRPr="001906E4" w:rsidRDefault="008B32E9" w:rsidP="001906E4">
      <w:pPr>
        <w:spacing w:line="360" w:lineRule="auto"/>
        <w:ind w:right="190"/>
        <w:jc w:val="both"/>
        <w:rPr>
          <w:rFonts w:ascii="Arial" w:hAnsi="Arial" w:cs="Arial"/>
          <w:b/>
        </w:rPr>
      </w:pPr>
      <w:r w:rsidRPr="001906E4">
        <w:rPr>
          <w:rFonts w:ascii="Arial" w:hAnsi="Arial" w:cs="Arial"/>
          <w:b/>
        </w:rPr>
        <w:t>I.2. CUMPLIMIENTO DE DISPOSICIONES LEGALES Y NORMATIVAS</w:t>
      </w:r>
    </w:p>
    <w:p w14:paraId="256614DA" w14:textId="77777777" w:rsidR="008B32E9" w:rsidRPr="001906E4" w:rsidRDefault="008B32E9" w:rsidP="001906E4">
      <w:pPr>
        <w:spacing w:line="360" w:lineRule="auto"/>
        <w:ind w:right="48"/>
        <w:jc w:val="both"/>
        <w:rPr>
          <w:rFonts w:ascii="Arial" w:hAnsi="Arial" w:cs="Arial"/>
        </w:rPr>
      </w:pPr>
    </w:p>
    <w:p w14:paraId="7C58BF45" w14:textId="446A9E09" w:rsidR="00871430" w:rsidRPr="001906E4" w:rsidRDefault="00871430" w:rsidP="001906E4">
      <w:pPr>
        <w:tabs>
          <w:tab w:val="left" w:pos="9072"/>
        </w:tabs>
        <w:spacing w:line="360" w:lineRule="auto"/>
        <w:ind w:right="49"/>
        <w:jc w:val="both"/>
        <w:rPr>
          <w:rFonts w:ascii="Arial" w:hAnsi="Arial" w:cs="Arial"/>
        </w:rPr>
      </w:pPr>
      <w:r w:rsidRPr="001906E4">
        <w:rPr>
          <w:rFonts w:ascii="Arial" w:hAnsi="Arial" w:cs="Arial"/>
        </w:rPr>
        <w:t xml:space="preserve">La revisión se llevó a cabo aplicando Normas Profesionales de Auditoría del Sistema Nacional de Fiscalización, así como en apego a la Ley General de Contabilidad Gubernamental, </w:t>
      </w:r>
      <w:r w:rsidR="001E761F" w:rsidRPr="001906E4">
        <w:rPr>
          <w:rFonts w:ascii="Arial" w:hAnsi="Arial" w:cs="Arial"/>
          <w:bCs/>
        </w:rPr>
        <w:t xml:space="preserve">Presupuesto de </w:t>
      </w:r>
      <w:r w:rsidR="00732705">
        <w:rPr>
          <w:rFonts w:ascii="Arial" w:hAnsi="Arial" w:cs="Arial"/>
          <w:bCs/>
        </w:rPr>
        <w:t xml:space="preserve">Ingresos y </w:t>
      </w:r>
      <w:r w:rsidR="001E761F" w:rsidRPr="001906E4">
        <w:rPr>
          <w:rFonts w:ascii="Arial" w:hAnsi="Arial" w:cs="Arial"/>
          <w:bCs/>
        </w:rPr>
        <w:t xml:space="preserve">Egresos autorizado por el Comité Técnico del fideicomiso para el ejercicio fiscal 2019 </w:t>
      </w:r>
      <w:r w:rsidRPr="001906E4">
        <w:rPr>
          <w:rFonts w:ascii="Arial" w:hAnsi="Arial" w:cs="Arial"/>
        </w:rPr>
        <w:t>y lo</w:t>
      </w:r>
      <w:r w:rsidRPr="001906E4">
        <w:rPr>
          <w:rFonts w:ascii="Arial" w:hAnsi="Arial" w:cs="Arial"/>
          <w:color w:val="FF0000"/>
        </w:rPr>
        <w:t xml:space="preserve"> </w:t>
      </w:r>
      <w:r w:rsidRPr="001906E4">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B75B442" w14:textId="77777777" w:rsidR="005D5A09" w:rsidRPr="001906E4" w:rsidRDefault="005D5A09" w:rsidP="001906E4">
      <w:pPr>
        <w:tabs>
          <w:tab w:val="left" w:pos="9072"/>
        </w:tabs>
        <w:spacing w:line="360" w:lineRule="auto"/>
        <w:ind w:right="49"/>
        <w:jc w:val="both"/>
        <w:rPr>
          <w:rFonts w:ascii="Arial" w:hAnsi="Arial" w:cs="Arial"/>
          <w:u w:val="single"/>
        </w:rPr>
      </w:pPr>
    </w:p>
    <w:p w14:paraId="0D8F2476" w14:textId="71A94922" w:rsidR="00871430" w:rsidRPr="001906E4" w:rsidRDefault="00871430" w:rsidP="001906E4">
      <w:pPr>
        <w:tabs>
          <w:tab w:val="left" w:pos="9072"/>
        </w:tabs>
        <w:spacing w:line="360" w:lineRule="auto"/>
        <w:ind w:right="49"/>
        <w:jc w:val="both"/>
        <w:rPr>
          <w:rFonts w:ascii="Arial" w:hAnsi="Arial" w:cs="Arial"/>
          <w:b/>
        </w:rPr>
      </w:pPr>
      <w:r w:rsidRPr="001906E4">
        <w:rPr>
          <w:rFonts w:ascii="Arial" w:hAnsi="Arial" w:cs="Arial"/>
          <w:b/>
        </w:rPr>
        <w:t>A. Conclusiones</w:t>
      </w:r>
    </w:p>
    <w:p w14:paraId="06678EB9" w14:textId="77777777" w:rsidR="005D5A09" w:rsidRPr="001906E4" w:rsidRDefault="005D5A09" w:rsidP="001906E4">
      <w:pPr>
        <w:tabs>
          <w:tab w:val="left" w:pos="9072"/>
        </w:tabs>
        <w:spacing w:line="360" w:lineRule="auto"/>
        <w:ind w:right="49"/>
        <w:jc w:val="both"/>
        <w:rPr>
          <w:rFonts w:ascii="Arial" w:hAnsi="Arial" w:cs="Arial"/>
          <w:b/>
        </w:rPr>
      </w:pPr>
    </w:p>
    <w:p w14:paraId="25482F6C" w14:textId="321230FC" w:rsidR="00871430" w:rsidRPr="001906E4" w:rsidRDefault="00871430" w:rsidP="001906E4">
      <w:pPr>
        <w:spacing w:line="360" w:lineRule="auto"/>
        <w:ind w:right="49"/>
        <w:jc w:val="both"/>
        <w:rPr>
          <w:rFonts w:ascii="Arial" w:hAnsi="Arial" w:cs="Arial"/>
          <w:bCs/>
        </w:rPr>
      </w:pPr>
      <w:r w:rsidRPr="001906E4">
        <w:rPr>
          <w:rFonts w:ascii="Arial" w:hAnsi="Arial" w:cs="Arial"/>
          <w:bCs/>
        </w:rPr>
        <w:t xml:space="preserve">Se constató el cumplimiento de la Ley General de Contabilidad Gubernamental, </w:t>
      </w:r>
      <w:r w:rsidR="001E761F" w:rsidRPr="001906E4">
        <w:rPr>
          <w:rFonts w:ascii="Arial" w:hAnsi="Arial" w:cs="Arial"/>
          <w:bCs/>
        </w:rPr>
        <w:t xml:space="preserve">el Presupuesto </w:t>
      </w:r>
      <w:r w:rsidR="0059457B">
        <w:rPr>
          <w:rFonts w:ascii="Arial" w:hAnsi="Arial" w:cs="Arial"/>
          <w:bCs/>
        </w:rPr>
        <w:t xml:space="preserve">Ingresos y </w:t>
      </w:r>
      <w:r w:rsidR="001E761F" w:rsidRPr="001906E4">
        <w:rPr>
          <w:rFonts w:ascii="Arial" w:hAnsi="Arial" w:cs="Arial"/>
          <w:bCs/>
        </w:rPr>
        <w:t>Egresos autorizado por el Comité Técnico del fideicomiso para el ejercicio fiscal 2019</w:t>
      </w:r>
      <w:r w:rsidRPr="001906E4">
        <w:rPr>
          <w:rFonts w:ascii="Arial" w:hAnsi="Arial" w:cs="Arial"/>
          <w:bCs/>
        </w:rPr>
        <w:t>, así como de lo emitido por el Consejo Nacional de Armonización Contable (CONAC), y demás disposiciones legales y normativas aplicables.</w:t>
      </w:r>
    </w:p>
    <w:p w14:paraId="23D53D7C" w14:textId="77777777" w:rsidR="005D5A09" w:rsidRPr="001906E4" w:rsidRDefault="005D5A09" w:rsidP="001906E4">
      <w:pPr>
        <w:spacing w:line="360" w:lineRule="auto"/>
        <w:ind w:right="49"/>
        <w:jc w:val="both"/>
        <w:rPr>
          <w:rFonts w:ascii="Arial" w:hAnsi="Arial" w:cs="Arial"/>
        </w:rPr>
      </w:pPr>
    </w:p>
    <w:p w14:paraId="601C1294" w14:textId="6718C7D7" w:rsidR="00871430" w:rsidRPr="001906E4" w:rsidRDefault="00871430" w:rsidP="001906E4">
      <w:pPr>
        <w:tabs>
          <w:tab w:val="left" w:pos="9072"/>
        </w:tabs>
        <w:spacing w:line="360" w:lineRule="auto"/>
        <w:ind w:right="49"/>
        <w:jc w:val="both"/>
        <w:rPr>
          <w:rFonts w:ascii="Arial" w:hAnsi="Arial" w:cs="Arial"/>
          <w:b/>
        </w:rPr>
      </w:pPr>
      <w:r w:rsidRPr="001906E4">
        <w:rPr>
          <w:rFonts w:ascii="Arial" w:hAnsi="Arial" w:cs="Arial"/>
          <w:b/>
        </w:rPr>
        <w:t>I.3. RESULTADOS DE LA FISCALIZACIÓN EFECTUADA</w:t>
      </w:r>
    </w:p>
    <w:p w14:paraId="3CB76C75" w14:textId="77777777" w:rsidR="005D5A09" w:rsidRPr="001906E4" w:rsidRDefault="005D5A09" w:rsidP="001906E4">
      <w:pPr>
        <w:tabs>
          <w:tab w:val="left" w:pos="9072"/>
        </w:tabs>
        <w:spacing w:line="360" w:lineRule="auto"/>
        <w:ind w:right="49"/>
        <w:jc w:val="both"/>
        <w:rPr>
          <w:rFonts w:ascii="Arial" w:hAnsi="Arial" w:cs="Arial"/>
          <w:b/>
        </w:rPr>
      </w:pPr>
    </w:p>
    <w:p w14:paraId="5A6083FF" w14:textId="4FBA172D" w:rsidR="00871430" w:rsidRDefault="00871430" w:rsidP="001906E4">
      <w:pPr>
        <w:tabs>
          <w:tab w:val="left" w:pos="9072"/>
        </w:tabs>
        <w:spacing w:line="360" w:lineRule="auto"/>
        <w:ind w:right="49"/>
        <w:jc w:val="both"/>
        <w:rPr>
          <w:rFonts w:ascii="Arial" w:hAnsi="Arial" w:cs="Arial"/>
        </w:rPr>
      </w:pPr>
      <w:r w:rsidRPr="001906E4">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w:t>
      </w:r>
      <w:bookmarkStart w:id="7" w:name="_Hlk11408938"/>
      <w:r w:rsidRPr="001906E4">
        <w:rPr>
          <w:rFonts w:ascii="Arial" w:hAnsi="Arial" w:cs="Arial"/>
        </w:rPr>
        <w:t>se present</w:t>
      </w:r>
      <w:r w:rsidR="001E761F" w:rsidRPr="001906E4">
        <w:rPr>
          <w:rFonts w:ascii="Arial" w:hAnsi="Arial" w:cs="Arial"/>
        </w:rPr>
        <w:t xml:space="preserve">aron </w:t>
      </w:r>
      <w:bookmarkStart w:id="8" w:name="_Hlk11408885"/>
      <w:r w:rsidR="001E761F" w:rsidRPr="001906E4">
        <w:rPr>
          <w:rFonts w:ascii="Arial" w:hAnsi="Arial" w:cs="Arial"/>
          <w:b/>
        </w:rPr>
        <w:t>2</w:t>
      </w:r>
      <w:r w:rsidRPr="001906E4">
        <w:rPr>
          <w:rFonts w:ascii="Arial" w:hAnsi="Arial" w:cs="Arial"/>
        </w:rPr>
        <w:t xml:space="preserve"> resultado </w:t>
      </w:r>
      <w:bookmarkStart w:id="9" w:name="_Hlk11360245"/>
      <w:r w:rsidRPr="001906E4">
        <w:rPr>
          <w:rFonts w:ascii="Arial" w:hAnsi="Arial" w:cs="Arial"/>
        </w:rPr>
        <w:t xml:space="preserve">final de auditoría </w:t>
      </w:r>
      <w:bookmarkEnd w:id="9"/>
      <w:r w:rsidRPr="001906E4">
        <w:rPr>
          <w:rFonts w:ascii="Arial" w:hAnsi="Arial" w:cs="Arial"/>
        </w:rPr>
        <w:t>y se determin</w:t>
      </w:r>
      <w:r w:rsidR="001E761F" w:rsidRPr="001906E4">
        <w:rPr>
          <w:rFonts w:ascii="Arial" w:hAnsi="Arial" w:cs="Arial"/>
        </w:rPr>
        <w:t xml:space="preserve">aron </w:t>
      </w:r>
      <w:r w:rsidR="001E761F" w:rsidRPr="001906E4">
        <w:rPr>
          <w:rFonts w:ascii="Arial" w:hAnsi="Arial" w:cs="Arial"/>
          <w:b/>
        </w:rPr>
        <w:t>4</w:t>
      </w:r>
      <w:r w:rsidRPr="001906E4">
        <w:rPr>
          <w:rFonts w:ascii="Arial" w:hAnsi="Arial" w:cs="Arial"/>
          <w:b/>
        </w:rPr>
        <w:t xml:space="preserve"> </w:t>
      </w:r>
      <w:r w:rsidRPr="001906E4">
        <w:rPr>
          <w:rFonts w:ascii="Arial" w:hAnsi="Arial" w:cs="Arial"/>
        </w:rPr>
        <w:t>observaci</w:t>
      </w:r>
      <w:r w:rsidR="001E761F" w:rsidRPr="001906E4">
        <w:rPr>
          <w:rFonts w:ascii="Arial" w:hAnsi="Arial" w:cs="Arial"/>
        </w:rPr>
        <w:t>ones</w:t>
      </w:r>
      <w:r w:rsidRPr="001906E4">
        <w:rPr>
          <w:rFonts w:ascii="Arial" w:hAnsi="Arial" w:cs="Arial"/>
        </w:rPr>
        <w:t xml:space="preserve">, </w:t>
      </w:r>
      <w:bookmarkEnd w:id="7"/>
      <w:bookmarkEnd w:id="8"/>
      <w:r w:rsidR="001E761F" w:rsidRPr="001906E4">
        <w:rPr>
          <w:rFonts w:ascii="Arial" w:hAnsi="Arial" w:cs="Arial"/>
        </w:rPr>
        <w:t xml:space="preserve">de las cuales 3 fueron solventadas y una se encuentran pendientes de solventar; emitiéndose una </w:t>
      </w:r>
      <w:r w:rsidR="001906E4" w:rsidRPr="001906E4">
        <w:rPr>
          <w:rFonts w:ascii="Arial" w:hAnsi="Arial" w:cs="Arial"/>
        </w:rPr>
        <w:t>Promoción de Responsabilidad Administrativa Sancionatoria.</w:t>
      </w:r>
    </w:p>
    <w:p w14:paraId="3117FEBA" w14:textId="77777777" w:rsidR="00472214" w:rsidRDefault="00472214" w:rsidP="001906E4">
      <w:pPr>
        <w:tabs>
          <w:tab w:val="left" w:pos="9072"/>
        </w:tabs>
        <w:spacing w:line="360" w:lineRule="auto"/>
        <w:ind w:right="49"/>
        <w:jc w:val="both"/>
        <w:rPr>
          <w:rFonts w:ascii="Arial" w:hAnsi="Arial" w:cs="Arial"/>
        </w:rPr>
      </w:pPr>
    </w:p>
    <w:p w14:paraId="43B4A202" w14:textId="4C93D220" w:rsidR="00871430" w:rsidRPr="001906E4" w:rsidRDefault="00871430" w:rsidP="001906E4">
      <w:pPr>
        <w:tabs>
          <w:tab w:val="left" w:pos="9072"/>
        </w:tabs>
        <w:spacing w:line="360" w:lineRule="auto"/>
        <w:ind w:right="49"/>
        <w:jc w:val="both"/>
        <w:rPr>
          <w:rFonts w:ascii="Arial" w:hAnsi="Arial" w:cs="Arial"/>
          <w:b/>
        </w:rPr>
      </w:pPr>
      <w:r w:rsidRPr="001906E4">
        <w:rPr>
          <w:rFonts w:ascii="Arial" w:hAnsi="Arial" w:cs="Arial"/>
          <w:b/>
        </w:rPr>
        <w:t xml:space="preserve">A. </w:t>
      </w:r>
      <w:bookmarkStart w:id="10" w:name="_Hlk11360710"/>
      <w:r w:rsidRPr="001906E4">
        <w:rPr>
          <w:rFonts w:ascii="Arial" w:hAnsi="Arial" w:cs="Arial"/>
          <w:b/>
        </w:rPr>
        <w:t>Resumen de Resultados Finales de Auditoría y Observaciones Determinadas en Materia Financiera</w:t>
      </w:r>
      <w:bookmarkEnd w:id="10"/>
    </w:p>
    <w:p w14:paraId="5DF1068A" w14:textId="77777777" w:rsidR="005D5A09" w:rsidRPr="001906E4" w:rsidRDefault="005D5A09" w:rsidP="001906E4">
      <w:pPr>
        <w:tabs>
          <w:tab w:val="left" w:pos="9072"/>
        </w:tabs>
        <w:spacing w:line="360" w:lineRule="auto"/>
        <w:ind w:right="49"/>
        <w:jc w:val="both"/>
        <w:rPr>
          <w:rFonts w:ascii="Arial" w:hAnsi="Arial" w:cs="Arial"/>
          <w:b/>
        </w:rPr>
      </w:pPr>
    </w:p>
    <w:p w14:paraId="4242EBA5" w14:textId="54BCC530" w:rsidR="00871430" w:rsidRDefault="00871430" w:rsidP="001906E4">
      <w:pPr>
        <w:tabs>
          <w:tab w:val="left" w:pos="9072"/>
        </w:tabs>
        <w:spacing w:line="360" w:lineRule="auto"/>
        <w:ind w:right="49"/>
        <w:jc w:val="both"/>
        <w:rPr>
          <w:rFonts w:ascii="Arial" w:hAnsi="Arial" w:cs="Arial"/>
        </w:rPr>
      </w:pPr>
      <w:bookmarkStart w:id="11" w:name="_Hlk11361172"/>
      <w:r w:rsidRPr="001906E4">
        <w:rPr>
          <w:rFonts w:ascii="Arial" w:hAnsi="Arial" w:cs="Arial"/>
        </w:rPr>
        <w:t>Derivado del proceso de fiscalización al ente auditado se determinaron resultados finales de auditoría y observaciones en materia financiera, los cuales se presentan en la tabla siguiente:</w:t>
      </w:r>
    </w:p>
    <w:p w14:paraId="68E5A890" w14:textId="77777777" w:rsidR="001906E4" w:rsidRPr="001906E4" w:rsidRDefault="001906E4" w:rsidP="001906E4">
      <w:pPr>
        <w:tabs>
          <w:tab w:val="left" w:pos="9072"/>
        </w:tabs>
        <w:spacing w:line="360" w:lineRule="auto"/>
        <w:ind w:right="49"/>
        <w:jc w:val="both"/>
        <w:rPr>
          <w:rFonts w:ascii="Arial" w:hAnsi="Arial" w:cs="Arial"/>
        </w:rPr>
      </w:pPr>
    </w:p>
    <w:p w14:paraId="160F863F" w14:textId="5608F770" w:rsidR="00B2650F" w:rsidRDefault="00B2650F" w:rsidP="001906E4">
      <w:pPr>
        <w:tabs>
          <w:tab w:val="left" w:pos="9072"/>
        </w:tabs>
        <w:spacing w:line="360" w:lineRule="auto"/>
        <w:ind w:right="49"/>
        <w:jc w:val="both"/>
        <w:rPr>
          <w:rFonts w:ascii="Arial" w:hAnsi="Arial" w:cs="Arial"/>
          <w:b/>
        </w:rPr>
      </w:pPr>
      <w:r w:rsidRPr="001906E4">
        <w:rPr>
          <w:rFonts w:ascii="Arial" w:hAnsi="Arial" w:cs="Arial"/>
          <w:b/>
        </w:rPr>
        <w:t>Egresos</w:t>
      </w:r>
    </w:p>
    <w:p w14:paraId="310961B9" w14:textId="77777777" w:rsidR="001906E4" w:rsidRPr="001906E4" w:rsidRDefault="001906E4" w:rsidP="001906E4">
      <w:pPr>
        <w:tabs>
          <w:tab w:val="left" w:pos="9072"/>
        </w:tabs>
        <w:spacing w:line="360" w:lineRule="auto"/>
        <w:ind w:right="49"/>
        <w:jc w:val="both"/>
        <w:rPr>
          <w:rFonts w:ascii="Arial" w:hAnsi="Arial" w:cs="Arial"/>
          <w:b/>
        </w:rPr>
      </w:pPr>
    </w:p>
    <w:tbl>
      <w:tblPr>
        <w:tblW w:w="0" w:type="auto"/>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71"/>
        <w:gridCol w:w="2962"/>
        <w:gridCol w:w="3116"/>
        <w:gridCol w:w="1701"/>
      </w:tblGrid>
      <w:tr w:rsidR="001E761F" w:rsidRPr="001906E4" w14:paraId="0000DE74" w14:textId="77777777" w:rsidTr="00E36EF8">
        <w:trPr>
          <w:tblHeader/>
        </w:trPr>
        <w:tc>
          <w:tcPr>
            <w:tcW w:w="1571" w:type="dxa"/>
            <w:shd w:val="clear" w:color="auto" w:fill="D0CECE" w:themeFill="background2" w:themeFillShade="E6"/>
            <w:vAlign w:val="center"/>
          </w:tcPr>
          <w:p w14:paraId="6F09CC0C" w14:textId="77777777" w:rsidR="001E761F" w:rsidRPr="001906E4" w:rsidRDefault="001E761F" w:rsidP="001906E4">
            <w:pPr>
              <w:spacing w:line="360" w:lineRule="auto"/>
              <w:ind w:left="142" w:right="190"/>
              <w:jc w:val="both"/>
              <w:rPr>
                <w:rFonts w:ascii="Arial" w:hAnsi="Arial" w:cs="Arial"/>
                <w:b/>
                <w:sz w:val="18"/>
                <w:szCs w:val="18"/>
              </w:rPr>
            </w:pPr>
            <w:bookmarkStart w:id="12" w:name="_Hlk11419841"/>
            <w:bookmarkEnd w:id="11"/>
            <w:r w:rsidRPr="001906E4">
              <w:rPr>
                <w:rFonts w:ascii="Arial" w:hAnsi="Arial" w:cs="Arial"/>
                <w:b/>
                <w:sz w:val="18"/>
                <w:szCs w:val="18"/>
              </w:rPr>
              <w:t>Referencia</w:t>
            </w:r>
          </w:p>
        </w:tc>
        <w:tc>
          <w:tcPr>
            <w:tcW w:w="2962" w:type="dxa"/>
            <w:shd w:val="clear" w:color="auto" w:fill="D0CECE" w:themeFill="background2" w:themeFillShade="E6"/>
            <w:vAlign w:val="center"/>
          </w:tcPr>
          <w:p w14:paraId="65E5D827" w14:textId="77777777" w:rsidR="001E761F" w:rsidRPr="001906E4" w:rsidRDefault="001E761F" w:rsidP="001906E4">
            <w:pPr>
              <w:spacing w:line="360" w:lineRule="auto"/>
              <w:ind w:left="142" w:right="190"/>
              <w:jc w:val="both"/>
              <w:rPr>
                <w:rFonts w:ascii="Arial" w:hAnsi="Arial" w:cs="Arial"/>
                <w:b/>
                <w:sz w:val="18"/>
                <w:szCs w:val="18"/>
              </w:rPr>
            </w:pPr>
            <w:r w:rsidRPr="001906E4">
              <w:rPr>
                <w:rFonts w:ascii="Arial" w:hAnsi="Arial" w:cs="Arial"/>
                <w:b/>
                <w:sz w:val="18"/>
                <w:szCs w:val="18"/>
              </w:rPr>
              <w:t>Concepto del Resultado</w:t>
            </w:r>
          </w:p>
        </w:tc>
        <w:tc>
          <w:tcPr>
            <w:tcW w:w="3116" w:type="dxa"/>
            <w:shd w:val="clear" w:color="auto" w:fill="D0CECE" w:themeFill="background2" w:themeFillShade="E6"/>
            <w:vAlign w:val="center"/>
          </w:tcPr>
          <w:p w14:paraId="3DA22A4F" w14:textId="77777777" w:rsidR="001E761F" w:rsidRPr="001906E4" w:rsidRDefault="001E761F" w:rsidP="001906E4">
            <w:pPr>
              <w:spacing w:line="360" w:lineRule="auto"/>
              <w:ind w:left="142" w:right="190"/>
              <w:jc w:val="both"/>
              <w:rPr>
                <w:rFonts w:ascii="Arial" w:hAnsi="Arial" w:cs="Arial"/>
                <w:b/>
                <w:sz w:val="18"/>
                <w:szCs w:val="18"/>
              </w:rPr>
            </w:pPr>
            <w:r w:rsidRPr="001906E4">
              <w:rPr>
                <w:rFonts w:ascii="Arial" w:hAnsi="Arial" w:cs="Arial"/>
                <w:b/>
                <w:sz w:val="18"/>
                <w:szCs w:val="18"/>
              </w:rPr>
              <w:t>Tipo de Observación</w:t>
            </w:r>
          </w:p>
        </w:tc>
        <w:tc>
          <w:tcPr>
            <w:tcW w:w="1701" w:type="dxa"/>
            <w:shd w:val="clear" w:color="auto" w:fill="D0CECE" w:themeFill="background2" w:themeFillShade="E6"/>
            <w:vAlign w:val="center"/>
          </w:tcPr>
          <w:p w14:paraId="113DDFE2" w14:textId="77777777" w:rsidR="001E761F" w:rsidRPr="001906E4" w:rsidRDefault="001E761F" w:rsidP="001906E4">
            <w:pPr>
              <w:spacing w:line="360" w:lineRule="auto"/>
              <w:ind w:left="142" w:right="190"/>
              <w:jc w:val="both"/>
              <w:rPr>
                <w:rFonts w:ascii="Arial" w:hAnsi="Arial" w:cs="Arial"/>
                <w:b/>
                <w:sz w:val="18"/>
                <w:szCs w:val="18"/>
              </w:rPr>
            </w:pPr>
            <w:r w:rsidRPr="001906E4">
              <w:rPr>
                <w:rFonts w:ascii="Arial" w:hAnsi="Arial" w:cs="Arial"/>
                <w:b/>
                <w:sz w:val="18"/>
                <w:szCs w:val="18"/>
              </w:rPr>
              <w:t>Importe</w:t>
            </w:r>
          </w:p>
          <w:p w14:paraId="0DC2AA03" w14:textId="77777777" w:rsidR="001E761F" w:rsidRPr="001906E4" w:rsidRDefault="001E761F" w:rsidP="001906E4">
            <w:pPr>
              <w:spacing w:line="360" w:lineRule="auto"/>
              <w:ind w:left="142" w:right="190"/>
              <w:jc w:val="both"/>
              <w:rPr>
                <w:rFonts w:ascii="Arial" w:hAnsi="Arial" w:cs="Arial"/>
                <w:b/>
                <w:sz w:val="18"/>
                <w:szCs w:val="18"/>
              </w:rPr>
            </w:pPr>
            <w:r w:rsidRPr="001906E4">
              <w:rPr>
                <w:rFonts w:ascii="Arial" w:hAnsi="Arial" w:cs="Arial"/>
                <w:b/>
                <w:sz w:val="18"/>
                <w:szCs w:val="18"/>
              </w:rPr>
              <w:t>observado</w:t>
            </w:r>
          </w:p>
        </w:tc>
      </w:tr>
      <w:tr w:rsidR="001E761F" w:rsidRPr="001906E4" w14:paraId="51A17B73" w14:textId="77777777" w:rsidTr="00E36EF8">
        <w:trPr>
          <w:trHeight w:val="651"/>
        </w:trPr>
        <w:tc>
          <w:tcPr>
            <w:tcW w:w="1571" w:type="dxa"/>
          </w:tcPr>
          <w:p w14:paraId="3C62C5CF"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Resultado :1</w:t>
            </w:r>
          </w:p>
          <w:p w14:paraId="344B5C7C"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Observación :1</w:t>
            </w:r>
          </w:p>
        </w:tc>
        <w:tc>
          <w:tcPr>
            <w:tcW w:w="2962" w:type="dxa"/>
          </w:tcPr>
          <w:p w14:paraId="4A27D0D8" w14:textId="77777777" w:rsidR="001E761F" w:rsidRPr="001906E4" w:rsidRDefault="001E761F" w:rsidP="001906E4">
            <w:pPr>
              <w:tabs>
                <w:tab w:val="left" w:pos="2626"/>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Revisar la formalización de actas, contratos y convenios</w:t>
            </w:r>
          </w:p>
          <w:p w14:paraId="7483D977" w14:textId="77777777" w:rsidR="001E761F" w:rsidRPr="001906E4" w:rsidRDefault="001E761F" w:rsidP="001906E4">
            <w:pPr>
              <w:tabs>
                <w:tab w:val="left" w:pos="2626"/>
                <w:tab w:val="left" w:pos="9072"/>
              </w:tabs>
              <w:spacing w:line="360" w:lineRule="auto"/>
              <w:ind w:left="-120" w:right="51"/>
              <w:jc w:val="both"/>
              <w:rPr>
                <w:rFonts w:ascii="Arial" w:hAnsi="Arial" w:cs="Arial"/>
                <w:i/>
                <w:sz w:val="18"/>
                <w:szCs w:val="18"/>
              </w:rPr>
            </w:pPr>
          </w:p>
        </w:tc>
        <w:tc>
          <w:tcPr>
            <w:tcW w:w="3116" w:type="dxa"/>
          </w:tcPr>
          <w:p w14:paraId="013A92C2"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 xml:space="preserve">(3D) Falta o inadecuada formalización de contratos, convenios o pedidos </w:t>
            </w:r>
          </w:p>
        </w:tc>
        <w:tc>
          <w:tcPr>
            <w:tcW w:w="1701" w:type="dxa"/>
          </w:tcPr>
          <w:p w14:paraId="4CD1262C" w14:textId="4238EA5C" w:rsidR="001E761F" w:rsidRPr="001906E4" w:rsidRDefault="001E761F" w:rsidP="001906E4">
            <w:pPr>
              <w:tabs>
                <w:tab w:val="left" w:pos="9072"/>
              </w:tabs>
              <w:spacing w:line="360" w:lineRule="auto"/>
              <w:ind w:left="-120" w:right="51"/>
              <w:jc w:val="center"/>
              <w:rPr>
                <w:rFonts w:ascii="Arial" w:hAnsi="Arial" w:cs="Arial"/>
                <w:i/>
                <w:sz w:val="18"/>
                <w:szCs w:val="18"/>
              </w:rPr>
            </w:pPr>
            <w:r w:rsidRPr="001906E4">
              <w:rPr>
                <w:rFonts w:ascii="Arial" w:hAnsi="Arial" w:cs="Arial"/>
                <w:i/>
                <w:sz w:val="18"/>
                <w:szCs w:val="18"/>
              </w:rPr>
              <w:t>Aspecto de</w:t>
            </w:r>
          </w:p>
          <w:p w14:paraId="3F1CDEF0" w14:textId="0EB255DB" w:rsidR="001E761F" w:rsidRPr="001906E4" w:rsidRDefault="001E761F" w:rsidP="001906E4">
            <w:pPr>
              <w:tabs>
                <w:tab w:val="left" w:pos="9072"/>
              </w:tabs>
              <w:spacing w:line="360" w:lineRule="auto"/>
              <w:ind w:left="-120" w:right="51"/>
              <w:jc w:val="center"/>
              <w:rPr>
                <w:rFonts w:ascii="Arial" w:hAnsi="Arial" w:cs="Arial"/>
                <w:i/>
                <w:sz w:val="18"/>
                <w:szCs w:val="18"/>
              </w:rPr>
            </w:pPr>
            <w:r w:rsidRPr="001906E4">
              <w:rPr>
                <w:rFonts w:ascii="Arial" w:hAnsi="Arial" w:cs="Arial"/>
                <w:i/>
                <w:sz w:val="18"/>
                <w:szCs w:val="18"/>
              </w:rPr>
              <w:t>Control Interno</w:t>
            </w:r>
          </w:p>
        </w:tc>
      </w:tr>
      <w:tr w:rsidR="001E761F" w:rsidRPr="001906E4" w14:paraId="5E6DCC13" w14:textId="77777777" w:rsidTr="00E36EF8">
        <w:trPr>
          <w:trHeight w:val="663"/>
        </w:trPr>
        <w:tc>
          <w:tcPr>
            <w:tcW w:w="1571" w:type="dxa"/>
          </w:tcPr>
          <w:p w14:paraId="3B09BD0D"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Resultado :1</w:t>
            </w:r>
          </w:p>
          <w:p w14:paraId="7FA66021"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Observación :2</w:t>
            </w:r>
          </w:p>
          <w:p w14:paraId="2CC2CBF9"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p>
        </w:tc>
        <w:tc>
          <w:tcPr>
            <w:tcW w:w="2962" w:type="dxa"/>
          </w:tcPr>
          <w:p w14:paraId="4817DE35" w14:textId="77777777" w:rsidR="001E761F" w:rsidRPr="001906E4" w:rsidRDefault="001E761F" w:rsidP="001906E4">
            <w:pPr>
              <w:tabs>
                <w:tab w:val="left" w:pos="2626"/>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Revisar la formalización de actas, contratos y convenios</w:t>
            </w:r>
          </w:p>
        </w:tc>
        <w:tc>
          <w:tcPr>
            <w:tcW w:w="3116" w:type="dxa"/>
          </w:tcPr>
          <w:p w14:paraId="56B46D6C"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(3P) Deficiencias en los órganos de gobierno de las entidades fiscalizadas</w:t>
            </w:r>
          </w:p>
        </w:tc>
        <w:tc>
          <w:tcPr>
            <w:tcW w:w="1701" w:type="dxa"/>
          </w:tcPr>
          <w:p w14:paraId="0451F57B" w14:textId="1C839FCB" w:rsidR="001E761F" w:rsidRPr="001906E4" w:rsidRDefault="001E761F" w:rsidP="001906E4">
            <w:pPr>
              <w:tabs>
                <w:tab w:val="left" w:pos="9072"/>
              </w:tabs>
              <w:spacing w:line="360" w:lineRule="auto"/>
              <w:ind w:left="-120" w:right="51"/>
              <w:jc w:val="center"/>
              <w:rPr>
                <w:rFonts w:ascii="Arial" w:hAnsi="Arial" w:cs="Arial"/>
                <w:i/>
                <w:sz w:val="18"/>
                <w:szCs w:val="18"/>
              </w:rPr>
            </w:pPr>
            <w:r w:rsidRPr="001906E4">
              <w:rPr>
                <w:rFonts w:ascii="Arial" w:hAnsi="Arial" w:cs="Arial"/>
                <w:i/>
                <w:sz w:val="18"/>
                <w:szCs w:val="18"/>
              </w:rPr>
              <w:t>Aspecto de</w:t>
            </w:r>
          </w:p>
          <w:p w14:paraId="62D69DBA" w14:textId="5743234F" w:rsidR="001E761F" w:rsidRPr="001906E4" w:rsidRDefault="001E761F" w:rsidP="001906E4">
            <w:pPr>
              <w:tabs>
                <w:tab w:val="left" w:pos="9072"/>
              </w:tabs>
              <w:spacing w:line="360" w:lineRule="auto"/>
              <w:ind w:left="-120" w:right="51"/>
              <w:jc w:val="center"/>
              <w:rPr>
                <w:rFonts w:ascii="Arial" w:hAnsi="Arial" w:cs="Arial"/>
                <w:i/>
                <w:sz w:val="18"/>
                <w:szCs w:val="18"/>
              </w:rPr>
            </w:pPr>
            <w:r w:rsidRPr="001906E4">
              <w:rPr>
                <w:rFonts w:ascii="Arial" w:hAnsi="Arial" w:cs="Arial"/>
                <w:i/>
                <w:sz w:val="18"/>
                <w:szCs w:val="18"/>
              </w:rPr>
              <w:t>Control Interno</w:t>
            </w:r>
          </w:p>
        </w:tc>
      </w:tr>
      <w:tr w:rsidR="001E761F" w:rsidRPr="001906E4" w14:paraId="4482286D" w14:textId="77777777" w:rsidTr="00E36EF8">
        <w:tc>
          <w:tcPr>
            <w:tcW w:w="1571" w:type="dxa"/>
          </w:tcPr>
          <w:p w14:paraId="353AD722"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Resultado :2</w:t>
            </w:r>
          </w:p>
          <w:p w14:paraId="2D5C1236"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Observación :3</w:t>
            </w:r>
          </w:p>
        </w:tc>
        <w:tc>
          <w:tcPr>
            <w:tcW w:w="2962" w:type="dxa"/>
          </w:tcPr>
          <w:p w14:paraId="403379CF" w14:textId="77777777" w:rsidR="001E761F" w:rsidRPr="001906E4" w:rsidRDefault="001E761F" w:rsidP="001906E4">
            <w:pPr>
              <w:tabs>
                <w:tab w:val="left" w:pos="2626"/>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Revisión y análisis de Estados Financieros</w:t>
            </w:r>
          </w:p>
        </w:tc>
        <w:tc>
          <w:tcPr>
            <w:tcW w:w="3116" w:type="dxa"/>
          </w:tcPr>
          <w:p w14:paraId="11D4CC06"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(4C) Omisión o inconsistencia en la presentación de información financiera</w:t>
            </w:r>
          </w:p>
        </w:tc>
        <w:tc>
          <w:tcPr>
            <w:tcW w:w="1701" w:type="dxa"/>
          </w:tcPr>
          <w:p w14:paraId="2BA3C325" w14:textId="706CC07E" w:rsidR="001E761F" w:rsidRPr="001906E4" w:rsidRDefault="00E34D58" w:rsidP="00E34D58">
            <w:pPr>
              <w:tabs>
                <w:tab w:val="left" w:pos="9072"/>
              </w:tabs>
              <w:spacing w:line="360" w:lineRule="auto"/>
              <w:ind w:left="-120" w:right="51"/>
              <w:jc w:val="center"/>
              <w:rPr>
                <w:rFonts w:ascii="Arial" w:hAnsi="Arial" w:cs="Arial"/>
                <w:i/>
                <w:sz w:val="18"/>
                <w:szCs w:val="18"/>
              </w:rPr>
            </w:pPr>
            <w:r>
              <w:rPr>
                <w:rFonts w:ascii="Arial" w:hAnsi="Arial" w:cs="Arial"/>
                <w:i/>
                <w:sz w:val="18"/>
                <w:szCs w:val="18"/>
              </w:rPr>
              <w:t>Cumplimiento Legal</w:t>
            </w:r>
          </w:p>
        </w:tc>
      </w:tr>
      <w:tr w:rsidR="001E761F" w:rsidRPr="001906E4" w14:paraId="4137D4DF" w14:textId="77777777" w:rsidTr="00E36EF8">
        <w:tc>
          <w:tcPr>
            <w:tcW w:w="1571" w:type="dxa"/>
          </w:tcPr>
          <w:p w14:paraId="5055AA19"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Resultado :2</w:t>
            </w:r>
          </w:p>
          <w:p w14:paraId="016B6C62"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Observación :4</w:t>
            </w:r>
          </w:p>
          <w:p w14:paraId="1129A347"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p>
        </w:tc>
        <w:tc>
          <w:tcPr>
            <w:tcW w:w="2962" w:type="dxa"/>
          </w:tcPr>
          <w:p w14:paraId="05698CB3" w14:textId="77777777" w:rsidR="001E761F" w:rsidRPr="001906E4" w:rsidRDefault="001E761F" w:rsidP="001906E4">
            <w:pPr>
              <w:tabs>
                <w:tab w:val="left" w:pos="2626"/>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Revisión y análisis de Estados Financieros</w:t>
            </w:r>
          </w:p>
        </w:tc>
        <w:tc>
          <w:tcPr>
            <w:tcW w:w="3116" w:type="dxa"/>
          </w:tcPr>
          <w:p w14:paraId="3D476CF5" w14:textId="77777777" w:rsidR="001E761F" w:rsidRPr="001906E4" w:rsidRDefault="001E761F" w:rsidP="001906E4">
            <w:pPr>
              <w:tabs>
                <w:tab w:val="left" w:pos="9072"/>
              </w:tabs>
              <w:spacing w:line="360" w:lineRule="auto"/>
              <w:ind w:left="-120" w:right="51"/>
              <w:jc w:val="both"/>
              <w:rPr>
                <w:rFonts w:ascii="Arial" w:hAnsi="Arial" w:cs="Arial"/>
                <w:i/>
                <w:sz w:val="18"/>
                <w:szCs w:val="18"/>
              </w:rPr>
            </w:pPr>
            <w:r w:rsidRPr="001906E4">
              <w:rPr>
                <w:rFonts w:ascii="Arial" w:hAnsi="Arial" w:cs="Arial"/>
                <w:i/>
                <w:sz w:val="18"/>
                <w:szCs w:val="18"/>
              </w:rPr>
              <w:t>(4C) Omisión o inconsistencia en la presentación de información financiera</w:t>
            </w:r>
          </w:p>
        </w:tc>
        <w:tc>
          <w:tcPr>
            <w:tcW w:w="1701" w:type="dxa"/>
          </w:tcPr>
          <w:p w14:paraId="4806A1E4" w14:textId="141C9377" w:rsidR="001E761F" w:rsidRPr="001906E4" w:rsidRDefault="001E761F" w:rsidP="001906E4">
            <w:pPr>
              <w:tabs>
                <w:tab w:val="left" w:pos="9072"/>
              </w:tabs>
              <w:spacing w:line="360" w:lineRule="auto"/>
              <w:ind w:left="-120" w:right="51"/>
              <w:jc w:val="center"/>
              <w:rPr>
                <w:rFonts w:ascii="Arial" w:hAnsi="Arial" w:cs="Arial"/>
                <w:i/>
                <w:sz w:val="18"/>
                <w:szCs w:val="18"/>
              </w:rPr>
            </w:pPr>
            <w:r w:rsidRPr="001906E4">
              <w:rPr>
                <w:rFonts w:ascii="Arial" w:hAnsi="Arial" w:cs="Arial"/>
                <w:i/>
                <w:sz w:val="18"/>
                <w:szCs w:val="18"/>
              </w:rPr>
              <w:t>Aspecto de</w:t>
            </w:r>
          </w:p>
          <w:p w14:paraId="782BBE7E" w14:textId="417D936D" w:rsidR="001E761F" w:rsidRPr="001906E4" w:rsidRDefault="001E761F" w:rsidP="001906E4">
            <w:pPr>
              <w:tabs>
                <w:tab w:val="left" w:pos="9072"/>
              </w:tabs>
              <w:spacing w:line="360" w:lineRule="auto"/>
              <w:ind w:left="-120" w:right="51"/>
              <w:jc w:val="center"/>
              <w:rPr>
                <w:rFonts w:ascii="Arial" w:hAnsi="Arial" w:cs="Arial"/>
                <w:i/>
                <w:sz w:val="18"/>
                <w:szCs w:val="18"/>
              </w:rPr>
            </w:pPr>
            <w:r w:rsidRPr="001906E4">
              <w:rPr>
                <w:rFonts w:ascii="Arial" w:hAnsi="Arial" w:cs="Arial"/>
                <w:i/>
                <w:sz w:val="18"/>
                <w:szCs w:val="18"/>
              </w:rPr>
              <w:t>Control Interno</w:t>
            </w:r>
          </w:p>
        </w:tc>
      </w:tr>
    </w:tbl>
    <w:p w14:paraId="2F5E5B3C" w14:textId="77777777" w:rsidR="001E761F" w:rsidRPr="001906E4" w:rsidRDefault="001E761F" w:rsidP="001906E4">
      <w:pPr>
        <w:tabs>
          <w:tab w:val="left" w:pos="426"/>
          <w:tab w:val="left" w:pos="9072"/>
        </w:tabs>
        <w:spacing w:line="360" w:lineRule="auto"/>
        <w:ind w:right="49"/>
        <w:jc w:val="both"/>
        <w:rPr>
          <w:rFonts w:ascii="Arial" w:hAnsi="Arial" w:cs="Arial"/>
        </w:rPr>
      </w:pPr>
    </w:p>
    <w:p w14:paraId="572F322B" w14:textId="285F422D" w:rsidR="00871430" w:rsidRPr="001906E4" w:rsidRDefault="00F209DE" w:rsidP="001906E4">
      <w:pPr>
        <w:spacing w:line="360" w:lineRule="auto"/>
        <w:ind w:right="49"/>
        <w:jc w:val="both"/>
        <w:rPr>
          <w:rFonts w:ascii="Arial" w:hAnsi="Arial" w:cs="Arial"/>
        </w:rPr>
      </w:pPr>
      <w:bookmarkStart w:id="13" w:name="_Hlk11419882"/>
      <w:proofErr w:type="gramStart"/>
      <w:r w:rsidRPr="001906E4">
        <w:rPr>
          <w:rFonts w:ascii="Arial" w:hAnsi="Arial" w:cs="Arial"/>
        </w:rPr>
        <w:t>Asimismo</w:t>
      </w:r>
      <w:proofErr w:type="gramEnd"/>
      <w:r w:rsidR="00C02B20" w:rsidRPr="001906E4">
        <w:rPr>
          <w:rFonts w:ascii="Arial" w:hAnsi="Arial" w:cs="Arial"/>
        </w:rPr>
        <w:t xml:space="preserve"> la entidad fiscalizada presentó </w:t>
      </w:r>
      <w:r>
        <w:rPr>
          <w:rFonts w:ascii="Arial" w:hAnsi="Arial" w:cs="Arial"/>
        </w:rPr>
        <w:t>en reunión de trabajo efectuada</w:t>
      </w:r>
      <w:r w:rsidR="00C02B20" w:rsidRPr="001906E4">
        <w:rPr>
          <w:rFonts w:ascii="Arial" w:hAnsi="Arial" w:cs="Arial"/>
        </w:rPr>
        <w:t>, las justificaciones y aclaraciones relacionadas con los conceptos observados de los resultados de auditoría en materia financiera, las cuales se detallan a continuación:</w:t>
      </w:r>
    </w:p>
    <w:p w14:paraId="3E1AFB7F" w14:textId="6CBD8690" w:rsidR="001906E4" w:rsidRDefault="001906E4" w:rsidP="001906E4">
      <w:pPr>
        <w:spacing w:line="360" w:lineRule="auto"/>
        <w:ind w:right="49"/>
        <w:jc w:val="both"/>
        <w:rPr>
          <w:rFonts w:ascii="Arial" w:hAnsi="Arial" w:cs="Arial"/>
        </w:rPr>
      </w:pPr>
    </w:p>
    <w:tbl>
      <w:tblPr>
        <w:tblW w:w="4795" w:type="pct"/>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86"/>
        <w:gridCol w:w="3855"/>
        <w:gridCol w:w="1786"/>
        <w:gridCol w:w="1854"/>
      </w:tblGrid>
      <w:tr w:rsidR="006C4AA9" w:rsidRPr="00FD0AEF" w14:paraId="20329AB7" w14:textId="77777777" w:rsidTr="00EC7528">
        <w:trPr>
          <w:tblHeader/>
        </w:trPr>
        <w:tc>
          <w:tcPr>
            <w:tcW w:w="962"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C8F64BD" w14:textId="77777777" w:rsidR="006C4AA9" w:rsidRPr="00FD0AEF" w:rsidRDefault="006C4AA9" w:rsidP="00EC7528">
            <w:pPr>
              <w:tabs>
                <w:tab w:val="left" w:pos="426"/>
              </w:tabs>
              <w:jc w:val="center"/>
              <w:rPr>
                <w:rFonts w:ascii="Arial" w:hAnsi="Arial" w:cs="Arial"/>
                <w:b/>
                <w:sz w:val="20"/>
                <w:szCs w:val="20"/>
              </w:rPr>
            </w:pPr>
            <w:r w:rsidRPr="00FD0AEF">
              <w:rPr>
                <w:rFonts w:ascii="Arial" w:hAnsi="Arial" w:cs="Arial"/>
                <w:b/>
                <w:sz w:val="20"/>
                <w:szCs w:val="20"/>
              </w:rPr>
              <w:t>Referencia</w:t>
            </w:r>
          </w:p>
        </w:tc>
        <w:tc>
          <w:tcPr>
            <w:tcW w:w="2077"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2418A717" w14:textId="77777777" w:rsidR="006C4AA9" w:rsidRPr="00FD0AEF" w:rsidRDefault="006C4AA9" w:rsidP="00EC7528">
            <w:pPr>
              <w:tabs>
                <w:tab w:val="left" w:pos="426"/>
              </w:tabs>
              <w:jc w:val="center"/>
              <w:rPr>
                <w:rFonts w:ascii="Arial" w:hAnsi="Arial" w:cs="Arial"/>
                <w:b/>
                <w:sz w:val="20"/>
                <w:szCs w:val="20"/>
              </w:rPr>
            </w:pPr>
            <w:r w:rsidRPr="00FD0AEF">
              <w:rPr>
                <w:rFonts w:ascii="Arial" w:hAnsi="Arial" w:cs="Arial"/>
                <w:b/>
                <w:sz w:val="20"/>
                <w:szCs w:val="20"/>
              </w:rPr>
              <w:t>Concepto de la Observación</w:t>
            </w:r>
          </w:p>
        </w:tc>
        <w:tc>
          <w:tcPr>
            <w:tcW w:w="962"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tcPr>
          <w:p w14:paraId="60CEDDB8" w14:textId="77777777" w:rsidR="006C4AA9" w:rsidRPr="00FD0AEF" w:rsidRDefault="006C4AA9" w:rsidP="00EC7528">
            <w:pPr>
              <w:tabs>
                <w:tab w:val="left" w:pos="426"/>
              </w:tabs>
              <w:jc w:val="center"/>
              <w:rPr>
                <w:rFonts w:ascii="Arial" w:hAnsi="Arial" w:cs="Arial"/>
                <w:b/>
                <w:sz w:val="20"/>
                <w:szCs w:val="20"/>
              </w:rPr>
            </w:pPr>
            <w:r w:rsidRPr="00FD0AEF">
              <w:rPr>
                <w:rFonts w:ascii="Arial" w:hAnsi="Arial" w:cs="Arial"/>
                <w:b/>
                <w:sz w:val="20"/>
                <w:szCs w:val="20"/>
              </w:rPr>
              <w:t>Síntesis de Justificaciones y Aclaraciones</w:t>
            </w:r>
          </w:p>
        </w:tc>
        <w:tc>
          <w:tcPr>
            <w:tcW w:w="999"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B1CB6CE" w14:textId="77777777" w:rsidR="006C4AA9" w:rsidRPr="00FD0AEF" w:rsidRDefault="006C4AA9" w:rsidP="00EC7528">
            <w:pPr>
              <w:tabs>
                <w:tab w:val="left" w:pos="426"/>
              </w:tabs>
              <w:jc w:val="center"/>
              <w:rPr>
                <w:rFonts w:ascii="Arial" w:hAnsi="Arial" w:cs="Arial"/>
                <w:b/>
                <w:sz w:val="20"/>
                <w:szCs w:val="20"/>
              </w:rPr>
            </w:pPr>
            <w:r w:rsidRPr="00FD0AEF">
              <w:rPr>
                <w:rFonts w:ascii="Arial" w:hAnsi="Arial" w:cs="Arial"/>
                <w:b/>
                <w:sz w:val="20"/>
                <w:szCs w:val="20"/>
              </w:rPr>
              <w:t>Acción Promovida/</w:t>
            </w:r>
          </w:p>
          <w:p w14:paraId="179DEA4F" w14:textId="77777777" w:rsidR="006C4AA9" w:rsidRPr="00FD0AEF" w:rsidRDefault="006C4AA9" w:rsidP="00EC7528">
            <w:pPr>
              <w:tabs>
                <w:tab w:val="left" w:pos="426"/>
              </w:tabs>
              <w:jc w:val="center"/>
              <w:rPr>
                <w:rFonts w:ascii="Arial" w:hAnsi="Arial" w:cs="Arial"/>
                <w:b/>
                <w:sz w:val="20"/>
                <w:szCs w:val="20"/>
              </w:rPr>
            </w:pPr>
            <w:r w:rsidRPr="00FD0AEF">
              <w:rPr>
                <w:rFonts w:ascii="Arial" w:hAnsi="Arial" w:cs="Arial"/>
                <w:b/>
                <w:sz w:val="20"/>
                <w:szCs w:val="20"/>
              </w:rPr>
              <w:t>Recomendación</w:t>
            </w:r>
          </w:p>
        </w:tc>
      </w:tr>
      <w:tr w:rsidR="006C4AA9" w:rsidRPr="00FD0AEF" w14:paraId="344EBA63" w14:textId="77777777" w:rsidTr="00EC7528">
        <w:trPr>
          <w:trHeight w:val="756"/>
        </w:trPr>
        <w:tc>
          <w:tcPr>
            <w:tcW w:w="962" w:type="pct"/>
          </w:tcPr>
          <w:p w14:paraId="6855983C" w14:textId="77777777" w:rsidR="006C4AA9" w:rsidRPr="006C4AA9" w:rsidRDefault="006C4AA9" w:rsidP="006C4AA9">
            <w:pPr>
              <w:tabs>
                <w:tab w:val="left" w:pos="9072"/>
              </w:tabs>
              <w:spacing w:line="360" w:lineRule="auto"/>
              <w:ind w:left="-120" w:right="51"/>
              <w:jc w:val="center"/>
              <w:rPr>
                <w:rFonts w:ascii="Arial" w:hAnsi="Arial" w:cs="Arial"/>
                <w:sz w:val="18"/>
                <w:szCs w:val="18"/>
              </w:rPr>
            </w:pPr>
            <w:r w:rsidRPr="006C4AA9">
              <w:rPr>
                <w:rFonts w:ascii="Arial" w:hAnsi="Arial" w:cs="Arial"/>
                <w:sz w:val="18"/>
                <w:szCs w:val="18"/>
              </w:rPr>
              <w:t>Resultado :1</w:t>
            </w:r>
          </w:p>
          <w:p w14:paraId="76F113FE" w14:textId="36BE213F" w:rsidR="006C4AA9" w:rsidRPr="006C4AA9" w:rsidRDefault="006C4AA9" w:rsidP="006C4AA9">
            <w:pPr>
              <w:jc w:val="center"/>
              <w:rPr>
                <w:rFonts w:ascii="Arial" w:hAnsi="Arial" w:cs="Arial"/>
                <w:sz w:val="18"/>
                <w:szCs w:val="18"/>
              </w:rPr>
            </w:pPr>
            <w:r w:rsidRPr="006C4AA9">
              <w:rPr>
                <w:rFonts w:ascii="Arial" w:hAnsi="Arial" w:cs="Arial"/>
                <w:sz w:val="18"/>
                <w:szCs w:val="18"/>
              </w:rPr>
              <w:t>Observación :1</w:t>
            </w:r>
          </w:p>
        </w:tc>
        <w:tc>
          <w:tcPr>
            <w:tcW w:w="2077" w:type="pct"/>
          </w:tcPr>
          <w:p w14:paraId="1998E7D2" w14:textId="251CB19F" w:rsidR="006C4AA9" w:rsidRPr="006C4AA9" w:rsidRDefault="006C4AA9" w:rsidP="006C4AA9">
            <w:pPr>
              <w:rPr>
                <w:rFonts w:ascii="Arial" w:hAnsi="Arial" w:cs="Arial"/>
                <w:sz w:val="18"/>
                <w:szCs w:val="18"/>
              </w:rPr>
            </w:pPr>
            <w:r w:rsidRPr="006C4AA9">
              <w:rPr>
                <w:rFonts w:ascii="Arial" w:hAnsi="Arial" w:cs="Arial"/>
                <w:sz w:val="18"/>
                <w:szCs w:val="18"/>
              </w:rPr>
              <w:t xml:space="preserve">Falta o inadecuada formalización de contratos, convenios o pedidos </w:t>
            </w:r>
          </w:p>
        </w:tc>
        <w:tc>
          <w:tcPr>
            <w:tcW w:w="962" w:type="pct"/>
            <w:tcBorders>
              <w:top w:val="single" w:sz="4" w:space="0" w:color="D0CECE" w:themeColor="background2" w:themeShade="E6"/>
              <w:bottom w:val="single" w:sz="4" w:space="0" w:color="D0CECE" w:themeColor="background2" w:themeShade="E6"/>
            </w:tcBorders>
          </w:tcPr>
          <w:p w14:paraId="4CA63069" w14:textId="77777777" w:rsidR="006C4AA9" w:rsidRPr="006C4AA9" w:rsidRDefault="006C4AA9" w:rsidP="006C4AA9">
            <w:pPr>
              <w:tabs>
                <w:tab w:val="left" w:pos="426"/>
              </w:tabs>
              <w:jc w:val="center"/>
              <w:rPr>
                <w:rFonts w:ascii="Arial" w:hAnsi="Arial" w:cs="Arial"/>
                <w:sz w:val="18"/>
                <w:szCs w:val="18"/>
              </w:rPr>
            </w:pPr>
            <w:r w:rsidRPr="006C4AA9">
              <w:rPr>
                <w:rFonts w:ascii="Arial" w:hAnsi="Arial" w:cs="Arial"/>
                <w:sz w:val="18"/>
                <w:szCs w:val="18"/>
              </w:rPr>
              <w:t>Presentó documentación soporte y justificación en reunión de trabajo</w:t>
            </w:r>
          </w:p>
          <w:p w14:paraId="1A02102C" w14:textId="2769A1BF" w:rsidR="006C4AA9" w:rsidRPr="003B7EA7" w:rsidRDefault="006C4AA9" w:rsidP="006C4AA9">
            <w:pPr>
              <w:tabs>
                <w:tab w:val="left" w:pos="426"/>
              </w:tabs>
              <w:jc w:val="center"/>
              <w:rPr>
                <w:rFonts w:ascii="Arial" w:hAnsi="Arial" w:cs="Arial"/>
                <w:sz w:val="18"/>
                <w:szCs w:val="18"/>
              </w:rPr>
            </w:pPr>
            <w:r w:rsidRPr="006C4AA9">
              <w:rPr>
                <w:rFonts w:ascii="Arial" w:hAnsi="Arial" w:cs="Arial"/>
                <w:sz w:val="18"/>
                <w:szCs w:val="18"/>
              </w:rPr>
              <w:tab/>
            </w:r>
          </w:p>
        </w:tc>
        <w:tc>
          <w:tcPr>
            <w:tcW w:w="999" w:type="pct"/>
            <w:tcBorders>
              <w:top w:val="single" w:sz="4" w:space="0" w:color="D0CECE" w:themeColor="background2" w:themeShade="E6"/>
              <w:bottom w:val="single" w:sz="4" w:space="0" w:color="D0CECE" w:themeColor="background2" w:themeShade="E6"/>
            </w:tcBorders>
            <w:shd w:val="clear" w:color="auto" w:fill="auto"/>
          </w:tcPr>
          <w:p w14:paraId="5C333A41" w14:textId="2A6CFB8D" w:rsidR="006C4AA9" w:rsidRPr="003B7EA7" w:rsidRDefault="006C4AA9" w:rsidP="006C4AA9">
            <w:pPr>
              <w:tabs>
                <w:tab w:val="left" w:pos="426"/>
              </w:tabs>
              <w:jc w:val="center"/>
              <w:rPr>
                <w:rFonts w:ascii="Arial" w:hAnsi="Arial" w:cs="Arial"/>
                <w:sz w:val="18"/>
                <w:szCs w:val="18"/>
              </w:rPr>
            </w:pPr>
            <w:r>
              <w:rPr>
                <w:rFonts w:ascii="Arial" w:hAnsi="Arial" w:cs="Arial"/>
                <w:sz w:val="18"/>
                <w:szCs w:val="18"/>
              </w:rPr>
              <w:t>Solventada</w:t>
            </w:r>
          </w:p>
        </w:tc>
      </w:tr>
      <w:tr w:rsidR="006C4AA9" w:rsidRPr="00FD0AEF" w14:paraId="0496191A" w14:textId="77777777" w:rsidTr="00EC7528">
        <w:trPr>
          <w:trHeight w:val="756"/>
        </w:trPr>
        <w:tc>
          <w:tcPr>
            <w:tcW w:w="962" w:type="pct"/>
          </w:tcPr>
          <w:p w14:paraId="370E337F" w14:textId="77777777" w:rsidR="006C4AA9" w:rsidRPr="006C4AA9" w:rsidRDefault="006C4AA9" w:rsidP="006C4AA9">
            <w:pPr>
              <w:tabs>
                <w:tab w:val="left" w:pos="9072"/>
              </w:tabs>
              <w:spacing w:line="360" w:lineRule="auto"/>
              <w:ind w:left="-120" w:right="51"/>
              <w:jc w:val="center"/>
              <w:rPr>
                <w:rFonts w:ascii="Arial" w:hAnsi="Arial" w:cs="Arial"/>
                <w:sz w:val="18"/>
                <w:szCs w:val="18"/>
              </w:rPr>
            </w:pPr>
            <w:r w:rsidRPr="006C4AA9">
              <w:rPr>
                <w:rFonts w:ascii="Arial" w:hAnsi="Arial" w:cs="Arial"/>
                <w:sz w:val="18"/>
                <w:szCs w:val="18"/>
              </w:rPr>
              <w:t>Resultado :1</w:t>
            </w:r>
          </w:p>
          <w:p w14:paraId="36DA5F29" w14:textId="77777777" w:rsidR="006C4AA9" w:rsidRPr="006C4AA9" w:rsidRDefault="006C4AA9" w:rsidP="006C4AA9">
            <w:pPr>
              <w:tabs>
                <w:tab w:val="left" w:pos="9072"/>
              </w:tabs>
              <w:spacing w:line="360" w:lineRule="auto"/>
              <w:ind w:left="-120" w:right="51"/>
              <w:jc w:val="center"/>
              <w:rPr>
                <w:rFonts w:ascii="Arial" w:hAnsi="Arial" w:cs="Arial"/>
                <w:sz w:val="18"/>
                <w:szCs w:val="18"/>
              </w:rPr>
            </w:pPr>
            <w:r w:rsidRPr="006C4AA9">
              <w:rPr>
                <w:rFonts w:ascii="Arial" w:hAnsi="Arial" w:cs="Arial"/>
                <w:sz w:val="18"/>
                <w:szCs w:val="18"/>
              </w:rPr>
              <w:t>Observación :2</w:t>
            </w:r>
          </w:p>
          <w:p w14:paraId="697B033B" w14:textId="77777777" w:rsidR="006C4AA9" w:rsidRPr="006C4AA9" w:rsidRDefault="006C4AA9" w:rsidP="006C4AA9">
            <w:pPr>
              <w:jc w:val="center"/>
              <w:rPr>
                <w:rFonts w:ascii="Arial" w:hAnsi="Arial" w:cs="Arial"/>
                <w:sz w:val="18"/>
                <w:szCs w:val="18"/>
              </w:rPr>
            </w:pPr>
          </w:p>
        </w:tc>
        <w:tc>
          <w:tcPr>
            <w:tcW w:w="2077" w:type="pct"/>
          </w:tcPr>
          <w:p w14:paraId="2F37E173" w14:textId="6FD3D150" w:rsidR="006C4AA9" w:rsidRPr="006C4AA9" w:rsidRDefault="006C4AA9" w:rsidP="006C4AA9">
            <w:pPr>
              <w:rPr>
                <w:rFonts w:ascii="Arial" w:hAnsi="Arial" w:cs="Arial"/>
                <w:sz w:val="18"/>
                <w:szCs w:val="18"/>
              </w:rPr>
            </w:pPr>
            <w:r w:rsidRPr="006C4AA9">
              <w:rPr>
                <w:rFonts w:ascii="Arial" w:hAnsi="Arial" w:cs="Arial"/>
                <w:sz w:val="18"/>
                <w:szCs w:val="18"/>
              </w:rPr>
              <w:t>Deficiencias en los órganos de gobierno de las entidades fiscalizadas</w:t>
            </w:r>
          </w:p>
        </w:tc>
        <w:tc>
          <w:tcPr>
            <w:tcW w:w="962" w:type="pct"/>
            <w:tcBorders>
              <w:top w:val="single" w:sz="4" w:space="0" w:color="D0CECE" w:themeColor="background2" w:themeShade="E6"/>
              <w:bottom w:val="single" w:sz="4" w:space="0" w:color="D0CECE" w:themeColor="background2" w:themeShade="E6"/>
            </w:tcBorders>
          </w:tcPr>
          <w:p w14:paraId="4C28DA07" w14:textId="77777777" w:rsidR="006C4AA9" w:rsidRPr="006C4AA9" w:rsidRDefault="006C4AA9" w:rsidP="006C4AA9">
            <w:pPr>
              <w:tabs>
                <w:tab w:val="left" w:pos="426"/>
              </w:tabs>
              <w:jc w:val="center"/>
              <w:rPr>
                <w:rFonts w:ascii="Arial" w:hAnsi="Arial" w:cs="Arial"/>
                <w:sz w:val="18"/>
                <w:szCs w:val="18"/>
              </w:rPr>
            </w:pPr>
            <w:r w:rsidRPr="006C4AA9">
              <w:rPr>
                <w:rFonts w:ascii="Arial" w:hAnsi="Arial" w:cs="Arial"/>
                <w:sz w:val="18"/>
                <w:szCs w:val="18"/>
              </w:rPr>
              <w:t>Presentó documentación soporte y justificación en reunión de trabajo</w:t>
            </w:r>
          </w:p>
          <w:p w14:paraId="0DD0CBA7" w14:textId="56410CC4" w:rsidR="006C4AA9" w:rsidRPr="003B7EA7" w:rsidRDefault="006C4AA9" w:rsidP="006C4AA9">
            <w:pPr>
              <w:tabs>
                <w:tab w:val="left" w:pos="426"/>
              </w:tabs>
              <w:jc w:val="center"/>
              <w:rPr>
                <w:rFonts w:ascii="Arial" w:hAnsi="Arial" w:cs="Arial"/>
                <w:sz w:val="18"/>
                <w:szCs w:val="18"/>
              </w:rPr>
            </w:pPr>
            <w:r w:rsidRPr="006C4AA9">
              <w:rPr>
                <w:rFonts w:ascii="Arial" w:hAnsi="Arial" w:cs="Arial"/>
                <w:sz w:val="18"/>
                <w:szCs w:val="18"/>
              </w:rPr>
              <w:tab/>
            </w:r>
          </w:p>
        </w:tc>
        <w:tc>
          <w:tcPr>
            <w:tcW w:w="999" w:type="pct"/>
            <w:tcBorders>
              <w:top w:val="single" w:sz="4" w:space="0" w:color="D0CECE" w:themeColor="background2" w:themeShade="E6"/>
              <w:bottom w:val="single" w:sz="4" w:space="0" w:color="D0CECE" w:themeColor="background2" w:themeShade="E6"/>
            </w:tcBorders>
            <w:shd w:val="clear" w:color="auto" w:fill="auto"/>
          </w:tcPr>
          <w:p w14:paraId="1E21751A" w14:textId="746CEEC3" w:rsidR="006C4AA9" w:rsidRDefault="006C4AA9" w:rsidP="006C4AA9">
            <w:pPr>
              <w:tabs>
                <w:tab w:val="left" w:pos="426"/>
              </w:tabs>
              <w:jc w:val="center"/>
              <w:rPr>
                <w:rFonts w:ascii="Arial" w:hAnsi="Arial" w:cs="Arial"/>
                <w:sz w:val="18"/>
                <w:szCs w:val="18"/>
              </w:rPr>
            </w:pPr>
            <w:r>
              <w:rPr>
                <w:rFonts w:ascii="Arial" w:hAnsi="Arial" w:cs="Arial"/>
                <w:sz w:val="18"/>
                <w:szCs w:val="18"/>
              </w:rPr>
              <w:t>Solventada</w:t>
            </w:r>
          </w:p>
        </w:tc>
      </w:tr>
      <w:tr w:rsidR="006C4AA9" w:rsidRPr="00FD0AEF" w14:paraId="0B669B36" w14:textId="77777777" w:rsidTr="00EC7528">
        <w:trPr>
          <w:trHeight w:val="756"/>
        </w:trPr>
        <w:tc>
          <w:tcPr>
            <w:tcW w:w="962" w:type="pct"/>
          </w:tcPr>
          <w:p w14:paraId="7281816E" w14:textId="77777777" w:rsidR="006C4AA9" w:rsidRPr="006C4AA9" w:rsidRDefault="006C4AA9" w:rsidP="006C4AA9">
            <w:pPr>
              <w:tabs>
                <w:tab w:val="left" w:pos="9072"/>
              </w:tabs>
              <w:spacing w:line="360" w:lineRule="auto"/>
              <w:ind w:left="-120" w:right="51"/>
              <w:jc w:val="center"/>
              <w:rPr>
                <w:rFonts w:ascii="Arial" w:hAnsi="Arial" w:cs="Arial"/>
                <w:sz w:val="18"/>
                <w:szCs w:val="18"/>
              </w:rPr>
            </w:pPr>
            <w:r w:rsidRPr="006C4AA9">
              <w:rPr>
                <w:rFonts w:ascii="Arial" w:hAnsi="Arial" w:cs="Arial"/>
                <w:sz w:val="18"/>
                <w:szCs w:val="18"/>
              </w:rPr>
              <w:t>Resultado :2</w:t>
            </w:r>
          </w:p>
          <w:p w14:paraId="51639730" w14:textId="6D4F5B7C" w:rsidR="006C4AA9" w:rsidRPr="006C4AA9" w:rsidRDefault="006C4AA9" w:rsidP="006C4AA9">
            <w:pPr>
              <w:jc w:val="center"/>
              <w:rPr>
                <w:rFonts w:ascii="Arial" w:hAnsi="Arial" w:cs="Arial"/>
                <w:sz w:val="18"/>
                <w:szCs w:val="18"/>
              </w:rPr>
            </w:pPr>
            <w:r w:rsidRPr="006C4AA9">
              <w:rPr>
                <w:rFonts w:ascii="Arial" w:hAnsi="Arial" w:cs="Arial"/>
                <w:sz w:val="18"/>
                <w:szCs w:val="18"/>
              </w:rPr>
              <w:t>Observación :3</w:t>
            </w:r>
          </w:p>
        </w:tc>
        <w:tc>
          <w:tcPr>
            <w:tcW w:w="2077" w:type="pct"/>
          </w:tcPr>
          <w:p w14:paraId="74ABDD95" w14:textId="05B815DE" w:rsidR="006C4AA9" w:rsidRPr="006C4AA9" w:rsidRDefault="006C4AA9" w:rsidP="006C4AA9">
            <w:pPr>
              <w:rPr>
                <w:rFonts w:ascii="Arial" w:hAnsi="Arial" w:cs="Arial"/>
                <w:sz w:val="18"/>
                <w:szCs w:val="18"/>
              </w:rPr>
            </w:pPr>
            <w:r w:rsidRPr="006C4AA9">
              <w:rPr>
                <w:rFonts w:ascii="Arial" w:hAnsi="Arial" w:cs="Arial"/>
                <w:sz w:val="18"/>
                <w:szCs w:val="18"/>
              </w:rPr>
              <w:t>Omisión o inconsistencia en la presentación de información financiera</w:t>
            </w:r>
          </w:p>
        </w:tc>
        <w:tc>
          <w:tcPr>
            <w:tcW w:w="962" w:type="pct"/>
            <w:tcBorders>
              <w:top w:val="single" w:sz="4" w:space="0" w:color="D0CECE" w:themeColor="background2" w:themeShade="E6"/>
              <w:bottom w:val="single" w:sz="4" w:space="0" w:color="D0CECE" w:themeColor="background2" w:themeShade="E6"/>
            </w:tcBorders>
          </w:tcPr>
          <w:p w14:paraId="00609279" w14:textId="2A1A2586" w:rsidR="006C4AA9" w:rsidRPr="003B7EA7" w:rsidRDefault="006C4AA9" w:rsidP="006C4AA9">
            <w:pPr>
              <w:tabs>
                <w:tab w:val="left" w:pos="426"/>
              </w:tabs>
              <w:jc w:val="center"/>
              <w:rPr>
                <w:rFonts w:ascii="Arial" w:hAnsi="Arial" w:cs="Arial"/>
                <w:sz w:val="18"/>
                <w:szCs w:val="18"/>
              </w:rPr>
            </w:pPr>
            <w:r w:rsidRPr="003B7EA7">
              <w:rPr>
                <w:rFonts w:ascii="Arial" w:hAnsi="Arial" w:cs="Arial"/>
                <w:sz w:val="18"/>
                <w:szCs w:val="18"/>
              </w:rPr>
              <w:t>Argumentación y justificación no satisfactoria</w:t>
            </w:r>
          </w:p>
        </w:tc>
        <w:tc>
          <w:tcPr>
            <w:tcW w:w="999" w:type="pct"/>
            <w:tcBorders>
              <w:top w:val="single" w:sz="4" w:space="0" w:color="D0CECE" w:themeColor="background2" w:themeShade="E6"/>
              <w:bottom w:val="single" w:sz="4" w:space="0" w:color="D0CECE" w:themeColor="background2" w:themeShade="E6"/>
            </w:tcBorders>
            <w:shd w:val="clear" w:color="auto" w:fill="auto"/>
          </w:tcPr>
          <w:p w14:paraId="5675FE5A" w14:textId="77777777" w:rsidR="006C4AA9" w:rsidRDefault="006C4AA9" w:rsidP="006C4AA9">
            <w:pPr>
              <w:tabs>
                <w:tab w:val="left" w:pos="426"/>
              </w:tabs>
              <w:jc w:val="center"/>
              <w:rPr>
                <w:rFonts w:ascii="Arial" w:hAnsi="Arial" w:cs="Arial"/>
                <w:sz w:val="18"/>
                <w:szCs w:val="18"/>
              </w:rPr>
            </w:pPr>
            <w:r w:rsidRPr="006C4AA9">
              <w:rPr>
                <w:rFonts w:ascii="Arial" w:hAnsi="Arial" w:cs="Arial"/>
                <w:sz w:val="18"/>
                <w:szCs w:val="18"/>
              </w:rPr>
              <w:t>Promoción de Responsabilidad Administrativa Sancionatoria</w:t>
            </w:r>
          </w:p>
          <w:p w14:paraId="13DFCA75" w14:textId="21E7D8D4" w:rsidR="006C4AA9" w:rsidRDefault="006C4AA9" w:rsidP="006C4AA9">
            <w:pPr>
              <w:tabs>
                <w:tab w:val="left" w:pos="426"/>
              </w:tabs>
              <w:jc w:val="center"/>
              <w:rPr>
                <w:rFonts w:ascii="Arial" w:hAnsi="Arial" w:cs="Arial"/>
                <w:sz w:val="18"/>
                <w:szCs w:val="18"/>
              </w:rPr>
            </w:pPr>
          </w:p>
        </w:tc>
      </w:tr>
      <w:tr w:rsidR="006C4AA9" w:rsidRPr="00FD0AEF" w14:paraId="3EBDCA51" w14:textId="77777777" w:rsidTr="00EC7528">
        <w:trPr>
          <w:trHeight w:val="756"/>
        </w:trPr>
        <w:tc>
          <w:tcPr>
            <w:tcW w:w="962" w:type="pct"/>
          </w:tcPr>
          <w:p w14:paraId="18758E13" w14:textId="77777777" w:rsidR="006C4AA9" w:rsidRPr="006C4AA9" w:rsidRDefault="006C4AA9" w:rsidP="006C4AA9">
            <w:pPr>
              <w:tabs>
                <w:tab w:val="left" w:pos="9072"/>
              </w:tabs>
              <w:spacing w:line="360" w:lineRule="auto"/>
              <w:ind w:left="-120" w:right="51"/>
              <w:jc w:val="center"/>
              <w:rPr>
                <w:rFonts w:ascii="Arial" w:hAnsi="Arial" w:cs="Arial"/>
                <w:sz w:val="18"/>
                <w:szCs w:val="18"/>
              </w:rPr>
            </w:pPr>
            <w:r w:rsidRPr="006C4AA9">
              <w:rPr>
                <w:rFonts w:ascii="Arial" w:hAnsi="Arial" w:cs="Arial"/>
                <w:sz w:val="18"/>
                <w:szCs w:val="18"/>
              </w:rPr>
              <w:t>Resultado :2</w:t>
            </w:r>
          </w:p>
          <w:p w14:paraId="70D82346" w14:textId="77777777" w:rsidR="006C4AA9" w:rsidRPr="006C4AA9" w:rsidRDefault="006C4AA9" w:rsidP="006C4AA9">
            <w:pPr>
              <w:tabs>
                <w:tab w:val="left" w:pos="9072"/>
              </w:tabs>
              <w:spacing w:line="360" w:lineRule="auto"/>
              <w:ind w:left="-120" w:right="51"/>
              <w:jc w:val="center"/>
              <w:rPr>
                <w:rFonts w:ascii="Arial" w:hAnsi="Arial" w:cs="Arial"/>
                <w:sz w:val="18"/>
                <w:szCs w:val="18"/>
              </w:rPr>
            </w:pPr>
            <w:r w:rsidRPr="006C4AA9">
              <w:rPr>
                <w:rFonts w:ascii="Arial" w:hAnsi="Arial" w:cs="Arial"/>
                <w:sz w:val="18"/>
                <w:szCs w:val="18"/>
              </w:rPr>
              <w:t>Observación :4</w:t>
            </w:r>
          </w:p>
          <w:p w14:paraId="7A5D2B01" w14:textId="77777777" w:rsidR="006C4AA9" w:rsidRPr="006C4AA9" w:rsidRDefault="006C4AA9" w:rsidP="006C4AA9">
            <w:pPr>
              <w:jc w:val="center"/>
              <w:rPr>
                <w:rFonts w:ascii="Arial" w:hAnsi="Arial" w:cs="Arial"/>
                <w:sz w:val="18"/>
                <w:szCs w:val="18"/>
              </w:rPr>
            </w:pPr>
          </w:p>
        </w:tc>
        <w:tc>
          <w:tcPr>
            <w:tcW w:w="2077" w:type="pct"/>
          </w:tcPr>
          <w:p w14:paraId="6347C732" w14:textId="3389619E" w:rsidR="006C4AA9" w:rsidRPr="006C4AA9" w:rsidRDefault="006C4AA9" w:rsidP="006C4AA9">
            <w:pPr>
              <w:rPr>
                <w:rFonts w:ascii="Arial" w:hAnsi="Arial" w:cs="Arial"/>
                <w:sz w:val="18"/>
                <w:szCs w:val="18"/>
              </w:rPr>
            </w:pPr>
            <w:r w:rsidRPr="006C4AA9">
              <w:rPr>
                <w:rFonts w:ascii="Arial" w:hAnsi="Arial" w:cs="Arial"/>
                <w:sz w:val="18"/>
                <w:szCs w:val="18"/>
              </w:rPr>
              <w:t>Omisión o inconsistencia en la presentación de información financiera</w:t>
            </w:r>
          </w:p>
        </w:tc>
        <w:tc>
          <w:tcPr>
            <w:tcW w:w="962" w:type="pct"/>
            <w:tcBorders>
              <w:top w:val="single" w:sz="4" w:space="0" w:color="D0CECE" w:themeColor="background2" w:themeShade="E6"/>
              <w:bottom w:val="single" w:sz="4" w:space="0" w:color="D0CECE" w:themeColor="background2" w:themeShade="E6"/>
            </w:tcBorders>
          </w:tcPr>
          <w:p w14:paraId="67E87BAB" w14:textId="77777777" w:rsidR="006C4AA9" w:rsidRPr="006C4AA9" w:rsidRDefault="006C4AA9" w:rsidP="006C4AA9">
            <w:pPr>
              <w:tabs>
                <w:tab w:val="left" w:pos="426"/>
              </w:tabs>
              <w:jc w:val="center"/>
              <w:rPr>
                <w:rFonts w:ascii="Arial" w:hAnsi="Arial" w:cs="Arial"/>
                <w:sz w:val="18"/>
                <w:szCs w:val="18"/>
              </w:rPr>
            </w:pPr>
            <w:r w:rsidRPr="006C4AA9">
              <w:rPr>
                <w:rFonts w:ascii="Arial" w:hAnsi="Arial" w:cs="Arial"/>
                <w:sz w:val="18"/>
                <w:szCs w:val="18"/>
              </w:rPr>
              <w:t>Presentó documentación soporte y justificación en reunión de trabajo</w:t>
            </w:r>
          </w:p>
          <w:p w14:paraId="53B1A28D" w14:textId="5CDD34F2" w:rsidR="006C4AA9" w:rsidRPr="003B7EA7" w:rsidRDefault="006C4AA9" w:rsidP="006C4AA9">
            <w:pPr>
              <w:tabs>
                <w:tab w:val="left" w:pos="426"/>
              </w:tabs>
              <w:jc w:val="center"/>
              <w:rPr>
                <w:rFonts w:ascii="Arial" w:hAnsi="Arial" w:cs="Arial"/>
                <w:sz w:val="18"/>
                <w:szCs w:val="18"/>
              </w:rPr>
            </w:pPr>
            <w:r w:rsidRPr="006C4AA9">
              <w:rPr>
                <w:rFonts w:ascii="Arial" w:hAnsi="Arial" w:cs="Arial"/>
                <w:sz w:val="18"/>
                <w:szCs w:val="18"/>
              </w:rPr>
              <w:tab/>
            </w:r>
          </w:p>
        </w:tc>
        <w:tc>
          <w:tcPr>
            <w:tcW w:w="999" w:type="pct"/>
            <w:tcBorders>
              <w:top w:val="single" w:sz="4" w:space="0" w:color="D0CECE" w:themeColor="background2" w:themeShade="E6"/>
              <w:bottom w:val="single" w:sz="4" w:space="0" w:color="D0CECE" w:themeColor="background2" w:themeShade="E6"/>
            </w:tcBorders>
            <w:shd w:val="clear" w:color="auto" w:fill="auto"/>
          </w:tcPr>
          <w:p w14:paraId="60B5EFCF" w14:textId="50438287" w:rsidR="006C4AA9" w:rsidRDefault="006C4AA9" w:rsidP="006C4AA9">
            <w:pPr>
              <w:tabs>
                <w:tab w:val="left" w:pos="426"/>
              </w:tabs>
              <w:jc w:val="center"/>
              <w:rPr>
                <w:rFonts w:ascii="Arial" w:hAnsi="Arial" w:cs="Arial"/>
                <w:sz w:val="18"/>
                <w:szCs w:val="18"/>
              </w:rPr>
            </w:pPr>
            <w:r>
              <w:rPr>
                <w:rFonts w:ascii="Arial" w:hAnsi="Arial" w:cs="Arial"/>
                <w:sz w:val="18"/>
                <w:szCs w:val="18"/>
              </w:rPr>
              <w:t>Solventada</w:t>
            </w:r>
          </w:p>
        </w:tc>
      </w:tr>
      <w:bookmarkEnd w:id="12"/>
      <w:bookmarkEnd w:id="13"/>
    </w:tbl>
    <w:p w14:paraId="4BD98BA1" w14:textId="77777777" w:rsidR="00F209DE" w:rsidRDefault="00F209DE" w:rsidP="001906E4">
      <w:pPr>
        <w:tabs>
          <w:tab w:val="left" w:pos="2160"/>
          <w:tab w:val="left" w:pos="9072"/>
        </w:tabs>
        <w:spacing w:line="360" w:lineRule="auto"/>
        <w:ind w:right="49"/>
        <w:jc w:val="both"/>
        <w:rPr>
          <w:rFonts w:ascii="Arial" w:hAnsi="Arial" w:cs="Arial"/>
          <w:b/>
        </w:rPr>
      </w:pPr>
    </w:p>
    <w:p w14:paraId="648C0A85" w14:textId="3EE3FFCF" w:rsidR="00871430" w:rsidRPr="001906E4" w:rsidRDefault="00871430" w:rsidP="001906E4">
      <w:pPr>
        <w:tabs>
          <w:tab w:val="left" w:pos="2160"/>
          <w:tab w:val="left" w:pos="9072"/>
        </w:tabs>
        <w:spacing w:line="360" w:lineRule="auto"/>
        <w:ind w:right="49"/>
        <w:jc w:val="both"/>
        <w:rPr>
          <w:rFonts w:ascii="Arial" w:hAnsi="Arial" w:cs="Arial"/>
          <w:b/>
        </w:rPr>
      </w:pPr>
      <w:r w:rsidRPr="001906E4">
        <w:rPr>
          <w:rFonts w:ascii="Arial" w:hAnsi="Arial" w:cs="Arial"/>
          <w:b/>
        </w:rPr>
        <w:t>II. DICTAMEN DEL INFORME INDIVIDUAL DE AUDITORÍA</w:t>
      </w:r>
    </w:p>
    <w:p w14:paraId="0C5C98E4" w14:textId="77777777" w:rsidR="002E0638" w:rsidRPr="001906E4" w:rsidRDefault="002E0638" w:rsidP="001906E4">
      <w:pPr>
        <w:tabs>
          <w:tab w:val="left" w:pos="2160"/>
          <w:tab w:val="left" w:pos="9072"/>
        </w:tabs>
        <w:spacing w:line="360" w:lineRule="auto"/>
        <w:ind w:right="49"/>
        <w:jc w:val="both"/>
        <w:rPr>
          <w:rFonts w:ascii="Arial" w:hAnsi="Arial" w:cs="Arial"/>
          <w:b/>
        </w:rPr>
      </w:pPr>
    </w:p>
    <w:p w14:paraId="244E152A" w14:textId="7C8A7995" w:rsidR="00871430" w:rsidRPr="001906E4" w:rsidRDefault="00871430" w:rsidP="001906E4">
      <w:pPr>
        <w:tabs>
          <w:tab w:val="left" w:pos="9072"/>
        </w:tabs>
        <w:spacing w:line="360" w:lineRule="auto"/>
        <w:ind w:right="49"/>
        <w:jc w:val="both"/>
        <w:rPr>
          <w:rFonts w:ascii="Arial" w:hAnsi="Arial" w:cs="Arial"/>
          <w:b/>
        </w:rPr>
      </w:pPr>
      <w:r w:rsidRPr="001906E4">
        <w:rPr>
          <w:rFonts w:ascii="Arial" w:hAnsi="Arial" w:cs="Arial"/>
        </w:rPr>
        <w:t xml:space="preserve">El presente dictamen se emite el </w:t>
      </w:r>
      <w:r w:rsidR="00552499" w:rsidRPr="001906E4">
        <w:rPr>
          <w:rFonts w:ascii="Arial" w:hAnsi="Arial" w:cs="Arial"/>
        </w:rPr>
        <w:t>1</w:t>
      </w:r>
      <w:r w:rsidR="001E761F" w:rsidRPr="001906E4">
        <w:rPr>
          <w:rFonts w:ascii="Arial" w:hAnsi="Arial" w:cs="Arial"/>
        </w:rPr>
        <w:t>4</w:t>
      </w:r>
      <w:r w:rsidRPr="001906E4">
        <w:rPr>
          <w:rFonts w:ascii="Arial" w:hAnsi="Arial" w:cs="Arial"/>
        </w:rPr>
        <w:t xml:space="preserve"> de octubre de 2020, fecha de conclusión de los trabajos de auditoría, la cual se practicó sobre la información financiera proporcionada por la entidad fiscalizable, consistente en los estados e informes contables y presupuestarios que integran la Cuenta Pública del ejercicio fiscal 2019, formulados, integrados y presentados por </w:t>
      </w:r>
      <w:r w:rsidR="001E761F" w:rsidRPr="001906E4">
        <w:rPr>
          <w:rFonts w:ascii="Arial" w:hAnsi="Arial" w:cs="Arial"/>
        </w:rPr>
        <w:t xml:space="preserve">el fideicomiso </w:t>
      </w:r>
      <w:r w:rsidR="007B487E" w:rsidRPr="001906E4">
        <w:rPr>
          <w:rFonts w:ascii="Arial" w:hAnsi="Arial" w:cs="Arial"/>
          <w:b/>
        </w:rPr>
        <w:t>Fondo de Garantía Líquida o Fuente Alterna de Pago del Estado de Quintana Roo</w:t>
      </w:r>
      <w:r w:rsidR="002E0638" w:rsidRPr="001906E4">
        <w:rPr>
          <w:rFonts w:ascii="Arial" w:hAnsi="Arial" w:cs="Arial"/>
          <w:b/>
        </w:rPr>
        <w:t>.</w:t>
      </w:r>
    </w:p>
    <w:p w14:paraId="67673267" w14:textId="77777777" w:rsidR="002E0638" w:rsidRPr="001906E4" w:rsidRDefault="002E0638" w:rsidP="001906E4">
      <w:pPr>
        <w:tabs>
          <w:tab w:val="left" w:pos="9072"/>
        </w:tabs>
        <w:spacing w:line="360" w:lineRule="auto"/>
        <w:ind w:right="49"/>
        <w:jc w:val="both"/>
        <w:rPr>
          <w:rFonts w:ascii="Arial" w:hAnsi="Arial" w:cs="Arial"/>
          <w:b/>
          <w:lang w:eastAsia="es-MX"/>
        </w:rPr>
      </w:pPr>
    </w:p>
    <w:p w14:paraId="163C2DD5" w14:textId="400FB4E2" w:rsidR="00871430" w:rsidRPr="001906E4" w:rsidRDefault="00871430" w:rsidP="001906E4">
      <w:pPr>
        <w:tabs>
          <w:tab w:val="left" w:pos="9072"/>
        </w:tabs>
        <w:spacing w:line="360" w:lineRule="auto"/>
        <w:ind w:right="49"/>
        <w:jc w:val="both"/>
        <w:rPr>
          <w:rFonts w:ascii="Arial" w:hAnsi="Arial" w:cs="Arial"/>
        </w:rPr>
      </w:pPr>
      <w:r w:rsidRPr="001906E4">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59B14E6" w14:textId="77777777" w:rsidR="002E0638" w:rsidRPr="001906E4" w:rsidRDefault="002E0638" w:rsidP="001906E4">
      <w:pPr>
        <w:tabs>
          <w:tab w:val="left" w:pos="9072"/>
        </w:tabs>
        <w:spacing w:line="360" w:lineRule="auto"/>
        <w:ind w:right="49"/>
        <w:jc w:val="both"/>
        <w:rPr>
          <w:rFonts w:ascii="Arial" w:hAnsi="Arial" w:cs="Arial"/>
        </w:rPr>
      </w:pPr>
    </w:p>
    <w:p w14:paraId="16F7E0FD" w14:textId="3BD71B09" w:rsidR="002E0638" w:rsidRPr="001906E4" w:rsidRDefault="002E0638" w:rsidP="001906E4">
      <w:pPr>
        <w:spacing w:line="360" w:lineRule="auto"/>
        <w:ind w:right="190"/>
        <w:jc w:val="both"/>
        <w:rPr>
          <w:rFonts w:ascii="Arial" w:hAnsi="Arial" w:cs="Arial"/>
        </w:rPr>
      </w:pPr>
      <w:r w:rsidRPr="001906E4">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w:t>
      </w:r>
      <w:r w:rsidR="00DE3BA5" w:rsidRPr="00E024A3">
        <w:rPr>
          <w:rFonts w:ascii="Arial" w:hAnsi="Arial" w:cs="Arial"/>
        </w:rPr>
        <w:t xml:space="preserve">con </w:t>
      </w:r>
      <w:r w:rsidR="00DE3BA5" w:rsidRPr="00DE3BA5">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Pr="001906E4">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1906E4">
        <w:rPr>
          <w:rFonts w:ascii="Arial" w:hAnsi="Arial" w:cs="Arial"/>
        </w:rPr>
        <w:t>y</w:t>
      </w:r>
      <w:proofErr w:type="gramEnd"/>
      <w:r w:rsidRPr="001906E4">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626097B1" w14:textId="77777777" w:rsidR="002E0638" w:rsidRPr="001906E4" w:rsidRDefault="002E0638" w:rsidP="001906E4">
      <w:pPr>
        <w:tabs>
          <w:tab w:val="left" w:pos="9072"/>
        </w:tabs>
        <w:spacing w:line="360" w:lineRule="auto"/>
        <w:ind w:right="49"/>
        <w:jc w:val="both"/>
        <w:rPr>
          <w:rFonts w:ascii="Arial" w:hAnsi="Arial" w:cs="Arial"/>
        </w:rPr>
      </w:pPr>
    </w:p>
    <w:p w14:paraId="019A9435" w14:textId="3FC45F42" w:rsidR="00871430" w:rsidRPr="001906E4" w:rsidRDefault="00871430" w:rsidP="001906E4">
      <w:pPr>
        <w:spacing w:line="360" w:lineRule="auto"/>
        <w:ind w:right="49"/>
        <w:jc w:val="both"/>
        <w:rPr>
          <w:rFonts w:ascii="Arial" w:hAnsi="Arial" w:cs="Arial"/>
        </w:rPr>
      </w:pPr>
      <w:r w:rsidRPr="001906E4">
        <w:rPr>
          <w:rFonts w:ascii="Arial" w:hAnsi="Arial" w:cs="Arial"/>
        </w:rPr>
        <w:t>Con base en los resultados obtenidos en la auditoría practicada a</w:t>
      </w:r>
      <w:r w:rsidR="00FC5A9B" w:rsidRPr="001906E4">
        <w:rPr>
          <w:rFonts w:ascii="Arial" w:hAnsi="Arial" w:cs="Arial"/>
        </w:rPr>
        <w:t xml:space="preserve">l fideicomiso </w:t>
      </w:r>
      <w:r w:rsidR="007B487E" w:rsidRPr="001906E4">
        <w:rPr>
          <w:rFonts w:ascii="Arial" w:hAnsi="Arial" w:cs="Arial"/>
          <w:b/>
          <w:lang w:eastAsia="es-MX"/>
        </w:rPr>
        <w:t>Fondo de Garantía Líquida o Fuente Alterna de Pago del Estado de Quintana Roo</w:t>
      </w:r>
      <w:r w:rsidRPr="001906E4">
        <w:rPr>
          <w:rFonts w:ascii="Arial" w:hAnsi="Arial" w:cs="Arial"/>
        </w:rPr>
        <w:t>,</w:t>
      </w:r>
      <w:r w:rsidRPr="001906E4">
        <w:rPr>
          <w:rFonts w:ascii="Arial" w:hAnsi="Arial" w:cs="Arial"/>
          <w:b/>
        </w:rPr>
        <w:t xml:space="preserve"> </w:t>
      </w:r>
      <w:r w:rsidR="002E0638" w:rsidRPr="001906E4">
        <w:rPr>
          <w:rFonts w:ascii="Arial" w:hAnsi="Arial" w:cs="Arial"/>
        </w:rPr>
        <w:t>número</w:t>
      </w:r>
      <w:r w:rsidR="002E0638" w:rsidRPr="001906E4">
        <w:rPr>
          <w:rFonts w:ascii="Arial" w:hAnsi="Arial" w:cs="Arial"/>
          <w:b/>
        </w:rPr>
        <w:t xml:space="preserve"> </w:t>
      </w:r>
      <w:r w:rsidR="00FC7DD0" w:rsidRPr="001906E4">
        <w:rPr>
          <w:rFonts w:ascii="Arial" w:hAnsi="Arial" w:cs="Arial"/>
          <w:b/>
        </w:rPr>
        <w:t>19-AEMF-C-GOB-063-126</w:t>
      </w:r>
      <w:r w:rsidR="00FC7DD0" w:rsidRPr="001906E4">
        <w:rPr>
          <w:rFonts w:ascii="Arial" w:hAnsi="Arial" w:cs="Arial"/>
        </w:rPr>
        <w:t>, denominada “Auditoría de Cumplimiento Financiero de Ingresos y Otros Beneficios; Gastos y Otras Pérdidas”, cuyo objetivo fue f</w:t>
      </w:r>
      <w:r w:rsidR="00FC7DD0" w:rsidRPr="001906E4">
        <w:rPr>
          <w:rFonts w:ascii="Arial" w:hAnsi="Arial" w:cs="Arial"/>
          <w:bCs/>
        </w:rPr>
        <w:t xml:space="preserve">iscalizar la gestión financiera para comprobar el cumplimiento de lo dispuesto en </w:t>
      </w:r>
      <w:r w:rsidR="001906E4" w:rsidRPr="001906E4">
        <w:rPr>
          <w:rFonts w:ascii="Arial" w:hAnsi="Arial" w:cs="Arial"/>
          <w:bCs/>
        </w:rPr>
        <w:t xml:space="preserve">la </w:t>
      </w:r>
      <w:r w:rsidR="00FC7DD0" w:rsidRPr="001906E4">
        <w:rPr>
          <w:rFonts w:ascii="Arial" w:hAnsi="Arial" w:cs="Arial"/>
          <w:bCs/>
        </w:rPr>
        <w:t xml:space="preserve">el Presupuesto de </w:t>
      </w:r>
      <w:r w:rsidR="00732705">
        <w:rPr>
          <w:rFonts w:ascii="Arial" w:hAnsi="Arial" w:cs="Arial"/>
          <w:bCs/>
        </w:rPr>
        <w:t xml:space="preserve">Ingresos y </w:t>
      </w:r>
      <w:r w:rsidR="00FC7DD0" w:rsidRPr="001906E4">
        <w:rPr>
          <w:rFonts w:ascii="Arial" w:hAnsi="Arial" w:cs="Arial"/>
          <w:bCs/>
        </w:rPr>
        <w:t xml:space="preserve">Egresos autorizado por el Comité Técnico del fideicomiso para el ejercicio fiscal 2019, y demás disposiciones legales aplicables, en cuanto a los ingresos y gastos públicos, incluyendo la revisión del manejo, la custodia y la aplicación de recursos públicos estatales, así como de la demás información financiera, contable y patrimonial, conforme a los preceptos atribuibles, autorizado mediante instrumento jurídico, </w:t>
      </w:r>
      <w:r w:rsidRPr="001906E4">
        <w:rPr>
          <w:rFonts w:ascii="Arial" w:hAnsi="Arial" w:cs="Arial"/>
        </w:rPr>
        <w:t xml:space="preserve">para verificar que </w:t>
      </w:r>
      <w:r w:rsidR="00927B43" w:rsidRPr="001906E4">
        <w:rPr>
          <w:rFonts w:ascii="Arial" w:hAnsi="Arial" w:cs="Arial"/>
        </w:rPr>
        <w:t>el presupuesto asignado a</w:t>
      </w:r>
      <w:r w:rsidR="00FC7DD0" w:rsidRPr="001906E4">
        <w:rPr>
          <w:rFonts w:ascii="Arial" w:hAnsi="Arial" w:cs="Arial"/>
        </w:rPr>
        <w:t xml:space="preserve">l fideicomiso </w:t>
      </w:r>
      <w:r w:rsidR="007B487E" w:rsidRPr="001906E4">
        <w:rPr>
          <w:rFonts w:ascii="Arial" w:hAnsi="Arial" w:cs="Arial"/>
          <w:b/>
          <w:lang w:eastAsia="es-MX"/>
        </w:rPr>
        <w:t>Fondo de Garantía Líquida o Fuente Alterna de Pago del Estado de Quintana Roo</w:t>
      </w:r>
      <w:r w:rsidRPr="001906E4">
        <w:rPr>
          <w:rFonts w:ascii="Arial" w:hAnsi="Arial" w:cs="Arial"/>
          <w:b/>
        </w:rPr>
        <w:t>,</w:t>
      </w:r>
      <w:r w:rsidRPr="001906E4">
        <w:rPr>
          <w:rFonts w:ascii="Arial" w:hAnsi="Arial" w:cs="Arial"/>
        </w:rPr>
        <w:t xml:space="preserve"> se hayan </w:t>
      </w:r>
      <w:r w:rsidR="00927B43" w:rsidRPr="001906E4">
        <w:rPr>
          <w:rFonts w:ascii="Arial" w:hAnsi="Arial" w:cs="Arial"/>
        </w:rPr>
        <w:t>obtenido</w:t>
      </w:r>
      <w:r w:rsidR="00FC7DD0" w:rsidRPr="001906E4">
        <w:rPr>
          <w:rFonts w:ascii="Arial" w:hAnsi="Arial" w:cs="Arial"/>
        </w:rPr>
        <w:t>, ejercido</w:t>
      </w:r>
      <w:r w:rsidRPr="001906E4">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FC7DD0" w:rsidRPr="001906E4">
        <w:rPr>
          <w:rFonts w:ascii="Arial" w:hAnsi="Arial" w:cs="Arial"/>
        </w:rPr>
        <w:t xml:space="preserve"> el fideicomiso</w:t>
      </w:r>
      <w:r w:rsidRPr="001906E4">
        <w:rPr>
          <w:rFonts w:ascii="Arial" w:hAnsi="Arial" w:cs="Arial"/>
        </w:rPr>
        <w:t xml:space="preserve"> </w:t>
      </w:r>
      <w:r w:rsidR="007B487E" w:rsidRPr="001906E4">
        <w:rPr>
          <w:rFonts w:ascii="Arial" w:hAnsi="Arial" w:cs="Arial"/>
          <w:b/>
          <w:lang w:eastAsia="es-MX"/>
        </w:rPr>
        <w:t>Fondo de Garantía Líquida o Fuente Alterna de Pago del Estado de Quintana Roo</w:t>
      </w:r>
      <w:r w:rsidRPr="001906E4">
        <w:rPr>
          <w:rFonts w:ascii="Arial" w:hAnsi="Arial" w:cs="Arial"/>
          <w:b/>
          <w:lang w:eastAsia="es-MX"/>
        </w:rPr>
        <w:t xml:space="preserve">, </w:t>
      </w:r>
      <w:r w:rsidRPr="001906E4">
        <w:rPr>
          <w:rFonts w:ascii="Arial" w:hAnsi="Arial" w:cs="Arial"/>
        </w:rPr>
        <w:t>cumplió con las disposiciones legales y normativas que son aplicables en la materia.</w:t>
      </w:r>
    </w:p>
    <w:p w14:paraId="32839551" w14:textId="77777777" w:rsidR="002E0638" w:rsidRPr="001906E4" w:rsidRDefault="002E0638" w:rsidP="001906E4">
      <w:pPr>
        <w:spacing w:line="360" w:lineRule="auto"/>
        <w:ind w:right="49"/>
        <w:jc w:val="both"/>
        <w:rPr>
          <w:rFonts w:ascii="Arial" w:hAnsi="Arial" w:cs="Arial"/>
        </w:rPr>
      </w:pPr>
    </w:p>
    <w:p w14:paraId="3F796605" w14:textId="778587CD" w:rsidR="00871430" w:rsidRPr="001906E4" w:rsidRDefault="00871430" w:rsidP="001906E4">
      <w:pPr>
        <w:tabs>
          <w:tab w:val="left" w:pos="9072"/>
        </w:tabs>
        <w:spacing w:line="360" w:lineRule="auto"/>
        <w:ind w:right="49"/>
        <w:jc w:val="both"/>
        <w:rPr>
          <w:rFonts w:ascii="Arial" w:hAnsi="Arial" w:cs="Arial"/>
        </w:rPr>
      </w:pPr>
      <w:r w:rsidRPr="001906E4">
        <w:rPr>
          <w:rFonts w:ascii="Arial" w:hAnsi="Arial" w:cs="Arial"/>
        </w:rPr>
        <w:t xml:space="preserve">La </w:t>
      </w:r>
      <w:r w:rsidR="00975208" w:rsidRPr="001906E4">
        <w:rPr>
          <w:rFonts w:ascii="Arial" w:hAnsi="Arial" w:cs="Arial"/>
        </w:rPr>
        <w:t>acción</w:t>
      </w:r>
      <w:r w:rsidRPr="001906E4">
        <w:rPr>
          <w:rFonts w:ascii="Arial" w:hAnsi="Arial" w:cs="Arial"/>
        </w:rPr>
        <w:t xml:space="preserve"> emitida quedará</w:t>
      </w:r>
      <w:r w:rsidR="00975208" w:rsidRPr="001906E4">
        <w:rPr>
          <w:rFonts w:ascii="Arial" w:hAnsi="Arial" w:cs="Arial"/>
        </w:rPr>
        <w:t xml:space="preserve"> formalmente promovida</w:t>
      </w:r>
      <w:r w:rsidRPr="001906E4">
        <w:rPr>
          <w:rFonts w:ascii="Arial" w:hAnsi="Arial" w:cs="Arial"/>
        </w:rPr>
        <w:t xml:space="preserve">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r w:rsidR="00FC7DD0" w:rsidRPr="001906E4">
        <w:rPr>
          <w:rFonts w:ascii="Arial" w:hAnsi="Arial" w:cs="Arial"/>
        </w:rPr>
        <w:t>para su justificación y aclaración</w:t>
      </w:r>
      <w:r w:rsidR="00975208" w:rsidRPr="001906E4">
        <w:rPr>
          <w:rFonts w:ascii="Arial" w:hAnsi="Arial" w:cs="Arial"/>
        </w:rPr>
        <w:t xml:space="preserve"> de la acción</w:t>
      </w:r>
      <w:r w:rsidRPr="001906E4">
        <w:rPr>
          <w:rFonts w:ascii="Arial" w:hAnsi="Arial" w:cs="Arial"/>
        </w:rPr>
        <w:t>, realizando las consideraciones pertinentes de acuerdo a la Ley de Fiscalización y Rendición de Cuentas del Estado de Quintana Roo.</w:t>
      </w:r>
    </w:p>
    <w:p w14:paraId="16E8646B" w14:textId="77777777" w:rsidR="001906E4" w:rsidRDefault="001906E4" w:rsidP="001906E4">
      <w:pPr>
        <w:tabs>
          <w:tab w:val="left" w:pos="9072"/>
        </w:tabs>
        <w:spacing w:line="360" w:lineRule="auto"/>
        <w:ind w:right="49"/>
        <w:jc w:val="both"/>
        <w:rPr>
          <w:rFonts w:ascii="Arial" w:hAnsi="Arial" w:cs="Arial"/>
          <w:b/>
        </w:rPr>
      </w:pPr>
    </w:p>
    <w:p w14:paraId="248BDD6C" w14:textId="1D75077F" w:rsidR="00871430" w:rsidRPr="001906E4" w:rsidRDefault="00871430" w:rsidP="001906E4">
      <w:pPr>
        <w:tabs>
          <w:tab w:val="left" w:pos="9072"/>
        </w:tabs>
        <w:spacing w:line="360" w:lineRule="auto"/>
        <w:ind w:right="49"/>
        <w:jc w:val="center"/>
        <w:rPr>
          <w:rFonts w:ascii="Arial" w:hAnsi="Arial" w:cs="Arial"/>
          <w:b/>
        </w:rPr>
      </w:pPr>
      <w:r w:rsidRPr="001906E4">
        <w:rPr>
          <w:rFonts w:ascii="Arial" w:hAnsi="Arial" w:cs="Arial"/>
          <w:b/>
        </w:rPr>
        <w:t>EL AUDITOR SUPERIOR DEL ESTADO</w:t>
      </w:r>
    </w:p>
    <w:p w14:paraId="28EE6441" w14:textId="248D071F" w:rsidR="00871430" w:rsidRDefault="00871430" w:rsidP="001906E4">
      <w:pPr>
        <w:tabs>
          <w:tab w:val="left" w:pos="9072"/>
        </w:tabs>
        <w:spacing w:line="360" w:lineRule="auto"/>
        <w:ind w:right="49"/>
        <w:jc w:val="center"/>
        <w:rPr>
          <w:rFonts w:ascii="Arial" w:hAnsi="Arial" w:cs="Arial"/>
          <w:b/>
        </w:rPr>
      </w:pPr>
    </w:p>
    <w:p w14:paraId="5156F4D2" w14:textId="252D92AF" w:rsidR="001906E4" w:rsidRDefault="001906E4" w:rsidP="001906E4">
      <w:pPr>
        <w:tabs>
          <w:tab w:val="left" w:pos="9072"/>
        </w:tabs>
        <w:spacing w:line="360" w:lineRule="auto"/>
        <w:ind w:right="49"/>
        <w:jc w:val="center"/>
        <w:rPr>
          <w:rFonts w:ascii="Arial" w:hAnsi="Arial" w:cs="Arial"/>
          <w:b/>
        </w:rPr>
      </w:pPr>
    </w:p>
    <w:p w14:paraId="606106EF" w14:textId="77777777" w:rsidR="001906E4" w:rsidRPr="001906E4" w:rsidRDefault="001906E4" w:rsidP="001906E4">
      <w:pPr>
        <w:tabs>
          <w:tab w:val="left" w:pos="9072"/>
        </w:tabs>
        <w:spacing w:line="360" w:lineRule="auto"/>
        <w:ind w:right="49"/>
        <w:jc w:val="center"/>
        <w:rPr>
          <w:rFonts w:ascii="Arial" w:hAnsi="Arial" w:cs="Arial"/>
          <w:b/>
        </w:rPr>
      </w:pPr>
    </w:p>
    <w:p w14:paraId="0FDA74BA" w14:textId="63E86CE1" w:rsidR="00612C0C" w:rsidRDefault="00871430" w:rsidP="00083707">
      <w:pPr>
        <w:tabs>
          <w:tab w:val="left" w:pos="9072"/>
        </w:tabs>
        <w:spacing w:line="360" w:lineRule="auto"/>
        <w:ind w:right="49"/>
        <w:jc w:val="center"/>
        <w:rPr>
          <w:rFonts w:ascii="Arial" w:hAnsi="Arial" w:cs="Arial"/>
        </w:rPr>
      </w:pPr>
      <w:r w:rsidRPr="001906E4">
        <w:rPr>
          <w:rFonts w:ascii="Arial" w:hAnsi="Arial" w:cs="Arial"/>
          <w:b/>
        </w:rPr>
        <w:t>L.C.C. MANUEL PALACIOS HERRERA</w:t>
      </w:r>
    </w:p>
    <w:p w14:paraId="0B9FE12E" w14:textId="7B90021F" w:rsidR="00612C0C" w:rsidRDefault="00612C0C" w:rsidP="00CD66A3">
      <w:pPr>
        <w:spacing w:line="360" w:lineRule="auto"/>
        <w:ind w:right="190"/>
        <w:jc w:val="both"/>
        <w:rPr>
          <w:rFonts w:ascii="Arial" w:hAnsi="Arial" w:cs="Arial"/>
        </w:rPr>
      </w:pPr>
    </w:p>
    <w:sectPr w:rsidR="00612C0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026D" w14:textId="77777777" w:rsidR="00D245AD" w:rsidRDefault="00D245AD">
      <w:r>
        <w:separator/>
      </w:r>
    </w:p>
  </w:endnote>
  <w:endnote w:type="continuationSeparator" w:id="0">
    <w:p w14:paraId="7E936CE1" w14:textId="77777777" w:rsidR="00D245AD" w:rsidRDefault="00D245AD">
      <w:r>
        <w:continuationSeparator/>
      </w:r>
    </w:p>
  </w:endnote>
  <w:endnote w:type="continuationNotice" w:id="1">
    <w:p w14:paraId="35AA037D" w14:textId="77777777" w:rsidR="00D245AD" w:rsidRDefault="00D24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D245AD" w:rsidRPr="00D875E2" w14:paraId="0163069B" w14:textId="77777777" w:rsidTr="00D85C61">
      <w:tc>
        <w:tcPr>
          <w:tcW w:w="10395" w:type="dxa"/>
          <w:shd w:val="clear" w:color="auto" w:fill="auto"/>
        </w:tcPr>
        <w:p w14:paraId="750CA6AC" w14:textId="77777777" w:rsidR="00D245AD" w:rsidRPr="00D875E2" w:rsidRDefault="00D245AD" w:rsidP="00FD32C2">
          <w:pPr>
            <w:rPr>
              <w:rStyle w:val="nfasis"/>
              <w:i w:val="0"/>
              <w:iCs w:val="0"/>
            </w:rPr>
          </w:pPr>
        </w:p>
      </w:tc>
    </w:tr>
  </w:tbl>
  <w:p w14:paraId="4F010DFF" w14:textId="28FB7CEC" w:rsidR="00D245AD" w:rsidRPr="00B516B6" w:rsidRDefault="00D245AD">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4F3666">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4F3666">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C8A71" w14:textId="77777777" w:rsidR="00D245AD" w:rsidRDefault="00D245AD">
      <w:r>
        <w:separator/>
      </w:r>
    </w:p>
  </w:footnote>
  <w:footnote w:type="continuationSeparator" w:id="0">
    <w:p w14:paraId="187EAB9F" w14:textId="77777777" w:rsidR="00D245AD" w:rsidRDefault="00D245AD">
      <w:r>
        <w:continuationSeparator/>
      </w:r>
    </w:p>
  </w:footnote>
  <w:footnote w:type="continuationNotice" w:id="1">
    <w:p w14:paraId="39D8AFA8" w14:textId="77777777" w:rsidR="00D245AD" w:rsidRDefault="00D245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083707" w:rsidRPr="006F757C" w14:paraId="3F6F1DD8" w14:textId="77777777" w:rsidTr="001D3EB1">
      <w:tc>
        <w:tcPr>
          <w:tcW w:w="2125" w:type="dxa"/>
          <w:vAlign w:val="center"/>
        </w:tcPr>
        <w:p w14:paraId="6BD3D4E9" w14:textId="77777777" w:rsidR="00083707" w:rsidRPr="00CF3DF4" w:rsidRDefault="00083707" w:rsidP="00083707">
          <w:pPr>
            <w:tabs>
              <w:tab w:val="center" w:pos="4419"/>
              <w:tab w:val="right" w:pos="8838"/>
            </w:tabs>
            <w:jc w:val="center"/>
            <w:rPr>
              <w:rFonts w:ascii="Arial" w:hAnsi="Arial" w:cs="Arial"/>
              <w:noProof/>
              <w:sz w:val="18"/>
              <w:szCs w:val="18"/>
              <w:lang w:eastAsia="es-MX"/>
            </w:rPr>
          </w:pPr>
        </w:p>
      </w:tc>
      <w:tc>
        <w:tcPr>
          <w:tcW w:w="5457" w:type="dxa"/>
          <w:vAlign w:val="center"/>
        </w:tcPr>
        <w:p w14:paraId="389BDA64" w14:textId="77777777" w:rsidR="00083707" w:rsidRPr="00CF3DF4" w:rsidRDefault="00083707" w:rsidP="00083707">
          <w:pPr>
            <w:tabs>
              <w:tab w:val="center" w:pos="4419"/>
              <w:tab w:val="right" w:pos="8838"/>
            </w:tabs>
            <w:jc w:val="center"/>
            <w:rPr>
              <w:rFonts w:ascii="Arial" w:hAnsi="Arial" w:cs="Arial"/>
              <w:sz w:val="18"/>
              <w:szCs w:val="18"/>
            </w:rPr>
          </w:pPr>
        </w:p>
      </w:tc>
      <w:tc>
        <w:tcPr>
          <w:tcW w:w="2030" w:type="dxa"/>
          <w:vAlign w:val="center"/>
        </w:tcPr>
        <w:p w14:paraId="4E160FF6" w14:textId="77777777" w:rsidR="00083707" w:rsidRPr="00207E4F" w:rsidRDefault="00083707" w:rsidP="00083707">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083707" w:rsidRPr="003316E8" w14:paraId="3561D482" w14:textId="77777777" w:rsidTr="001D3EB1">
      <w:tc>
        <w:tcPr>
          <w:tcW w:w="2125" w:type="dxa"/>
          <w:vAlign w:val="center"/>
          <w:hideMark/>
        </w:tcPr>
        <w:p w14:paraId="24D8BA44" w14:textId="77777777" w:rsidR="00083707" w:rsidRPr="003316E8" w:rsidRDefault="00083707" w:rsidP="00083707">
          <w:pPr>
            <w:tabs>
              <w:tab w:val="center" w:pos="4419"/>
              <w:tab w:val="right" w:pos="8838"/>
            </w:tabs>
            <w:jc w:val="center"/>
          </w:pPr>
          <w:r>
            <w:rPr>
              <w:noProof/>
              <w:lang w:eastAsia="es-MX"/>
            </w:rPr>
            <w:drawing>
              <wp:inline distT="0" distB="0" distL="0" distR="0" wp14:anchorId="14AB8B91" wp14:editId="1415F9AB">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96E9188" w14:textId="77777777" w:rsidR="00083707" w:rsidRDefault="00083707" w:rsidP="0008370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1D1C52F" w14:textId="77777777" w:rsidR="00083707" w:rsidRPr="003316E8" w:rsidRDefault="00083707" w:rsidP="0008370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37864715" w14:textId="77777777" w:rsidR="00083707" w:rsidRPr="003316E8" w:rsidRDefault="00083707" w:rsidP="00083707">
          <w:pPr>
            <w:tabs>
              <w:tab w:val="center" w:pos="4419"/>
              <w:tab w:val="right" w:pos="8838"/>
            </w:tabs>
            <w:jc w:val="center"/>
          </w:pPr>
          <w:r w:rsidRPr="00004915">
            <w:rPr>
              <w:rFonts w:ascii="Algerian" w:hAnsi="Algerian"/>
              <w:noProof/>
              <w:sz w:val="40"/>
              <w:szCs w:val="40"/>
              <w:lang w:eastAsia="es-MX"/>
            </w:rPr>
            <w:drawing>
              <wp:inline distT="0" distB="0" distL="0" distR="0" wp14:anchorId="2A17CD3E" wp14:editId="6E299F3C">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83707" w:rsidRPr="003316E8" w14:paraId="50D19E1C" w14:textId="77777777" w:rsidTr="001D3EB1">
      <w:tc>
        <w:tcPr>
          <w:tcW w:w="2125" w:type="dxa"/>
          <w:tcBorders>
            <w:top w:val="nil"/>
            <w:left w:val="nil"/>
            <w:bottom w:val="thinThickSmallGap" w:sz="24" w:space="0" w:color="auto"/>
            <w:right w:val="nil"/>
          </w:tcBorders>
        </w:tcPr>
        <w:p w14:paraId="05225DF1" w14:textId="77777777" w:rsidR="00083707" w:rsidRPr="003316E8" w:rsidRDefault="00083707" w:rsidP="00083707">
          <w:pPr>
            <w:tabs>
              <w:tab w:val="center" w:pos="4419"/>
              <w:tab w:val="right" w:pos="8838"/>
            </w:tabs>
            <w:rPr>
              <w:sz w:val="10"/>
            </w:rPr>
          </w:pPr>
        </w:p>
      </w:tc>
      <w:tc>
        <w:tcPr>
          <w:tcW w:w="5457" w:type="dxa"/>
          <w:tcBorders>
            <w:top w:val="nil"/>
            <w:left w:val="nil"/>
            <w:bottom w:val="thinThickSmallGap" w:sz="24" w:space="0" w:color="auto"/>
            <w:right w:val="nil"/>
          </w:tcBorders>
        </w:tcPr>
        <w:p w14:paraId="127A8A72" w14:textId="77777777" w:rsidR="00083707" w:rsidRPr="003316E8" w:rsidRDefault="00083707" w:rsidP="00083707">
          <w:pPr>
            <w:tabs>
              <w:tab w:val="center" w:pos="4419"/>
              <w:tab w:val="right" w:pos="8838"/>
            </w:tabs>
            <w:rPr>
              <w:sz w:val="10"/>
            </w:rPr>
          </w:pPr>
        </w:p>
      </w:tc>
      <w:tc>
        <w:tcPr>
          <w:tcW w:w="2030" w:type="dxa"/>
          <w:tcBorders>
            <w:top w:val="nil"/>
            <w:left w:val="nil"/>
            <w:bottom w:val="thinThickSmallGap" w:sz="24" w:space="0" w:color="auto"/>
            <w:right w:val="nil"/>
          </w:tcBorders>
        </w:tcPr>
        <w:p w14:paraId="021DEB1E" w14:textId="77777777" w:rsidR="00083707" w:rsidRPr="003316E8" w:rsidRDefault="00083707" w:rsidP="00083707">
          <w:pPr>
            <w:tabs>
              <w:tab w:val="center" w:pos="4419"/>
              <w:tab w:val="right" w:pos="8838"/>
            </w:tabs>
            <w:rPr>
              <w:sz w:val="10"/>
            </w:rPr>
          </w:pPr>
        </w:p>
      </w:tc>
    </w:tr>
  </w:tbl>
  <w:p w14:paraId="6A6B5648" w14:textId="77777777" w:rsidR="00083707" w:rsidRDefault="000837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076784"/>
    <w:multiLevelType w:val="hybridMultilevel"/>
    <w:tmpl w:val="11CAB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6B67CB"/>
    <w:multiLevelType w:val="hybridMultilevel"/>
    <w:tmpl w:val="4C8C2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3683A36"/>
    <w:multiLevelType w:val="hybridMultilevel"/>
    <w:tmpl w:val="944820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8351E0"/>
    <w:multiLevelType w:val="hybridMultilevel"/>
    <w:tmpl w:val="0A2ED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D31C13"/>
    <w:multiLevelType w:val="hybridMultilevel"/>
    <w:tmpl w:val="5E36C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A43EA2"/>
    <w:multiLevelType w:val="hybridMultilevel"/>
    <w:tmpl w:val="1550F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C7A18B4"/>
    <w:multiLevelType w:val="hybridMultilevel"/>
    <w:tmpl w:val="3000E4EC"/>
    <w:lvl w:ilvl="0" w:tplc="A2E01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2"/>
  </w:num>
  <w:num w:numId="5">
    <w:abstractNumId w:val="22"/>
  </w:num>
  <w:num w:numId="6">
    <w:abstractNumId w:val="9"/>
  </w:num>
  <w:num w:numId="7">
    <w:abstractNumId w:val="20"/>
  </w:num>
  <w:num w:numId="8">
    <w:abstractNumId w:val="11"/>
  </w:num>
  <w:num w:numId="9">
    <w:abstractNumId w:val="23"/>
  </w:num>
  <w:num w:numId="10">
    <w:abstractNumId w:val="3"/>
  </w:num>
  <w:num w:numId="11">
    <w:abstractNumId w:val="24"/>
  </w:num>
  <w:num w:numId="12">
    <w:abstractNumId w:val="1"/>
  </w:num>
  <w:num w:numId="13">
    <w:abstractNumId w:val="4"/>
  </w:num>
  <w:num w:numId="14">
    <w:abstractNumId w:val="10"/>
  </w:num>
  <w:num w:numId="15">
    <w:abstractNumId w:val="14"/>
  </w:num>
  <w:num w:numId="16">
    <w:abstractNumId w:val="13"/>
  </w:num>
  <w:num w:numId="17">
    <w:abstractNumId w:val="16"/>
  </w:num>
  <w:num w:numId="18">
    <w:abstractNumId w:val="15"/>
  </w:num>
  <w:num w:numId="19">
    <w:abstractNumId w:val="8"/>
  </w:num>
  <w:num w:numId="20">
    <w:abstractNumId w:val="5"/>
  </w:num>
  <w:num w:numId="21">
    <w:abstractNumId w:val="21"/>
  </w:num>
  <w:num w:numId="22">
    <w:abstractNumId w:val="17"/>
  </w:num>
  <w:num w:numId="23">
    <w:abstractNumId w:val="25"/>
  </w:num>
  <w:num w:numId="24">
    <w:abstractNumId w:val="18"/>
  </w:num>
  <w:num w:numId="25">
    <w:abstractNumId w:val="2"/>
  </w:num>
  <w:num w:numId="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2E6"/>
    <w:rsid w:val="000054CE"/>
    <w:rsid w:val="000055BD"/>
    <w:rsid w:val="00005716"/>
    <w:rsid w:val="00005793"/>
    <w:rsid w:val="00005FCF"/>
    <w:rsid w:val="000065D2"/>
    <w:rsid w:val="00006E8D"/>
    <w:rsid w:val="00006FB3"/>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22F"/>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52B"/>
    <w:rsid w:val="00073637"/>
    <w:rsid w:val="00073C40"/>
    <w:rsid w:val="000747BF"/>
    <w:rsid w:val="00075601"/>
    <w:rsid w:val="0008009F"/>
    <w:rsid w:val="00080D5B"/>
    <w:rsid w:val="000811EE"/>
    <w:rsid w:val="000813E3"/>
    <w:rsid w:val="00081643"/>
    <w:rsid w:val="00081A40"/>
    <w:rsid w:val="00081D9A"/>
    <w:rsid w:val="00082281"/>
    <w:rsid w:val="00082E2F"/>
    <w:rsid w:val="00083707"/>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42"/>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26D2"/>
    <w:rsid w:val="00122B79"/>
    <w:rsid w:val="00122E09"/>
    <w:rsid w:val="00122FFE"/>
    <w:rsid w:val="00123139"/>
    <w:rsid w:val="00123982"/>
    <w:rsid w:val="00123B63"/>
    <w:rsid w:val="00123C00"/>
    <w:rsid w:val="00124295"/>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6F7B"/>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6E4"/>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E761F"/>
    <w:rsid w:val="001F0A16"/>
    <w:rsid w:val="001F0E6C"/>
    <w:rsid w:val="001F0E74"/>
    <w:rsid w:val="001F0F69"/>
    <w:rsid w:val="001F16BE"/>
    <w:rsid w:val="001F1733"/>
    <w:rsid w:val="001F1F51"/>
    <w:rsid w:val="001F1F64"/>
    <w:rsid w:val="001F1F86"/>
    <w:rsid w:val="001F2458"/>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300"/>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410"/>
    <w:rsid w:val="00254FFF"/>
    <w:rsid w:val="0025545B"/>
    <w:rsid w:val="0025587D"/>
    <w:rsid w:val="002559E8"/>
    <w:rsid w:val="0025709A"/>
    <w:rsid w:val="002574B7"/>
    <w:rsid w:val="0025793C"/>
    <w:rsid w:val="002579D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98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638"/>
    <w:rsid w:val="002E0BDD"/>
    <w:rsid w:val="002E128B"/>
    <w:rsid w:val="002E12CC"/>
    <w:rsid w:val="002E1770"/>
    <w:rsid w:val="002E1AEF"/>
    <w:rsid w:val="002E1D20"/>
    <w:rsid w:val="002E2A36"/>
    <w:rsid w:val="002E378F"/>
    <w:rsid w:val="002E3E76"/>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6DB"/>
    <w:rsid w:val="00306329"/>
    <w:rsid w:val="00306360"/>
    <w:rsid w:val="00306470"/>
    <w:rsid w:val="00306B1C"/>
    <w:rsid w:val="00307224"/>
    <w:rsid w:val="0030753F"/>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998"/>
    <w:rsid w:val="003268E1"/>
    <w:rsid w:val="00326B85"/>
    <w:rsid w:val="00326ECA"/>
    <w:rsid w:val="00326F37"/>
    <w:rsid w:val="00327467"/>
    <w:rsid w:val="003278E3"/>
    <w:rsid w:val="003300B5"/>
    <w:rsid w:val="003301C4"/>
    <w:rsid w:val="00330385"/>
    <w:rsid w:val="0033042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F81"/>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36"/>
    <w:rsid w:val="003C4C9D"/>
    <w:rsid w:val="003C5846"/>
    <w:rsid w:val="003C5CD0"/>
    <w:rsid w:val="003C5CF6"/>
    <w:rsid w:val="003C5E7B"/>
    <w:rsid w:val="003C5E83"/>
    <w:rsid w:val="003C618E"/>
    <w:rsid w:val="003C7AFF"/>
    <w:rsid w:val="003C7BDB"/>
    <w:rsid w:val="003C7FAA"/>
    <w:rsid w:val="003D0010"/>
    <w:rsid w:val="003D009D"/>
    <w:rsid w:val="003D02CC"/>
    <w:rsid w:val="003D17DE"/>
    <w:rsid w:val="003D3CC6"/>
    <w:rsid w:val="003D3F0F"/>
    <w:rsid w:val="003D45FB"/>
    <w:rsid w:val="003D4625"/>
    <w:rsid w:val="003D4F9C"/>
    <w:rsid w:val="003D5AE3"/>
    <w:rsid w:val="003D6FFF"/>
    <w:rsid w:val="003D707B"/>
    <w:rsid w:val="003D7DB9"/>
    <w:rsid w:val="003E04BC"/>
    <w:rsid w:val="003E0782"/>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3DC"/>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AC9"/>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21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666"/>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BD2"/>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499"/>
    <w:rsid w:val="00552F09"/>
    <w:rsid w:val="00552FEE"/>
    <w:rsid w:val="005530FC"/>
    <w:rsid w:val="00554450"/>
    <w:rsid w:val="00554C86"/>
    <w:rsid w:val="00554D29"/>
    <w:rsid w:val="00556314"/>
    <w:rsid w:val="005564AC"/>
    <w:rsid w:val="0055725E"/>
    <w:rsid w:val="005574AE"/>
    <w:rsid w:val="00560609"/>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57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5A09"/>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5687"/>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65E1"/>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19"/>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287"/>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39C"/>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4AA9"/>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485"/>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50C"/>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05"/>
    <w:rsid w:val="007327F7"/>
    <w:rsid w:val="00732C59"/>
    <w:rsid w:val="0073389F"/>
    <w:rsid w:val="0073396E"/>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AB6"/>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87E"/>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B8C"/>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41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0A1"/>
    <w:rsid w:val="0081032A"/>
    <w:rsid w:val="008107B2"/>
    <w:rsid w:val="0081097F"/>
    <w:rsid w:val="008114A3"/>
    <w:rsid w:val="0081186E"/>
    <w:rsid w:val="00811AD0"/>
    <w:rsid w:val="00811E50"/>
    <w:rsid w:val="008121EE"/>
    <w:rsid w:val="0081279B"/>
    <w:rsid w:val="00812970"/>
    <w:rsid w:val="00812B2E"/>
    <w:rsid w:val="00812DDD"/>
    <w:rsid w:val="00813133"/>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30"/>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2E9"/>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B43"/>
    <w:rsid w:val="00927C6A"/>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08"/>
    <w:rsid w:val="00975244"/>
    <w:rsid w:val="009753FF"/>
    <w:rsid w:val="00975440"/>
    <w:rsid w:val="00975710"/>
    <w:rsid w:val="00975E73"/>
    <w:rsid w:val="00976B84"/>
    <w:rsid w:val="009772B3"/>
    <w:rsid w:val="00977397"/>
    <w:rsid w:val="00977806"/>
    <w:rsid w:val="00980758"/>
    <w:rsid w:val="00980D25"/>
    <w:rsid w:val="0098102A"/>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5AA"/>
    <w:rsid w:val="009A1F74"/>
    <w:rsid w:val="009A2156"/>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243"/>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51F"/>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50F"/>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8E0"/>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2B20"/>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3D1A"/>
    <w:rsid w:val="00C141E0"/>
    <w:rsid w:val="00C14308"/>
    <w:rsid w:val="00C14642"/>
    <w:rsid w:val="00C15342"/>
    <w:rsid w:val="00C15F08"/>
    <w:rsid w:val="00C170F5"/>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BBC"/>
    <w:rsid w:val="00C63F1E"/>
    <w:rsid w:val="00C65145"/>
    <w:rsid w:val="00C65499"/>
    <w:rsid w:val="00C658DC"/>
    <w:rsid w:val="00C66D8A"/>
    <w:rsid w:val="00C66EEE"/>
    <w:rsid w:val="00C67430"/>
    <w:rsid w:val="00C677D4"/>
    <w:rsid w:val="00C67909"/>
    <w:rsid w:val="00C67C9C"/>
    <w:rsid w:val="00C70195"/>
    <w:rsid w:val="00C7048C"/>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2CE"/>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3"/>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5AD"/>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B4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5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3BA5"/>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54D"/>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4D58"/>
    <w:rsid w:val="00E356AD"/>
    <w:rsid w:val="00E35C85"/>
    <w:rsid w:val="00E36135"/>
    <w:rsid w:val="00E36191"/>
    <w:rsid w:val="00E36266"/>
    <w:rsid w:val="00E3658B"/>
    <w:rsid w:val="00E367CE"/>
    <w:rsid w:val="00E36A1E"/>
    <w:rsid w:val="00E36A53"/>
    <w:rsid w:val="00E36EA1"/>
    <w:rsid w:val="00E36EF8"/>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113"/>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1A8"/>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DB9"/>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9DE"/>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0D5C"/>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BA5"/>
    <w:rsid w:val="00F73D9B"/>
    <w:rsid w:val="00F7409D"/>
    <w:rsid w:val="00F74D0F"/>
    <w:rsid w:val="00F74D96"/>
    <w:rsid w:val="00F74DF4"/>
    <w:rsid w:val="00F752E0"/>
    <w:rsid w:val="00F75601"/>
    <w:rsid w:val="00F7598F"/>
    <w:rsid w:val="00F75FDE"/>
    <w:rsid w:val="00F761C9"/>
    <w:rsid w:val="00F76AE4"/>
    <w:rsid w:val="00F76FD0"/>
    <w:rsid w:val="00F774DC"/>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254"/>
    <w:rsid w:val="00F91FF8"/>
    <w:rsid w:val="00F9200B"/>
    <w:rsid w:val="00F92039"/>
    <w:rsid w:val="00F9232A"/>
    <w:rsid w:val="00F925D3"/>
    <w:rsid w:val="00F928A6"/>
    <w:rsid w:val="00F92C2F"/>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A7980"/>
    <w:rsid w:val="00FB0A99"/>
    <w:rsid w:val="00FB0F17"/>
    <w:rsid w:val="00FB107D"/>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A9B"/>
    <w:rsid w:val="00FC5B1C"/>
    <w:rsid w:val="00FC5FE0"/>
    <w:rsid w:val="00FC6791"/>
    <w:rsid w:val="00FC6DDD"/>
    <w:rsid w:val="00FC6FC1"/>
    <w:rsid w:val="00FC7282"/>
    <w:rsid w:val="00FC74E3"/>
    <w:rsid w:val="00FC7904"/>
    <w:rsid w:val="00FC7DD0"/>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5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08370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2CB34-AA6B-40FC-8800-2ECEE5DA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3489</Words>
  <Characters>20027</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7</cp:revision>
  <cp:lastPrinted>2020-10-24T22:17:00Z</cp:lastPrinted>
  <dcterms:created xsi:type="dcterms:W3CDTF">2020-11-19T16:27:00Z</dcterms:created>
  <dcterms:modified xsi:type="dcterms:W3CDTF">2020-11-24T20:58:00Z</dcterms:modified>
</cp:coreProperties>
</file>