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5382F">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15382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5382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15382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6BD6890" w:rsidR="003F1CB6" w:rsidRPr="00403D69" w:rsidRDefault="00F57AD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15382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15382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1DB4441" w:rsidR="003F1CB6" w:rsidRPr="00403D69" w:rsidRDefault="006F757C" w:rsidP="00F57AD9">
            <w:pPr>
              <w:tabs>
                <w:tab w:val="left" w:pos="380"/>
                <w:tab w:val="center" w:pos="455"/>
              </w:tabs>
              <w:spacing w:line="360" w:lineRule="auto"/>
              <w:rPr>
                <w:rFonts w:ascii="Arial" w:hAnsi="Arial" w:cs="Arial"/>
                <w:b/>
              </w:rPr>
            </w:pPr>
            <w:r>
              <w:rPr>
                <w:rFonts w:ascii="Arial" w:hAnsi="Arial" w:cs="Arial"/>
                <w:b/>
              </w:rPr>
              <w:tab/>
            </w:r>
            <w:r w:rsidR="00F57AD9">
              <w:rPr>
                <w:rFonts w:ascii="Arial" w:hAnsi="Arial" w:cs="Arial"/>
                <w:b/>
              </w:rPr>
              <w:t>5</w:t>
            </w:r>
          </w:p>
        </w:tc>
      </w:tr>
      <w:tr w:rsidR="003F1CB6" w:rsidRPr="00403D69" w14:paraId="454B2811" w14:textId="77777777" w:rsidTr="0015382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15382F">
        <w:trPr>
          <w:trHeight w:val="414"/>
        </w:trPr>
        <w:tc>
          <w:tcPr>
            <w:tcW w:w="4439" w:type="pct"/>
            <w:vMerge w:val="restart"/>
            <w:shd w:val="clear" w:color="auto" w:fill="auto"/>
            <w:hideMark/>
          </w:tcPr>
          <w:p w14:paraId="6F4CF8BA" w14:textId="2023BB00"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w:t>
            </w:r>
            <w:bookmarkStart w:id="0" w:name="_GoBack"/>
            <w:bookmarkEnd w:id="0"/>
            <w:r>
              <w:rPr>
                <w:rFonts w:ascii="Arial" w:hAnsi="Arial" w:cs="Arial"/>
                <w:b/>
                <w:bCs/>
              </w:rPr>
              <w:t xml:space="preserve"> INGRESOS</w:t>
            </w:r>
            <w:r w:rsidR="00135BFA">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15382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15382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F341967" w:rsidR="003F1CB6" w:rsidRPr="00403D69" w:rsidRDefault="005B4D33" w:rsidP="003F1CB6">
            <w:pPr>
              <w:spacing w:line="360" w:lineRule="auto"/>
              <w:jc w:val="center"/>
              <w:rPr>
                <w:rFonts w:ascii="Arial" w:hAnsi="Arial" w:cs="Arial"/>
                <w:b/>
              </w:rPr>
            </w:pPr>
            <w:r>
              <w:rPr>
                <w:rFonts w:ascii="Arial" w:hAnsi="Arial" w:cs="Arial"/>
                <w:b/>
              </w:rPr>
              <w:t>6</w:t>
            </w:r>
          </w:p>
        </w:tc>
      </w:tr>
      <w:tr w:rsidR="003F1CB6" w:rsidRPr="00403D69" w14:paraId="2F2B0472" w14:textId="77777777" w:rsidTr="0015382F">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8C6CC30" w:rsidR="003F1CB6" w:rsidRPr="00403D69" w:rsidRDefault="005B4D33"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15382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A71F21D" w:rsidR="003F1CB6" w:rsidRPr="00403D69" w:rsidRDefault="005B4D33"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15382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8A383E7" w:rsidR="003F1CB6" w:rsidRPr="00403D69" w:rsidRDefault="005B4D33"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15382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A39DF1D" w:rsidR="003F1CB6" w:rsidRPr="00403D69" w:rsidRDefault="005B4D33" w:rsidP="003F1CB6">
            <w:pPr>
              <w:spacing w:line="360" w:lineRule="auto"/>
              <w:jc w:val="center"/>
              <w:rPr>
                <w:rFonts w:ascii="Arial" w:hAnsi="Arial" w:cs="Arial"/>
                <w:b/>
              </w:rPr>
            </w:pPr>
            <w:r>
              <w:rPr>
                <w:rFonts w:ascii="Arial" w:hAnsi="Arial" w:cs="Arial"/>
                <w:b/>
              </w:rPr>
              <w:t>9</w:t>
            </w:r>
          </w:p>
        </w:tc>
      </w:tr>
      <w:tr w:rsidR="003F1CB6" w:rsidRPr="00403D69" w14:paraId="3CFE61AF" w14:textId="77777777" w:rsidTr="0015382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7F19A2B" w:rsidR="003F1CB6" w:rsidRPr="00403D69" w:rsidRDefault="005B4D33" w:rsidP="005B4D33">
            <w:pPr>
              <w:spacing w:line="360" w:lineRule="auto"/>
              <w:jc w:val="center"/>
              <w:rPr>
                <w:rFonts w:ascii="Arial" w:hAnsi="Arial" w:cs="Arial"/>
                <w:b/>
              </w:rPr>
            </w:pPr>
            <w:r>
              <w:rPr>
                <w:rFonts w:ascii="Arial" w:hAnsi="Arial" w:cs="Arial"/>
                <w:b/>
              </w:rPr>
              <w:t>1</w:t>
            </w:r>
            <w:r w:rsidR="00CC0B52">
              <w:rPr>
                <w:rFonts w:ascii="Arial" w:hAnsi="Arial" w:cs="Arial"/>
                <w:b/>
              </w:rPr>
              <w:t>0</w:t>
            </w:r>
          </w:p>
        </w:tc>
      </w:tr>
      <w:tr w:rsidR="003F1CB6" w:rsidRPr="00403D69" w14:paraId="2FFEBB74" w14:textId="77777777" w:rsidTr="0015382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428C35D" w:rsidR="003F1CB6" w:rsidRPr="00403D69" w:rsidRDefault="0066623E" w:rsidP="005B4D33">
            <w:pPr>
              <w:spacing w:line="360" w:lineRule="auto"/>
              <w:jc w:val="center"/>
              <w:rPr>
                <w:rFonts w:ascii="Arial" w:hAnsi="Arial" w:cs="Arial"/>
                <w:b/>
              </w:rPr>
            </w:pPr>
            <w:r>
              <w:rPr>
                <w:rFonts w:ascii="Arial" w:hAnsi="Arial" w:cs="Arial"/>
                <w:b/>
              </w:rPr>
              <w:t>1</w:t>
            </w:r>
            <w:r w:rsidR="00CC0B52">
              <w:rPr>
                <w:rFonts w:ascii="Arial" w:hAnsi="Arial" w:cs="Arial"/>
                <w:b/>
              </w:rPr>
              <w:t>0</w:t>
            </w:r>
          </w:p>
        </w:tc>
      </w:tr>
      <w:tr w:rsidR="003F1CB6" w:rsidRPr="00403D69" w14:paraId="48C9FCB2" w14:textId="77777777" w:rsidTr="0015382F">
        <w:trPr>
          <w:trHeight w:val="20"/>
        </w:trPr>
        <w:tc>
          <w:tcPr>
            <w:tcW w:w="4439" w:type="pct"/>
            <w:shd w:val="clear" w:color="auto" w:fill="auto"/>
          </w:tcPr>
          <w:p w14:paraId="5A6A29C8" w14:textId="1475CA97" w:rsidR="003F1CB6" w:rsidRDefault="003F1CB6" w:rsidP="00BF6090">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úblicos</w:t>
            </w:r>
            <w:r w:rsidR="00C71ABB">
              <w:rPr>
                <w:rFonts w:ascii="Arial" w:hAnsi="Arial" w:cs="Arial"/>
                <w:b/>
                <w:bCs/>
              </w:rPr>
              <w:t xml:space="preserve"> que</w:t>
            </w:r>
            <w:r w:rsidRPr="00403D69">
              <w:rPr>
                <w:rFonts w:ascii="Arial" w:hAnsi="Arial" w:cs="Arial"/>
                <w:b/>
                <w:bCs/>
              </w:rPr>
              <w:t xml:space="preserve"> </w:t>
            </w:r>
            <w:r w:rsidR="002A2363">
              <w:rPr>
                <w:rFonts w:ascii="Arial" w:hAnsi="Arial" w:cs="Arial"/>
                <w:b/>
                <w:bCs/>
              </w:rPr>
              <w:t>i</w:t>
            </w:r>
            <w:r w:rsidR="00BF6090">
              <w:rPr>
                <w:rFonts w:ascii="Arial" w:hAnsi="Arial" w:cs="Arial"/>
                <w:b/>
                <w:bCs/>
              </w:rPr>
              <w:t>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15B058F4" w:rsidR="003F1CB6" w:rsidRDefault="003F1CB6" w:rsidP="00A82FD9">
            <w:pPr>
              <w:spacing w:line="360" w:lineRule="auto"/>
              <w:jc w:val="center"/>
              <w:rPr>
                <w:rFonts w:ascii="Arial" w:hAnsi="Arial" w:cs="Arial"/>
                <w:b/>
              </w:rPr>
            </w:pPr>
            <w:r>
              <w:rPr>
                <w:rFonts w:ascii="Arial" w:hAnsi="Arial" w:cs="Arial"/>
                <w:b/>
              </w:rPr>
              <w:t>1</w:t>
            </w:r>
            <w:r w:rsidR="00CC0B52">
              <w:rPr>
                <w:rFonts w:ascii="Arial" w:hAnsi="Arial" w:cs="Arial"/>
                <w:b/>
              </w:rPr>
              <w:t>4</w:t>
            </w:r>
          </w:p>
        </w:tc>
      </w:tr>
      <w:tr w:rsidR="003F1CB6" w:rsidRPr="00403D69" w14:paraId="746BE4DF" w14:textId="77777777" w:rsidTr="0015382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0B423C4" w:rsidR="003F1CB6" w:rsidRPr="00403D69" w:rsidRDefault="003F1CB6" w:rsidP="00A82FD9">
            <w:pPr>
              <w:spacing w:line="360" w:lineRule="auto"/>
              <w:jc w:val="center"/>
              <w:rPr>
                <w:rFonts w:ascii="Arial" w:hAnsi="Arial" w:cs="Arial"/>
                <w:b/>
              </w:rPr>
            </w:pPr>
            <w:r w:rsidRPr="001B3167">
              <w:rPr>
                <w:rFonts w:ascii="Arial" w:hAnsi="Arial" w:cs="Arial"/>
                <w:b/>
              </w:rPr>
              <w:t>1</w:t>
            </w:r>
            <w:r w:rsidR="00CC0B52">
              <w:rPr>
                <w:rFonts w:ascii="Arial" w:hAnsi="Arial" w:cs="Arial"/>
                <w:b/>
              </w:rPr>
              <w:t>4</w:t>
            </w:r>
          </w:p>
        </w:tc>
      </w:tr>
      <w:tr w:rsidR="003F1CB6" w:rsidRPr="00403D69" w14:paraId="2F8B1763" w14:textId="77777777" w:rsidTr="0015382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8794E89" w:rsidR="003F1CB6" w:rsidRPr="00403D69" w:rsidRDefault="00A82FD9" w:rsidP="003F1CB6">
            <w:pPr>
              <w:spacing w:line="360" w:lineRule="auto"/>
              <w:jc w:val="center"/>
              <w:rPr>
                <w:rFonts w:ascii="Arial" w:hAnsi="Arial" w:cs="Arial"/>
                <w:b/>
              </w:rPr>
            </w:pPr>
            <w:r>
              <w:rPr>
                <w:rFonts w:ascii="Arial" w:hAnsi="Arial" w:cs="Arial"/>
                <w:b/>
              </w:rPr>
              <w:t>1</w:t>
            </w:r>
            <w:r w:rsidR="00CC0B52">
              <w:rPr>
                <w:rFonts w:ascii="Arial" w:hAnsi="Arial" w:cs="Arial"/>
                <w:b/>
              </w:rPr>
              <w:t>5</w:t>
            </w:r>
          </w:p>
        </w:tc>
      </w:tr>
      <w:tr w:rsidR="003F1CB6" w:rsidRPr="00403D69" w14:paraId="6CA1BCEB" w14:textId="77777777" w:rsidTr="0015382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DE842E6" w:rsidR="003F1CB6" w:rsidRPr="00403D69" w:rsidRDefault="003F1CB6" w:rsidP="00A82FD9">
            <w:pPr>
              <w:spacing w:line="360" w:lineRule="auto"/>
              <w:jc w:val="center"/>
              <w:rPr>
                <w:rFonts w:ascii="Arial" w:hAnsi="Arial" w:cs="Arial"/>
                <w:b/>
              </w:rPr>
            </w:pPr>
            <w:r>
              <w:rPr>
                <w:rFonts w:ascii="Arial" w:hAnsi="Arial" w:cs="Arial"/>
                <w:b/>
              </w:rPr>
              <w:t>1</w:t>
            </w:r>
            <w:r w:rsidR="00CC0B52">
              <w:rPr>
                <w:rFonts w:ascii="Arial" w:hAnsi="Arial" w:cs="Arial"/>
                <w:b/>
              </w:rPr>
              <w:t>5</w:t>
            </w:r>
          </w:p>
        </w:tc>
      </w:tr>
      <w:tr w:rsidR="003F1CB6" w:rsidRPr="00403D69" w14:paraId="7FE4ECCC" w14:textId="77777777" w:rsidTr="0015382F">
        <w:trPr>
          <w:trHeight w:val="20"/>
        </w:trPr>
        <w:tc>
          <w:tcPr>
            <w:tcW w:w="4439" w:type="pct"/>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8E7639B" w14:textId="2ECAD26C" w:rsidR="003F1CB6" w:rsidRPr="00403D69" w:rsidRDefault="003F1CB6" w:rsidP="00A82FD9">
            <w:pPr>
              <w:spacing w:line="360" w:lineRule="auto"/>
              <w:jc w:val="center"/>
              <w:rPr>
                <w:rFonts w:ascii="Arial" w:hAnsi="Arial" w:cs="Arial"/>
                <w:b/>
              </w:rPr>
            </w:pPr>
            <w:r w:rsidRPr="001B3167">
              <w:rPr>
                <w:rFonts w:ascii="Arial" w:hAnsi="Arial" w:cs="Arial"/>
                <w:b/>
              </w:rPr>
              <w:t>1</w:t>
            </w:r>
            <w:r w:rsidR="00CC0B52">
              <w:rPr>
                <w:rFonts w:ascii="Arial" w:hAnsi="Arial" w:cs="Arial"/>
                <w:b/>
              </w:rPr>
              <w:t>5</w:t>
            </w:r>
          </w:p>
        </w:tc>
      </w:tr>
      <w:tr w:rsidR="003F1CB6" w:rsidRPr="00403D69" w14:paraId="06F62119" w14:textId="77777777" w:rsidTr="0015382F">
        <w:trPr>
          <w:trHeight w:val="1261"/>
        </w:trPr>
        <w:tc>
          <w:tcPr>
            <w:tcW w:w="4439" w:type="pct"/>
            <w:shd w:val="clear" w:color="auto" w:fill="auto"/>
          </w:tcPr>
          <w:p w14:paraId="0C5D56DB" w14:textId="7B8DFA07"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Observaciones </w:t>
            </w:r>
            <w:r w:rsidR="008909BC" w:rsidRPr="001B3167">
              <w:rPr>
                <w:rFonts w:ascii="Arial" w:hAnsi="Arial" w:cs="Arial"/>
                <w:b/>
                <w:bCs/>
              </w:rPr>
              <w:t>D</w:t>
            </w:r>
            <w:r w:rsidRPr="001B3167">
              <w:rPr>
                <w:rFonts w:ascii="Arial" w:hAnsi="Arial" w:cs="Arial"/>
                <w:b/>
                <w:bCs/>
              </w:rPr>
              <w:t>eterminadas</w:t>
            </w:r>
            <w:r w:rsidR="00BF6090">
              <w:rPr>
                <w:rFonts w:ascii="Arial" w:hAnsi="Arial" w:cs="Arial"/>
                <w:b/>
                <w:bCs/>
              </w:rPr>
              <w:t xml:space="preserve"> por Auditoria en Materia 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561" w:type="pct"/>
            <w:shd w:val="clear" w:color="auto" w:fill="auto"/>
          </w:tcPr>
          <w:p w14:paraId="73D9D610" w14:textId="0D9BA0A5" w:rsidR="003F1CB6" w:rsidRPr="00403D69" w:rsidRDefault="003F1CB6" w:rsidP="005B4D33">
            <w:pPr>
              <w:spacing w:line="360" w:lineRule="auto"/>
              <w:jc w:val="center"/>
              <w:rPr>
                <w:rFonts w:ascii="Arial" w:hAnsi="Arial" w:cs="Arial"/>
                <w:b/>
              </w:rPr>
            </w:pPr>
            <w:r w:rsidRPr="001B3167">
              <w:rPr>
                <w:rFonts w:ascii="Arial" w:hAnsi="Arial" w:cs="Arial"/>
                <w:b/>
              </w:rPr>
              <w:t>1</w:t>
            </w:r>
            <w:r w:rsidR="00CC0B52">
              <w:rPr>
                <w:rFonts w:ascii="Arial" w:hAnsi="Arial" w:cs="Arial"/>
                <w:b/>
              </w:rPr>
              <w:t>6</w:t>
            </w:r>
          </w:p>
        </w:tc>
      </w:tr>
    </w:tbl>
    <w:p w14:paraId="004F1D33" w14:textId="52235168" w:rsidR="003E2273" w:rsidRDefault="003E2273">
      <w:pPr>
        <w:rPr>
          <w:rFonts w:ascii="Arial" w:hAnsi="Arial" w:cs="Arial"/>
          <w:b/>
          <w:bCs/>
        </w:rPr>
      </w:pPr>
    </w:p>
    <w:tbl>
      <w:tblPr>
        <w:tblW w:w="4832" w:type="pct"/>
        <w:tblInd w:w="70" w:type="dxa"/>
        <w:tblCellMar>
          <w:left w:w="70" w:type="dxa"/>
          <w:right w:w="70" w:type="dxa"/>
        </w:tblCellMar>
        <w:tblLook w:val="04A0" w:firstRow="1" w:lastRow="0" w:firstColumn="1" w:lastColumn="0" w:noHBand="0" w:noVBand="1"/>
      </w:tblPr>
      <w:tblGrid>
        <w:gridCol w:w="8312"/>
        <w:gridCol w:w="1050"/>
      </w:tblGrid>
      <w:tr w:rsidR="001447E5" w:rsidRPr="00403D69" w14:paraId="6C6FD0F8" w14:textId="77777777" w:rsidTr="00612C0C">
        <w:trPr>
          <w:trHeight w:val="469"/>
        </w:trPr>
        <w:tc>
          <w:tcPr>
            <w:tcW w:w="4439" w:type="pct"/>
            <w:shd w:val="clear" w:color="auto" w:fill="auto"/>
          </w:tcPr>
          <w:p w14:paraId="48FBCB13" w14:textId="47CE69C6" w:rsidR="001447E5" w:rsidRDefault="00135BFA" w:rsidP="00612C0C">
            <w:r>
              <w:rPr>
                <w:rFonts w:ascii="Arial" w:hAnsi="Arial" w:cs="Arial"/>
                <w:b/>
                <w:bCs/>
              </w:rPr>
              <w:t>II</w:t>
            </w:r>
            <w:r w:rsidR="001447E5">
              <w:rPr>
                <w:rFonts w:ascii="Arial" w:hAnsi="Arial" w:cs="Arial"/>
                <w:b/>
                <w:bCs/>
              </w:rPr>
              <w:t>.</w:t>
            </w:r>
            <w:r w:rsidR="001447E5" w:rsidRPr="00815D5E">
              <w:rPr>
                <w:rFonts w:ascii="Arial" w:hAnsi="Arial" w:cs="Arial"/>
                <w:b/>
                <w:bCs/>
              </w:rPr>
              <w:t xml:space="preserve"> DICTAMEN</w:t>
            </w:r>
            <w:r w:rsidR="001447E5">
              <w:rPr>
                <w:rFonts w:ascii="Arial" w:hAnsi="Arial" w:cs="Arial"/>
                <w:b/>
                <w:bCs/>
              </w:rPr>
              <w:t xml:space="preserve"> </w:t>
            </w:r>
            <w:r w:rsidR="001447E5" w:rsidRPr="008E5469">
              <w:rPr>
                <w:rFonts w:ascii="Arial" w:hAnsi="Arial" w:cs="Arial"/>
                <w:b/>
                <w:bCs/>
              </w:rPr>
              <w:t>DEL INFORME INDIVIDUAL</w:t>
            </w:r>
            <w:r w:rsidR="001447E5">
              <w:rPr>
                <w:rFonts w:ascii="Arial" w:hAnsi="Arial" w:cs="Arial"/>
                <w:b/>
                <w:bCs/>
              </w:rPr>
              <w:t xml:space="preserve"> DE AUDITORÍA</w:t>
            </w:r>
          </w:p>
        </w:tc>
        <w:tc>
          <w:tcPr>
            <w:tcW w:w="561" w:type="pct"/>
            <w:shd w:val="clear" w:color="auto" w:fill="auto"/>
          </w:tcPr>
          <w:p w14:paraId="7EAA75A2" w14:textId="7EF9587F" w:rsidR="001447E5" w:rsidRPr="00BF5F84" w:rsidRDefault="00CC0B52" w:rsidP="001E6721">
            <w:pPr>
              <w:jc w:val="center"/>
              <w:rPr>
                <w:rFonts w:ascii="Arial" w:hAnsi="Arial" w:cs="Arial"/>
                <w:b/>
              </w:rPr>
            </w:pPr>
            <w:r>
              <w:rPr>
                <w:rFonts w:ascii="Arial" w:hAnsi="Arial" w:cs="Arial"/>
                <w:b/>
              </w:rPr>
              <w:t>19</w:t>
            </w:r>
          </w:p>
        </w:tc>
      </w:tr>
    </w:tbl>
    <w:p w14:paraId="17187A23" w14:textId="6B230034" w:rsidR="003E2273" w:rsidRDefault="003E2273">
      <w:pPr>
        <w:rPr>
          <w:rFonts w:ascii="Arial" w:hAnsi="Arial" w:cs="Arial"/>
          <w:b/>
          <w:bCs/>
        </w:rPr>
      </w:pPr>
    </w:p>
    <w:p w14:paraId="38CBB07F" w14:textId="0D27ED5A" w:rsidR="006817C6" w:rsidRDefault="00EB1EA7">
      <w:pPr>
        <w:rPr>
          <w:rFonts w:ascii="Arial" w:hAnsi="Arial" w:cs="Arial"/>
          <w:b/>
          <w:bCs/>
        </w:rPr>
      </w:pPr>
      <w:r>
        <w:rPr>
          <w:rFonts w:ascii="Arial" w:hAnsi="Arial" w:cs="Arial"/>
          <w:b/>
          <w:bCs/>
        </w:rPr>
        <w:t xml:space="preserve">                                                                                                                    </w:t>
      </w:r>
    </w:p>
    <w:p w14:paraId="38CB26C0" w14:textId="25E93C72" w:rsidR="006817C6" w:rsidRDefault="006817C6">
      <w:pPr>
        <w:rPr>
          <w:rFonts w:ascii="Arial" w:hAnsi="Arial" w:cs="Arial"/>
          <w:b/>
          <w:bCs/>
        </w:rPr>
      </w:pPr>
    </w:p>
    <w:p w14:paraId="7FC0B897" w14:textId="77777777" w:rsidR="006817C6" w:rsidRDefault="006817C6">
      <w:pPr>
        <w:rPr>
          <w:rFonts w:ascii="Arial" w:hAnsi="Arial" w:cs="Arial"/>
          <w:b/>
          <w:bCs/>
        </w:rPr>
      </w:pPr>
    </w:p>
    <w:p w14:paraId="654D0C1E" w14:textId="77777777" w:rsidR="008E5469" w:rsidRDefault="008E5469">
      <w:pPr>
        <w:rPr>
          <w:rFonts w:ascii="Arial" w:hAnsi="Arial" w:cs="Arial"/>
          <w:b/>
          <w:bCs/>
        </w:rPr>
      </w:pPr>
      <w:r>
        <w:rPr>
          <w:rFonts w:ascii="Arial" w:hAnsi="Arial" w:cs="Arial"/>
          <w:b/>
          <w:bCs/>
        </w:rPr>
        <w:br w:type="page"/>
      </w:r>
    </w:p>
    <w:p w14:paraId="5FCBB84B" w14:textId="13ACBFF6"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7C9D790A"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8E5469">
        <w:rPr>
          <w:rFonts w:ascii="Arial" w:hAnsi="Arial" w:cs="Arial"/>
        </w:rPr>
        <w:t xml:space="preserve">el </w:t>
      </w:r>
      <w:r w:rsidR="008E5469">
        <w:rPr>
          <w:rFonts w:ascii="Arial" w:hAnsi="Arial" w:cs="Arial"/>
        </w:rPr>
        <w:t>Gobierno del Estado</w:t>
      </w:r>
      <w:r w:rsidR="005F027E" w:rsidRPr="008E5469">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1160867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5F027E">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97DCF3C"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5F027E">
        <w:rPr>
          <w:rFonts w:ascii="Arial" w:hAnsi="Arial" w:cs="Arial"/>
          <w:bCs/>
        </w:rPr>
        <w:t>l</w:t>
      </w:r>
      <w:r w:rsidR="00014E52" w:rsidRPr="002013D4">
        <w:rPr>
          <w:rFonts w:ascii="Arial" w:hAnsi="Arial" w:cs="Arial"/>
          <w:bCs/>
        </w:rPr>
        <w:t xml:space="preserve"> </w:t>
      </w:r>
      <w:r w:rsidR="005F027E" w:rsidRPr="005F027E">
        <w:rPr>
          <w:rFonts w:ascii="Arial" w:hAnsi="Arial" w:cs="Arial"/>
          <w:b/>
          <w:bCs/>
        </w:rPr>
        <w:t>Fideicomiso del Programa Nacional de Becas de Educación Superior Manutención</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3EE9608C"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5F027E">
        <w:rPr>
          <w:rFonts w:ascii="Arial" w:hAnsi="Arial" w:cs="Arial"/>
          <w:bCs/>
        </w:rPr>
        <w:t xml:space="preserve">el </w:t>
      </w:r>
      <w:r w:rsidR="005F027E" w:rsidRPr="00BF6090">
        <w:rPr>
          <w:rFonts w:ascii="Arial" w:hAnsi="Arial" w:cs="Arial"/>
          <w:b/>
          <w:bCs/>
        </w:rPr>
        <w:t>Fideicomiso del Programa Nacional de Becas de Educación Superior Manutención</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5F027E">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BF6090">
        <w:rPr>
          <w:rFonts w:ascii="Arial" w:hAnsi="Arial" w:cs="Arial"/>
          <w:bCs/>
        </w:rPr>
        <w:t xml:space="preserve"> </w:t>
      </w:r>
      <w:r w:rsidR="008E5469" w:rsidRPr="009879F6">
        <w:rPr>
          <w:rFonts w:ascii="Arial" w:hAnsi="Arial" w:cs="Arial"/>
          <w:bCs/>
        </w:rPr>
        <w:t xml:space="preserve">de los </w:t>
      </w:r>
      <w:r w:rsidR="008E5469">
        <w:rPr>
          <w:rFonts w:ascii="Arial" w:hAnsi="Arial" w:cs="Arial"/>
          <w:bCs/>
        </w:rPr>
        <w:t>ingresos obtenidos y los gastos efectuados</w:t>
      </w:r>
      <w:r w:rsidR="008E5469" w:rsidRPr="009879F6">
        <w:rPr>
          <w:rFonts w:ascii="Arial" w:hAnsi="Arial" w:cs="Arial"/>
          <w:bCs/>
        </w:rPr>
        <w:t xml:space="preserve"> </w:t>
      </w:r>
      <w:r w:rsidR="00A97386" w:rsidRPr="008E5469">
        <w:rPr>
          <w:rFonts w:ascii="Arial" w:hAnsi="Arial" w:cs="Arial"/>
          <w:bCs/>
        </w:rPr>
        <w:t>por</w:t>
      </w:r>
      <w:r w:rsidR="001075DF" w:rsidRPr="008E5469">
        <w:rPr>
          <w:rFonts w:ascii="Arial" w:hAnsi="Arial" w:cs="Arial"/>
          <w:bCs/>
        </w:rPr>
        <w:t xml:space="preserve"> </w:t>
      </w:r>
      <w:r w:rsidR="00920993" w:rsidRPr="008E5469">
        <w:rPr>
          <w:rFonts w:ascii="Arial" w:hAnsi="Arial" w:cs="Arial"/>
          <w:bCs/>
        </w:rPr>
        <w:t xml:space="preserve">la </w:t>
      </w:r>
      <w:r w:rsidR="00F258F3" w:rsidRPr="008E5469">
        <w:rPr>
          <w:rFonts w:ascii="Arial" w:hAnsi="Arial" w:cs="Arial"/>
          <w:bCs/>
        </w:rPr>
        <w:t>entidad fiscalizada</w:t>
      </w:r>
      <w:r w:rsidR="001075DF" w:rsidRPr="009879F6">
        <w:rPr>
          <w:rFonts w:ascii="Arial" w:hAnsi="Arial" w:cs="Arial"/>
          <w:bCs/>
        </w:rPr>
        <w:t>.</w:t>
      </w:r>
    </w:p>
    <w:p w14:paraId="3B5FC50C" w14:textId="53FEEB49"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1"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E06B8D">
        <w:rPr>
          <w:rFonts w:ascii="Arial" w:hAnsi="Arial" w:cs="Arial"/>
          <w:bCs/>
        </w:rPr>
        <w:t xml:space="preserve"> en cuanto a los ingresos,</w:t>
      </w:r>
      <w:r w:rsidR="0031062A" w:rsidRPr="002B3A76">
        <w:rPr>
          <w:rFonts w:ascii="Arial" w:hAnsi="Arial" w:cs="Arial"/>
          <w:bCs/>
        </w:rPr>
        <w:t xml:space="preserve"> gastos públicos</w:t>
      </w:r>
      <w:bookmarkEnd w:id="1"/>
      <w:r w:rsidR="00E06B8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E06B8D">
        <w:rPr>
          <w:rFonts w:ascii="Arial" w:hAnsi="Arial" w:cs="Arial"/>
          <w:bCs/>
        </w:rPr>
        <w:t>del</w:t>
      </w:r>
      <w:r w:rsidR="0031062A" w:rsidRPr="009879F6">
        <w:rPr>
          <w:rFonts w:ascii="Arial" w:hAnsi="Arial" w:cs="Arial"/>
          <w:bCs/>
        </w:rPr>
        <w:t xml:space="preserve"> </w:t>
      </w:r>
      <w:r w:rsidR="00E06B8D" w:rsidRPr="005F027E">
        <w:rPr>
          <w:rFonts w:ascii="Arial" w:hAnsi="Arial" w:cs="Arial"/>
          <w:b/>
          <w:bCs/>
        </w:rPr>
        <w:t>Fideicomiso del Programa Nacional de Becas de Educación Superior Manutención</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01E03D7" w:rsidR="00F258F3" w:rsidRPr="00E06B8D" w:rsidRDefault="00F258F3" w:rsidP="009A36CD">
      <w:pPr>
        <w:spacing w:line="360" w:lineRule="auto"/>
        <w:ind w:right="190"/>
        <w:jc w:val="both"/>
        <w:rPr>
          <w:rFonts w:ascii="Arial" w:hAnsi="Arial" w:cs="Arial"/>
          <w:bCs/>
        </w:rPr>
      </w:pPr>
      <w:r w:rsidRPr="009879F6">
        <w:rPr>
          <w:rFonts w:ascii="Arial" w:hAnsi="Arial" w:cs="Arial"/>
        </w:rPr>
        <w:t xml:space="preserve">En la Cuenta Pública </w:t>
      </w:r>
      <w:r w:rsidR="00E06B8D">
        <w:rPr>
          <w:rFonts w:ascii="Arial" w:hAnsi="Arial" w:cs="Arial"/>
          <w:bCs/>
        </w:rPr>
        <w:t>del</w:t>
      </w:r>
      <w:r w:rsidR="00E06B8D" w:rsidRPr="009879F6">
        <w:rPr>
          <w:rFonts w:ascii="Arial" w:hAnsi="Arial" w:cs="Arial"/>
          <w:bCs/>
        </w:rPr>
        <w:t xml:space="preserve"> </w:t>
      </w:r>
      <w:r w:rsidR="00E06B8D" w:rsidRPr="005F027E">
        <w:rPr>
          <w:rFonts w:ascii="Arial" w:hAnsi="Arial" w:cs="Arial"/>
          <w:b/>
          <w:bCs/>
        </w:rPr>
        <w:t>Fideicomiso del Programa Nacional de Becas de Educación Superior Manutención</w:t>
      </w:r>
      <w:r w:rsidR="00257CE6" w:rsidRPr="009879F6">
        <w:rPr>
          <w:rFonts w:ascii="Arial" w:hAnsi="Arial" w:cs="Arial"/>
        </w:rPr>
        <w:t>,</w:t>
      </w:r>
      <w:r w:rsidRPr="009879F6">
        <w:rPr>
          <w:rFonts w:ascii="Arial" w:hAnsi="Arial" w:cs="Arial"/>
        </w:rPr>
        <w:t xml:space="preserve"> correspondiente al ejercicio fiscal </w:t>
      </w:r>
      <w:r w:rsidR="00E06B8D">
        <w:rPr>
          <w:rFonts w:ascii="Arial" w:hAnsi="Arial" w:cs="Arial"/>
          <w:bCs/>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E0FA2">
        <w:rPr>
          <w:rFonts w:ascii="Arial" w:hAnsi="Arial" w:cs="Arial"/>
        </w:rPr>
        <w:t>recaudación</w:t>
      </w:r>
      <w:r w:rsidR="00CE0FA2" w:rsidRPr="009879F6">
        <w:rPr>
          <w:rFonts w:ascii="Arial" w:hAnsi="Arial" w:cs="Arial"/>
        </w:rPr>
        <w:t xml:space="preserve"> de recursos </w:t>
      </w:r>
      <w:r w:rsidR="00CE0FA2">
        <w:rPr>
          <w:rFonts w:ascii="Arial" w:hAnsi="Arial" w:cs="Arial"/>
        </w:rPr>
        <w:t>y el ejercicio del gasto público</w:t>
      </w:r>
      <w:r w:rsidR="00CE0FA2"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E06B8D">
        <w:rPr>
          <w:rFonts w:ascii="Arial" w:hAnsi="Arial" w:cs="Arial"/>
        </w:rPr>
        <w:t>estatales y</w:t>
      </w:r>
      <w:r w:rsidR="00E06B8D" w:rsidRPr="00E06B8D">
        <w:rPr>
          <w:rFonts w:ascii="Arial" w:hAnsi="Arial" w:cs="Arial"/>
        </w:rPr>
        <w:t xml:space="preserve"> federales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076E9B">
        <w:rPr>
          <w:rFonts w:ascii="Arial" w:hAnsi="Arial" w:cs="Arial"/>
        </w:rPr>
        <w:t>04</w:t>
      </w:r>
      <w:r w:rsidR="00E06B8D">
        <w:rPr>
          <w:rFonts w:ascii="Arial" w:hAnsi="Arial" w:cs="Arial"/>
        </w:rPr>
        <w:t xml:space="preserve"> de </w:t>
      </w:r>
      <w:r w:rsidR="00BF6090">
        <w:rPr>
          <w:rFonts w:ascii="Arial" w:hAnsi="Arial" w:cs="Arial"/>
        </w:rPr>
        <w:t>febrero</w:t>
      </w:r>
      <w:r w:rsidR="00E06B8D">
        <w:rPr>
          <w:rFonts w:ascii="Arial" w:hAnsi="Arial" w:cs="Arial"/>
        </w:rPr>
        <w:t xml:space="preserve"> del 2020</w:t>
      </w:r>
      <w:r w:rsidR="007026DE" w:rsidRPr="009879F6">
        <w:rPr>
          <w:rFonts w:ascii="Arial" w:hAnsi="Arial" w:cs="Arial"/>
        </w:rPr>
        <w:t>, con oficio</w:t>
      </w:r>
      <w:r w:rsidRPr="009879F6">
        <w:rPr>
          <w:rFonts w:ascii="Arial" w:hAnsi="Arial" w:cs="Arial"/>
        </w:rPr>
        <w:t xml:space="preserve"> No. </w:t>
      </w:r>
      <w:r w:rsidR="00E06B8D" w:rsidRPr="00E06B8D">
        <w:rPr>
          <w:rFonts w:ascii="Arial" w:hAnsi="Arial" w:cs="Arial"/>
        </w:rPr>
        <w:t>SEQ/DS/SSAF/0032/2020</w:t>
      </w:r>
      <w:r w:rsidR="00452078" w:rsidRPr="009879F6">
        <w:rPr>
          <w:rFonts w:ascii="Arial" w:hAnsi="Arial" w:cs="Arial"/>
        </w:rPr>
        <w:t>.</w:t>
      </w:r>
    </w:p>
    <w:p w14:paraId="3DF35B4D" w14:textId="70034139" w:rsidR="00920993" w:rsidRPr="00D758CB" w:rsidRDefault="00920993" w:rsidP="00B93F1F">
      <w:pPr>
        <w:spacing w:line="360" w:lineRule="auto"/>
        <w:ind w:right="48"/>
        <w:jc w:val="both"/>
        <w:rPr>
          <w:rFonts w:ascii="Arial" w:hAnsi="Arial" w:cs="Arial"/>
          <w:i/>
          <w:iCs/>
        </w:rPr>
      </w:pPr>
    </w:p>
    <w:p w14:paraId="3C02640D" w14:textId="2EAE8D10"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8B25E6">
        <w:rPr>
          <w:rFonts w:ascii="Arial" w:hAnsi="Arial" w:cs="Arial"/>
          <w:bCs/>
        </w:rPr>
        <w:t>30</w:t>
      </w:r>
      <w:r w:rsidR="008B25E6" w:rsidRPr="00C0516F">
        <w:rPr>
          <w:rFonts w:ascii="Arial" w:hAnsi="Arial" w:cs="Arial"/>
        </w:rPr>
        <w:t xml:space="preserve"> de </w:t>
      </w:r>
      <w:r w:rsidR="008B25E6">
        <w:rPr>
          <w:rFonts w:ascii="Arial" w:hAnsi="Arial" w:cs="Arial"/>
        </w:rPr>
        <w:t>junio</w:t>
      </w:r>
      <w:r w:rsidR="008B25E6" w:rsidRPr="00C0516F">
        <w:rPr>
          <w:rFonts w:ascii="Arial" w:hAnsi="Arial" w:cs="Arial"/>
        </w:rPr>
        <w:t xml:space="preserve"> de 2020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8B25E6">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8B25E6">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6956F740"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3"/>
      <w:r w:rsidR="00A277F8" w:rsidRPr="009879F6">
        <w:rPr>
          <w:rFonts w:ascii="Arial" w:hAnsi="Arial" w:cs="Arial"/>
        </w:rPr>
        <w:t xml:space="preserve">, </w:t>
      </w:r>
      <w:r w:rsidRPr="009879F6">
        <w:rPr>
          <w:rFonts w:ascii="Arial" w:hAnsi="Arial" w:cs="Arial"/>
        </w:rPr>
        <w:t xml:space="preserve">se tiene a bien presentar </w:t>
      </w:r>
      <w:r w:rsidR="008B25E6" w:rsidRPr="008B25E6">
        <w:rPr>
          <w:rFonts w:ascii="Arial" w:hAnsi="Arial" w:cs="Arial"/>
        </w:rPr>
        <w:t>el</w:t>
      </w:r>
      <w:r w:rsidRPr="008B25E6">
        <w:rPr>
          <w:rFonts w:ascii="Arial" w:hAnsi="Arial" w:cs="Arial"/>
        </w:rPr>
        <w:t xml:space="preserve"> </w:t>
      </w:r>
      <w:r w:rsidR="0090465B" w:rsidRPr="008B25E6">
        <w:rPr>
          <w:rFonts w:ascii="Arial" w:hAnsi="Arial" w:cs="Arial"/>
        </w:rPr>
        <w:t>Informe Individual de Auditoría</w:t>
      </w:r>
      <w:r w:rsidR="00F91FF8" w:rsidRPr="008B25E6">
        <w:rPr>
          <w:rFonts w:ascii="Arial" w:hAnsi="Arial" w:cs="Arial"/>
        </w:rPr>
        <w:t>,</w:t>
      </w:r>
      <w:r w:rsidR="0090465B" w:rsidRPr="008B25E6">
        <w:rPr>
          <w:rFonts w:ascii="Arial" w:hAnsi="Arial" w:cs="Arial"/>
        </w:rPr>
        <w:t xml:space="preserve"> </w:t>
      </w:r>
      <w:r w:rsidR="007E1669" w:rsidRPr="009879F6">
        <w:rPr>
          <w:rFonts w:ascii="Arial" w:hAnsi="Arial" w:cs="Arial"/>
        </w:rPr>
        <w:lastRenderedPageBreak/>
        <w:t>obtenido con</w:t>
      </w:r>
      <w:r w:rsidRPr="009879F6">
        <w:rPr>
          <w:rFonts w:ascii="Arial" w:hAnsi="Arial" w:cs="Arial"/>
        </w:rPr>
        <w:t xml:space="preserve"> relación a la Cuenta Pública</w:t>
      </w:r>
      <w:r w:rsidR="00920993" w:rsidRPr="009879F6">
        <w:rPr>
          <w:rFonts w:ascii="Arial" w:hAnsi="Arial" w:cs="Arial"/>
          <w:bCs/>
        </w:rPr>
        <w:t xml:space="preserve"> </w:t>
      </w:r>
      <w:r w:rsidR="008B25E6">
        <w:rPr>
          <w:rFonts w:ascii="Arial" w:hAnsi="Arial" w:cs="Arial"/>
          <w:bCs/>
        </w:rPr>
        <w:t>del</w:t>
      </w:r>
      <w:r w:rsidR="00B0575C" w:rsidRPr="009879F6">
        <w:rPr>
          <w:rFonts w:ascii="Arial" w:hAnsi="Arial" w:cs="Arial"/>
          <w:bCs/>
        </w:rPr>
        <w:t xml:space="preserve"> </w:t>
      </w:r>
      <w:r w:rsidR="008B25E6" w:rsidRPr="005F027E">
        <w:rPr>
          <w:rFonts w:ascii="Arial" w:hAnsi="Arial" w:cs="Arial"/>
          <w:b/>
          <w:bCs/>
        </w:rPr>
        <w:t>Fideicomiso del Programa Nacional de Becas de Educación Superior Manutención</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8B25E6">
        <w:rPr>
          <w:rFonts w:ascii="Arial" w:hAnsi="Arial" w:cs="Arial"/>
          <w:bCs/>
        </w:rPr>
        <w:t>2019</w:t>
      </w:r>
      <w:r w:rsidRPr="009879F6">
        <w:rPr>
          <w:rFonts w:ascii="Arial" w:hAnsi="Arial" w:cs="Arial"/>
        </w:rPr>
        <w:t>.</w:t>
      </w:r>
      <w:r w:rsidR="008B25E6">
        <w:rPr>
          <w:rFonts w:ascii="Arial" w:hAnsi="Arial" w:cs="Arial"/>
        </w:rPr>
        <w:t xml:space="preserve"> </w:t>
      </w:r>
    </w:p>
    <w:p w14:paraId="43A241B8" w14:textId="4158ABFB" w:rsidR="00615C7A" w:rsidRDefault="00615C7A" w:rsidP="00B93F1F">
      <w:pPr>
        <w:spacing w:line="360" w:lineRule="auto"/>
        <w:ind w:right="190"/>
        <w:rPr>
          <w:rFonts w:ascii="Arial" w:hAnsi="Arial" w:cs="Arial"/>
          <w:b/>
          <w:bCs/>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2083A0E" w14:textId="77777777" w:rsidR="004C33CA" w:rsidRPr="00A854F0" w:rsidRDefault="004C33CA" w:rsidP="004C33CA">
      <w:pPr>
        <w:spacing w:line="360" w:lineRule="auto"/>
        <w:ind w:right="190"/>
        <w:jc w:val="both"/>
        <w:rPr>
          <w:rFonts w:ascii="Arial" w:hAnsi="Arial" w:cs="Arial"/>
          <w:bCs/>
        </w:rPr>
      </w:pPr>
      <w:r w:rsidRPr="00A854F0">
        <w:rPr>
          <w:rFonts w:ascii="Arial" w:hAnsi="Arial" w:cs="Arial"/>
          <w:bCs/>
        </w:rPr>
        <w:t xml:space="preserve">Con el propósito de que los gobiernos federales y estatal fortalezcan sus mecanismos de coordinación e incrementen la cobertura de atención del sistema de educación superior en las entidades federativas y los recursos destinados a la educación superior pública, se creó el “Programa Nacional de Becas y Financiamiento” operado por el Gobierno Federal por conducto de la Secretaria de Educación </w:t>
      </w:r>
      <w:r>
        <w:rPr>
          <w:rFonts w:ascii="Arial" w:hAnsi="Arial" w:cs="Arial"/>
          <w:bCs/>
        </w:rPr>
        <w:t>P</w:t>
      </w:r>
      <w:r w:rsidRPr="00A854F0">
        <w:rPr>
          <w:rFonts w:ascii="Arial" w:hAnsi="Arial" w:cs="Arial"/>
          <w:bCs/>
        </w:rPr>
        <w:t>ública; con fecha 16 de marzo de 2001 se publicó en el Diario Oficial de la Federación las Reglas de Operación e Indicadores y Gestión del Programa Nacional de Becas y Financiamiento, mismas que contemplan la constitución de un fideicomiso en una Institución de Crédito, para la inversión y administración de los recursos aportados por la Secretaría de Educación Pública y el Gobierno del Estado a fin de efectuar la operación financiera del PRONABES-ESTATAL.</w:t>
      </w:r>
    </w:p>
    <w:p w14:paraId="10A7D520" w14:textId="77777777" w:rsidR="004C33CA" w:rsidRPr="00A854F0" w:rsidRDefault="004C33CA" w:rsidP="004C33CA">
      <w:pPr>
        <w:spacing w:line="360" w:lineRule="auto"/>
        <w:ind w:right="190"/>
        <w:jc w:val="both"/>
        <w:rPr>
          <w:rFonts w:ascii="Arial" w:hAnsi="Arial" w:cs="Arial"/>
          <w:bCs/>
        </w:rPr>
      </w:pPr>
    </w:p>
    <w:p w14:paraId="11A7DC49" w14:textId="4BA1AC1A" w:rsidR="004C33CA" w:rsidRDefault="004C33CA" w:rsidP="004C33CA">
      <w:pPr>
        <w:spacing w:line="360" w:lineRule="auto"/>
        <w:ind w:right="190"/>
        <w:jc w:val="both"/>
        <w:rPr>
          <w:rFonts w:ascii="Arial" w:hAnsi="Arial" w:cs="Arial"/>
        </w:rPr>
      </w:pPr>
      <w:r w:rsidRPr="00A854F0">
        <w:rPr>
          <w:rFonts w:ascii="Arial" w:hAnsi="Arial" w:cs="Arial"/>
          <w:bCs/>
        </w:rPr>
        <w:t>Mediante contrato de fideicomiso de inversión y administración de recursos con fecha 14 de mayo de 2001, celebrado entre el Gobierno del Estado Libre y Soberano de Quintana Roo como fideicomitente y el Banco Nacional de México, S.A.</w:t>
      </w:r>
      <w:r>
        <w:rPr>
          <w:rFonts w:ascii="Arial" w:hAnsi="Arial" w:cs="Arial"/>
          <w:bCs/>
        </w:rPr>
        <w:t>,</w:t>
      </w:r>
      <w:r w:rsidRPr="00A854F0">
        <w:rPr>
          <w:rFonts w:ascii="Arial" w:hAnsi="Arial" w:cs="Arial"/>
          <w:bCs/>
        </w:rPr>
        <w:t xml:space="preserve"> Institución de Banca Múltiple como fiduciario, se constituyó el fideicomiso denominado “Fideicomiso Programa Nacional de Becas de Educación Superior</w:t>
      </w:r>
      <w:r>
        <w:rPr>
          <w:rFonts w:ascii="Arial" w:hAnsi="Arial" w:cs="Arial"/>
          <w:bCs/>
        </w:rPr>
        <w:t xml:space="preserve"> Manutención</w:t>
      </w:r>
      <w:r w:rsidRPr="00A854F0">
        <w:rPr>
          <w:rFonts w:ascii="Arial" w:hAnsi="Arial" w:cs="Arial"/>
          <w:bCs/>
        </w:rPr>
        <w:t>, para el Estado de Quintana R</w:t>
      </w:r>
      <w:r>
        <w:rPr>
          <w:rFonts w:ascii="Arial" w:hAnsi="Arial" w:cs="Arial"/>
          <w:bCs/>
        </w:rPr>
        <w:t>oo</w:t>
      </w:r>
      <w:r w:rsidRPr="00A854F0">
        <w:rPr>
          <w:rFonts w:ascii="Arial" w:hAnsi="Arial" w:cs="Arial"/>
          <w:bCs/>
        </w:rPr>
        <w:t xml:space="preserve">” (PRONABES- ESTATAL). Los fideicomisarios son en primer lugar todos los estudiantes de educación superior que cursen sus estudios en instituciones públicas del Gobierno del Estado que designe el Comité Técnico </w:t>
      </w:r>
      <w:proofErr w:type="gramStart"/>
      <w:r w:rsidRPr="00A854F0">
        <w:rPr>
          <w:rFonts w:ascii="Arial" w:hAnsi="Arial" w:cs="Arial"/>
          <w:bCs/>
        </w:rPr>
        <w:t>y</w:t>
      </w:r>
      <w:proofErr w:type="gramEnd"/>
      <w:r w:rsidRPr="00A854F0">
        <w:rPr>
          <w:rFonts w:ascii="Arial" w:hAnsi="Arial" w:cs="Arial"/>
          <w:bCs/>
        </w:rPr>
        <w:t xml:space="preserve"> en segundo lugar, el propio fideicomitente. El </w:t>
      </w:r>
      <w:r w:rsidRPr="00A854F0">
        <w:rPr>
          <w:rFonts w:ascii="Arial" w:hAnsi="Arial" w:cs="Arial"/>
          <w:bCs/>
        </w:rPr>
        <w:lastRenderedPageBreak/>
        <w:t>objeto del fideicomiso es la creación de un fondo que será destinado al otorgamiento de becas a estudiantes de instituciones públicas de educación superior en el Estado de Quintana Roo,</w:t>
      </w:r>
      <w:r w:rsidRPr="00A854F0">
        <w:rPr>
          <w:rFonts w:ascii="Arial" w:hAnsi="Arial" w:cs="Arial"/>
        </w:rPr>
        <w:t xml:space="preserve"> de conformidad con las Reglas de Operación e Indicadores de Evaluación y Gestión del Programa Nacional de Becas de Educación Superior (PRONABES- ESTATAL).</w:t>
      </w:r>
    </w:p>
    <w:p w14:paraId="14544A0C" w14:textId="77777777" w:rsidR="004C33CA" w:rsidRDefault="004C33CA" w:rsidP="004C33CA">
      <w:pPr>
        <w:spacing w:line="360" w:lineRule="auto"/>
        <w:ind w:right="190"/>
        <w:jc w:val="both"/>
        <w:rPr>
          <w:rFonts w:ascii="Arial" w:hAnsi="Arial" w:cs="Arial"/>
        </w:rPr>
      </w:pPr>
    </w:p>
    <w:p w14:paraId="6FBA94B7" w14:textId="77777777" w:rsidR="004C33CA" w:rsidRPr="00A854F0" w:rsidRDefault="004C33CA" w:rsidP="004C33CA">
      <w:pPr>
        <w:spacing w:line="360" w:lineRule="auto"/>
        <w:ind w:right="190"/>
        <w:jc w:val="both"/>
        <w:rPr>
          <w:rFonts w:ascii="Arial" w:hAnsi="Arial" w:cs="Arial"/>
        </w:rPr>
      </w:pPr>
      <w:r>
        <w:rPr>
          <w:rFonts w:ascii="Arial" w:hAnsi="Arial" w:cs="Arial"/>
        </w:rPr>
        <w:t>Con</w:t>
      </w:r>
      <w:r w:rsidRPr="00A854F0">
        <w:rPr>
          <w:rFonts w:ascii="Arial" w:hAnsi="Arial" w:cs="Arial"/>
        </w:rPr>
        <w:t xml:space="preserve"> fecha 10 de noviembre de 2011 se celebró convenio de Sustitución Fiduciaria del fideicomiso de inversión y administración para operación financiera del Programa Nacional de Becas de Educación Superior para el Estado de Quintana Roo, quedando como fideicomitente el Gobierno del Estado de Quintana Roo, como fiduciario sustituto el Banco Nacional de México, S.A.</w:t>
      </w:r>
      <w:r>
        <w:rPr>
          <w:rFonts w:ascii="Arial" w:hAnsi="Arial" w:cs="Arial"/>
        </w:rPr>
        <w:t>,</w:t>
      </w:r>
      <w:r w:rsidRPr="00A854F0">
        <w:rPr>
          <w:rFonts w:ascii="Arial" w:hAnsi="Arial" w:cs="Arial"/>
        </w:rPr>
        <w:t xml:space="preserve"> Institución </w:t>
      </w:r>
      <w:r>
        <w:rPr>
          <w:rFonts w:ascii="Arial" w:hAnsi="Arial" w:cs="Arial"/>
        </w:rPr>
        <w:t xml:space="preserve">de </w:t>
      </w:r>
      <w:r w:rsidRPr="00A854F0">
        <w:rPr>
          <w:rFonts w:ascii="Arial" w:hAnsi="Arial" w:cs="Arial"/>
        </w:rPr>
        <w:t>Banca Múltiple y como fiduciario sustituido el Banco Santander, S.A.</w:t>
      </w:r>
      <w:r>
        <w:rPr>
          <w:rFonts w:ascii="Arial" w:hAnsi="Arial" w:cs="Arial"/>
        </w:rPr>
        <w:t>,</w:t>
      </w:r>
      <w:r w:rsidRPr="00A854F0">
        <w:rPr>
          <w:rFonts w:ascii="Arial" w:hAnsi="Arial" w:cs="Arial"/>
        </w:rPr>
        <w:t xml:space="preserve"> Institución de Banca Múltiple, en el </w:t>
      </w:r>
      <w:r w:rsidRPr="00943F82">
        <w:rPr>
          <w:rFonts w:ascii="Arial" w:hAnsi="Arial" w:cs="Arial"/>
          <w:b/>
          <w:bCs/>
        </w:rPr>
        <w:t>Fideicomiso</w:t>
      </w:r>
      <w:r w:rsidRPr="00A854F0">
        <w:rPr>
          <w:rFonts w:ascii="Arial" w:hAnsi="Arial" w:cs="Arial"/>
          <w:bCs/>
        </w:rPr>
        <w:t xml:space="preserve"> </w:t>
      </w:r>
      <w:r w:rsidRPr="00DF4F10">
        <w:rPr>
          <w:rFonts w:ascii="Arial" w:hAnsi="Arial" w:cs="Arial"/>
          <w:b/>
          <w:bCs/>
        </w:rPr>
        <w:t>del</w:t>
      </w:r>
      <w:r>
        <w:rPr>
          <w:rFonts w:ascii="Arial" w:hAnsi="Arial" w:cs="Arial"/>
          <w:bCs/>
        </w:rPr>
        <w:t xml:space="preserve"> </w:t>
      </w:r>
      <w:r w:rsidRPr="00A854F0">
        <w:rPr>
          <w:rFonts w:ascii="Arial" w:hAnsi="Arial" w:cs="Arial"/>
          <w:b/>
          <w:bCs/>
        </w:rPr>
        <w:t xml:space="preserve">Programa Nacional de Becas de Educación Superior </w:t>
      </w:r>
      <w:r>
        <w:rPr>
          <w:rFonts w:ascii="Arial" w:hAnsi="Arial" w:cs="Arial"/>
          <w:b/>
          <w:bCs/>
        </w:rPr>
        <w:t>Manutención</w:t>
      </w:r>
      <w:r w:rsidRPr="00A854F0">
        <w:rPr>
          <w:rFonts w:ascii="Arial" w:hAnsi="Arial" w:cs="Arial"/>
          <w:b/>
        </w:rPr>
        <w:t>.</w:t>
      </w:r>
    </w:p>
    <w:p w14:paraId="793D4FC8" w14:textId="77777777" w:rsidR="003300B5" w:rsidRPr="009879F6" w:rsidRDefault="003300B5" w:rsidP="00E3712E">
      <w:pPr>
        <w:spacing w:line="360" w:lineRule="auto"/>
        <w:ind w:right="190"/>
        <w:jc w:val="both"/>
        <w:rPr>
          <w:rFonts w:ascii="Arial" w:hAnsi="Arial" w:cs="Arial"/>
          <w:shd w:val="clear" w:color="auto" w:fill="7ED4F2"/>
        </w:rPr>
      </w:pPr>
    </w:p>
    <w:p w14:paraId="1C2BAF1F" w14:textId="2A182E0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BF6090">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578E879A" w:rsidR="00AA50F2" w:rsidRPr="009879F6" w:rsidRDefault="00AA50F2" w:rsidP="00BA6717">
      <w:pPr>
        <w:spacing w:line="360" w:lineRule="auto"/>
        <w:ind w:right="190"/>
        <w:jc w:val="both"/>
        <w:rPr>
          <w:rFonts w:ascii="Arial" w:hAnsi="Arial" w:cs="Arial"/>
        </w:rPr>
      </w:pPr>
      <w:r w:rsidRPr="009879F6">
        <w:rPr>
          <w:rFonts w:ascii="Arial" w:hAnsi="Arial" w:cs="Arial"/>
          <w:bCs/>
        </w:rPr>
        <w:t>La auditoría, visita e inspección que se re</w:t>
      </w:r>
      <w:r w:rsidR="00BA6717">
        <w:rPr>
          <w:rFonts w:ascii="Arial" w:hAnsi="Arial" w:cs="Arial"/>
          <w:bCs/>
        </w:rPr>
        <w:t>alizó en materia financiera al</w:t>
      </w:r>
      <w:r w:rsidRPr="009879F6">
        <w:rPr>
          <w:rFonts w:ascii="Arial" w:hAnsi="Arial" w:cs="Arial"/>
          <w:bCs/>
        </w:rPr>
        <w:t xml:space="preserve"> </w:t>
      </w:r>
      <w:r w:rsidR="00BA6717" w:rsidRPr="00943F82">
        <w:rPr>
          <w:rFonts w:ascii="Arial" w:hAnsi="Arial" w:cs="Arial"/>
          <w:b/>
          <w:bCs/>
        </w:rPr>
        <w:t>Fideicomiso</w:t>
      </w:r>
      <w:r w:rsidR="00BA6717" w:rsidRPr="00A854F0">
        <w:rPr>
          <w:rFonts w:ascii="Arial" w:hAnsi="Arial" w:cs="Arial"/>
          <w:bCs/>
        </w:rPr>
        <w:t xml:space="preserve"> </w:t>
      </w:r>
      <w:r w:rsidR="00BA6717" w:rsidRPr="00DF4F10">
        <w:rPr>
          <w:rFonts w:ascii="Arial" w:hAnsi="Arial" w:cs="Arial"/>
          <w:b/>
          <w:bCs/>
        </w:rPr>
        <w:t>del</w:t>
      </w:r>
      <w:r w:rsidR="00BA6717">
        <w:rPr>
          <w:rFonts w:ascii="Arial" w:hAnsi="Arial" w:cs="Arial"/>
          <w:bCs/>
        </w:rPr>
        <w:t xml:space="preserve"> </w:t>
      </w:r>
      <w:r w:rsidR="00BA6717" w:rsidRPr="00A854F0">
        <w:rPr>
          <w:rFonts w:ascii="Arial" w:hAnsi="Arial" w:cs="Arial"/>
          <w:b/>
          <w:bCs/>
        </w:rPr>
        <w:t xml:space="preserve">Programa Nacional de Becas de Educación Superior </w:t>
      </w:r>
      <w:r w:rsidR="00BA6717">
        <w:rPr>
          <w:rFonts w:ascii="Arial" w:hAnsi="Arial" w:cs="Arial"/>
          <w:b/>
          <w:bCs/>
        </w:rPr>
        <w:t>Manutención</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218791F7" w:rsidR="00AA50F2" w:rsidRPr="009879F6" w:rsidRDefault="00BA6717" w:rsidP="00B93F1F">
            <w:pPr>
              <w:spacing w:line="360" w:lineRule="auto"/>
              <w:ind w:right="190"/>
              <w:jc w:val="both"/>
              <w:rPr>
                <w:rFonts w:ascii="Arial" w:hAnsi="Arial" w:cs="Arial"/>
                <w:b/>
                <w:bCs/>
              </w:rPr>
            </w:pPr>
            <w:r w:rsidRPr="00BA6717">
              <w:rPr>
                <w:rFonts w:ascii="Arial" w:hAnsi="Arial" w:cs="Arial"/>
                <w:b/>
                <w:bCs/>
              </w:rPr>
              <w:lastRenderedPageBreak/>
              <w:t>19-AEMF-D-GOB-108-127</w:t>
            </w:r>
          </w:p>
        </w:tc>
        <w:tc>
          <w:tcPr>
            <w:tcW w:w="2713" w:type="pct"/>
            <w:shd w:val="clear" w:color="auto" w:fill="auto"/>
          </w:tcPr>
          <w:p w14:paraId="409DA764" w14:textId="06850AAA" w:rsidR="00AA50F2" w:rsidRPr="009879F6" w:rsidRDefault="00BA6717" w:rsidP="00F81F59">
            <w:pPr>
              <w:spacing w:line="360" w:lineRule="auto"/>
              <w:ind w:right="190"/>
              <w:jc w:val="both"/>
              <w:rPr>
                <w:rFonts w:ascii="Arial" w:hAnsi="Arial" w:cs="Arial"/>
                <w:bCs/>
              </w:rPr>
            </w:pPr>
            <w:r w:rsidRPr="00BA6717">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06DD078E" w14:textId="62A3E153" w:rsidR="00AA50F2" w:rsidRPr="000B2638"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E5BAE98" w14:textId="77777777" w:rsidR="00AA50F2" w:rsidRPr="00961432" w:rsidRDefault="00AA50F2" w:rsidP="00B93F1F">
      <w:pPr>
        <w:spacing w:line="360" w:lineRule="auto"/>
        <w:jc w:val="both"/>
        <w:rPr>
          <w:rFonts w:ascii="Arial" w:hAnsi="Arial" w:cs="Arial"/>
          <w:bCs/>
        </w:rPr>
      </w:pPr>
    </w:p>
    <w:p w14:paraId="234AA03C" w14:textId="14BBD490" w:rsidR="000B2638" w:rsidRPr="00277614" w:rsidRDefault="00AA50F2" w:rsidP="00FC2B31">
      <w:pPr>
        <w:spacing w:line="360" w:lineRule="auto"/>
        <w:ind w:right="190"/>
        <w:jc w:val="both"/>
        <w:rPr>
          <w:rFonts w:ascii="Arial" w:hAnsi="Arial" w:cs="Arial"/>
          <w:bCs/>
        </w:rPr>
      </w:pPr>
      <w:r w:rsidRPr="00277614">
        <w:rPr>
          <w:rFonts w:ascii="Arial" w:hAnsi="Arial" w:cs="Arial"/>
          <w:bCs/>
        </w:rPr>
        <w:t xml:space="preserve">Fiscalizar la gestión financiera para </w:t>
      </w:r>
      <w:r w:rsidR="000B2638" w:rsidRPr="00277614">
        <w:rPr>
          <w:rFonts w:ascii="Arial" w:hAnsi="Arial" w:cs="Arial"/>
          <w:bCs/>
        </w:rPr>
        <w:t>comprobar el cump</w:t>
      </w:r>
      <w:r w:rsidR="00BF6090">
        <w:rPr>
          <w:rFonts w:ascii="Arial" w:hAnsi="Arial" w:cs="Arial"/>
          <w:bCs/>
        </w:rPr>
        <w:t>limiento de lo dispuesto en la L</w:t>
      </w:r>
      <w:r w:rsidR="000B2638" w:rsidRPr="00277614">
        <w:rPr>
          <w:rFonts w:ascii="Arial" w:hAnsi="Arial" w:cs="Arial"/>
          <w:bCs/>
        </w:rPr>
        <w:t>ey de Ingresos y el Presupuesto de Egresos, y demás disposiciones legales aplicables, en cuanto a los ingresos y gastos públicos, incluyendo la revisión del manejo, custodia y aplicación de los recursos públicos estatales, así como de las demás información financiera, contable, presupuestaria, patrimonial y programática, conforme a las disposiciones aplicables.</w:t>
      </w:r>
      <w:r w:rsidR="00277614" w:rsidRPr="00277614">
        <w:rPr>
          <w:rFonts w:ascii="Arial" w:hAnsi="Arial" w:cs="Arial"/>
          <w:bCs/>
        </w:rPr>
        <w:t xml:space="preserve">  </w:t>
      </w:r>
    </w:p>
    <w:p w14:paraId="4832CDCD" w14:textId="77777777" w:rsidR="00AA50F2" w:rsidRPr="0000783A" w:rsidRDefault="00AA50F2" w:rsidP="00B93F1F">
      <w:pPr>
        <w:spacing w:line="360" w:lineRule="auto"/>
        <w:jc w:val="both"/>
        <w:rPr>
          <w:rFonts w:ascii="Arial" w:hAnsi="Arial" w:cs="Arial"/>
          <w:u w:val="single"/>
        </w:rPr>
      </w:pPr>
    </w:p>
    <w:p w14:paraId="600E1A12" w14:textId="04DA8657" w:rsidR="00AA50F2" w:rsidRDefault="00FF74D2" w:rsidP="00B93F1F">
      <w:pPr>
        <w:spacing w:line="360" w:lineRule="auto"/>
        <w:jc w:val="both"/>
        <w:rPr>
          <w:rFonts w:ascii="Arial" w:hAnsi="Arial" w:cs="Arial"/>
          <w:b/>
          <w:bCs/>
        </w:rPr>
      </w:pPr>
      <w:r w:rsidRPr="0000783A">
        <w:rPr>
          <w:rFonts w:ascii="Arial" w:hAnsi="Arial" w:cs="Arial"/>
          <w:b/>
          <w:bCs/>
        </w:rPr>
        <w:t>C</w:t>
      </w:r>
      <w:r w:rsidR="000A5A85" w:rsidRPr="0000783A">
        <w:rPr>
          <w:rFonts w:ascii="Arial" w:hAnsi="Arial" w:cs="Arial"/>
          <w:b/>
          <w:bCs/>
        </w:rPr>
        <w:t>.</w:t>
      </w:r>
      <w:r w:rsidR="00AA50F2" w:rsidRPr="0000783A">
        <w:rPr>
          <w:rFonts w:ascii="Arial" w:hAnsi="Arial" w:cs="Arial"/>
          <w:b/>
          <w:bCs/>
        </w:rPr>
        <w:t xml:space="preserve"> Alcance</w:t>
      </w:r>
    </w:p>
    <w:p w14:paraId="4E605B0C" w14:textId="77777777" w:rsidR="00180752" w:rsidRPr="0000783A" w:rsidRDefault="00180752" w:rsidP="00B93F1F">
      <w:pPr>
        <w:spacing w:line="360" w:lineRule="auto"/>
        <w:jc w:val="both"/>
        <w:rPr>
          <w:rFonts w:ascii="Arial" w:hAnsi="Arial" w:cs="Arial"/>
          <w:b/>
          <w:bCs/>
        </w:rPr>
      </w:pPr>
    </w:p>
    <w:p w14:paraId="34DB91DB" w14:textId="77777777" w:rsidR="00180752" w:rsidRDefault="00180752" w:rsidP="00180752">
      <w:pPr>
        <w:spacing w:line="360" w:lineRule="auto"/>
        <w:jc w:val="both"/>
        <w:rPr>
          <w:rFonts w:ascii="Arial" w:hAnsi="Arial" w:cs="Arial"/>
          <w:b/>
        </w:rPr>
      </w:pPr>
      <w:r>
        <w:rPr>
          <w:rFonts w:ascii="Arial" w:hAnsi="Arial" w:cs="Arial"/>
          <w:b/>
        </w:rPr>
        <w:t xml:space="preserve">Ingresos </w:t>
      </w:r>
      <w:r w:rsidRPr="00B92487">
        <w:rPr>
          <w:rFonts w:ascii="Arial" w:hAnsi="Arial" w:cs="Arial"/>
          <w:b/>
          <w:bCs/>
        </w:rPr>
        <w:t>y Otros Beneficios</w:t>
      </w:r>
    </w:p>
    <w:p w14:paraId="180B1443" w14:textId="77777777" w:rsidR="00AA50F2" w:rsidRPr="0000783A" w:rsidRDefault="00AA50F2" w:rsidP="00B93F1F">
      <w:pPr>
        <w:spacing w:line="360" w:lineRule="auto"/>
        <w:jc w:val="both"/>
        <w:rPr>
          <w:rFonts w:ascii="Arial" w:hAnsi="Arial" w:cs="Arial"/>
        </w:rPr>
      </w:pPr>
    </w:p>
    <w:p w14:paraId="65C4843E" w14:textId="6CBDDBF9" w:rsidR="0000783A" w:rsidRPr="0000783A" w:rsidRDefault="00E34202" w:rsidP="0000783A">
      <w:pPr>
        <w:jc w:val="both"/>
        <w:rPr>
          <w:rFonts w:ascii="Arial" w:hAnsi="Arial" w:cs="Arial"/>
          <w:bCs/>
        </w:rPr>
      </w:pPr>
      <w:r w:rsidRPr="0000783A">
        <w:rPr>
          <w:rFonts w:ascii="Arial" w:hAnsi="Arial" w:cs="Arial"/>
          <w:b/>
        </w:rPr>
        <w:t>Universo</w:t>
      </w:r>
      <w:r w:rsidR="00AA50F2" w:rsidRPr="0000783A">
        <w:rPr>
          <w:rFonts w:ascii="Arial" w:hAnsi="Arial" w:cs="Arial"/>
          <w:b/>
        </w:rPr>
        <w:t xml:space="preserve">: </w:t>
      </w:r>
      <w:r w:rsidR="0000783A" w:rsidRPr="0000783A">
        <w:rPr>
          <w:rFonts w:ascii="Arial Narrow" w:hAnsi="Arial Narrow" w:cs="Arial"/>
          <w:b/>
          <w:bCs/>
          <w:sz w:val="18"/>
          <w:szCs w:val="18"/>
        </w:rPr>
        <w:t xml:space="preserve"> </w:t>
      </w:r>
      <w:r w:rsidR="0000783A" w:rsidRPr="0000783A">
        <w:rPr>
          <w:rFonts w:ascii="Arial" w:hAnsi="Arial" w:cs="Arial"/>
          <w:bCs/>
        </w:rPr>
        <w:t>$</w:t>
      </w:r>
      <w:r w:rsidR="00651618">
        <w:rPr>
          <w:rFonts w:ascii="Arial" w:hAnsi="Arial" w:cs="Arial"/>
          <w:bCs/>
        </w:rPr>
        <w:t>4</w:t>
      </w:r>
      <w:r w:rsidR="00BF6090">
        <w:rPr>
          <w:rFonts w:ascii="Arial" w:hAnsi="Arial" w:cs="Arial"/>
          <w:bCs/>
        </w:rPr>
        <w:t>74,847.88</w:t>
      </w:r>
      <w:r w:rsidR="0000783A" w:rsidRPr="0000783A">
        <w:rPr>
          <w:rFonts w:ascii="Arial" w:hAnsi="Arial" w:cs="Arial"/>
          <w:bCs/>
        </w:rPr>
        <w:t xml:space="preserve"> </w:t>
      </w:r>
    </w:p>
    <w:p w14:paraId="4BF3AC1B" w14:textId="77777777" w:rsidR="00A720AA" w:rsidRPr="0000783A" w:rsidRDefault="00A720AA" w:rsidP="00B93F1F">
      <w:pPr>
        <w:spacing w:line="360" w:lineRule="auto"/>
        <w:rPr>
          <w:rFonts w:ascii="Arial" w:hAnsi="Arial" w:cs="Arial"/>
        </w:rPr>
      </w:pPr>
      <w:bookmarkStart w:id="4" w:name="_Toc518907881"/>
      <w:bookmarkStart w:id="5" w:name="_Toc520196704"/>
    </w:p>
    <w:p w14:paraId="4F0D5569" w14:textId="155835AB" w:rsidR="00196E08" w:rsidRPr="00651618" w:rsidRDefault="00A720AA" w:rsidP="00196E08">
      <w:pPr>
        <w:rPr>
          <w:rFonts w:ascii="Arial" w:hAnsi="Arial" w:cs="Arial"/>
          <w:bCs/>
        </w:rPr>
      </w:pPr>
      <w:r w:rsidRPr="0000783A">
        <w:rPr>
          <w:rFonts w:ascii="Arial" w:hAnsi="Arial" w:cs="Arial"/>
          <w:b/>
        </w:rPr>
        <w:t>Población Objetivo</w:t>
      </w:r>
      <w:r w:rsidRPr="00651618">
        <w:rPr>
          <w:rFonts w:ascii="Arial" w:hAnsi="Arial" w:cs="Arial"/>
          <w:bCs/>
        </w:rPr>
        <w:t xml:space="preserve">: </w:t>
      </w:r>
      <w:r w:rsidR="00651618">
        <w:rPr>
          <w:rFonts w:ascii="Arial" w:hAnsi="Arial" w:cs="Arial"/>
          <w:bCs/>
        </w:rPr>
        <w:t>$</w:t>
      </w:r>
      <w:r w:rsidR="00196E08" w:rsidRPr="00651618">
        <w:rPr>
          <w:rFonts w:ascii="Arial" w:hAnsi="Arial" w:cs="Arial"/>
          <w:bCs/>
        </w:rPr>
        <w:t xml:space="preserve">306,580.34 </w:t>
      </w:r>
    </w:p>
    <w:p w14:paraId="51BF8A82" w14:textId="77777777" w:rsidR="00E34202" w:rsidRPr="0000783A" w:rsidRDefault="00E34202" w:rsidP="00B93F1F">
      <w:pPr>
        <w:spacing w:line="360" w:lineRule="auto"/>
        <w:rPr>
          <w:rFonts w:ascii="Arial" w:hAnsi="Arial" w:cs="Arial"/>
        </w:rPr>
      </w:pPr>
    </w:p>
    <w:p w14:paraId="3D9B3E65" w14:textId="6392D2BF" w:rsidR="00196E08" w:rsidRPr="00651618" w:rsidRDefault="00AA50F2" w:rsidP="00196E08">
      <w:pPr>
        <w:rPr>
          <w:rFonts w:ascii="Arial" w:hAnsi="Arial" w:cs="Arial"/>
          <w:bCs/>
        </w:rPr>
      </w:pPr>
      <w:r w:rsidRPr="0000783A">
        <w:rPr>
          <w:rFonts w:ascii="Arial" w:hAnsi="Arial" w:cs="Arial"/>
          <w:b/>
        </w:rPr>
        <w:t xml:space="preserve">Muestra </w:t>
      </w:r>
      <w:r w:rsidR="00E34202" w:rsidRPr="0000783A">
        <w:rPr>
          <w:rFonts w:ascii="Arial" w:hAnsi="Arial" w:cs="Arial"/>
          <w:b/>
        </w:rPr>
        <w:t>Audit</w:t>
      </w:r>
      <w:r w:rsidRPr="0000783A">
        <w:rPr>
          <w:rFonts w:ascii="Arial" w:hAnsi="Arial" w:cs="Arial"/>
          <w:b/>
        </w:rPr>
        <w:t>ada:</w:t>
      </w:r>
      <w:r w:rsidRPr="0000783A">
        <w:rPr>
          <w:rFonts w:ascii="Arial" w:hAnsi="Arial" w:cs="Arial"/>
        </w:rPr>
        <w:t xml:space="preserve"> </w:t>
      </w:r>
      <w:bookmarkEnd w:id="4"/>
      <w:bookmarkEnd w:id="5"/>
      <w:r w:rsidR="00196E08">
        <w:rPr>
          <w:rFonts w:ascii="Arial Narrow" w:hAnsi="Arial Narrow" w:cs="Arial"/>
          <w:sz w:val="18"/>
          <w:szCs w:val="18"/>
        </w:rPr>
        <w:t xml:space="preserve">  </w:t>
      </w:r>
      <w:r w:rsidR="00651618" w:rsidRPr="00651618">
        <w:rPr>
          <w:rFonts w:ascii="Arial" w:hAnsi="Arial" w:cs="Arial"/>
          <w:bCs/>
        </w:rPr>
        <w:t>$</w:t>
      </w:r>
      <w:r w:rsidR="00196E08" w:rsidRPr="00651618">
        <w:rPr>
          <w:rFonts w:ascii="Arial" w:hAnsi="Arial" w:cs="Arial"/>
          <w:bCs/>
        </w:rPr>
        <w:t xml:space="preserve">306,580.34 </w:t>
      </w:r>
    </w:p>
    <w:p w14:paraId="3C316B61" w14:textId="27C4EA1B" w:rsidR="00AA50F2" w:rsidRPr="00651618" w:rsidRDefault="00AA50F2" w:rsidP="00B93F1F">
      <w:pPr>
        <w:spacing w:line="360" w:lineRule="auto"/>
        <w:rPr>
          <w:rFonts w:ascii="Arial" w:hAnsi="Arial" w:cs="Arial"/>
          <w:bCs/>
        </w:rPr>
      </w:pPr>
    </w:p>
    <w:p w14:paraId="15590F48" w14:textId="4838AA25" w:rsidR="00AA50F2" w:rsidRPr="00651618" w:rsidRDefault="00FA4D20" w:rsidP="00B93F1F">
      <w:pPr>
        <w:spacing w:line="360" w:lineRule="auto"/>
        <w:rPr>
          <w:rFonts w:ascii="Arial" w:hAnsi="Arial" w:cs="Arial"/>
          <w:bCs/>
        </w:rPr>
      </w:pPr>
      <w:bookmarkStart w:id="6" w:name="_Toc518907882"/>
      <w:bookmarkStart w:id="7" w:name="_Toc520196705"/>
      <w:r w:rsidRPr="00651618">
        <w:rPr>
          <w:rFonts w:ascii="Arial" w:hAnsi="Arial" w:cs="Arial"/>
          <w:b/>
        </w:rPr>
        <w:t>Representatividad de la Mu</w:t>
      </w:r>
      <w:r w:rsidR="00AA50F2" w:rsidRPr="00651618">
        <w:rPr>
          <w:rFonts w:ascii="Arial" w:hAnsi="Arial" w:cs="Arial"/>
          <w:b/>
        </w:rPr>
        <w:t>estra:</w:t>
      </w:r>
      <w:r w:rsidR="00AA50F2" w:rsidRPr="00651618">
        <w:rPr>
          <w:rFonts w:ascii="Arial" w:hAnsi="Arial" w:cs="Arial"/>
        </w:rPr>
        <w:t xml:space="preserve"> </w:t>
      </w:r>
      <w:bookmarkEnd w:id="6"/>
      <w:bookmarkEnd w:id="7"/>
      <w:r w:rsidR="004621EF">
        <w:rPr>
          <w:rFonts w:ascii="Arial" w:hAnsi="Arial" w:cs="Arial"/>
          <w:bCs/>
        </w:rPr>
        <w:t>100</w:t>
      </w:r>
      <w:r w:rsidR="00196E08" w:rsidRPr="00651618">
        <w:rPr>
          <w:rFonts w:ascii="Arial" w:hAnsi="Arial" w:cs="Arial"/>
          <w:bCs/>
        </w:rPr>
        <w:t>%</w:t>
      </w:r>
    </w:p>
    <w:p w14:paraId="14ABF74E" w14:textId="3FC38FF4" w:rsidR="00AA50F2" w:rsidRDefault="00AA50F2" w:rsidP="00B93F1F">
      <w:pPr>
        <w:spacing w:line="360" w:lineRule="auto"/>
        <w:jc w:val="both"/>
        <w:rPr>
          <w:rFonts w:ascii="Arial" w:hAnsi="Arial" w:cs="Arial"/>
        </w:rPr>
      </w:pPr>
    </w:p>
    <w:p w14:paraId="6B5DB992" w14:textId="0F336F91" w:rsidR="00933C9D" w:rsidRPr="009879F6" w:rsidRDefault="00933C9D" w:rsidP="00933C9D">
      <w:pPr>
        <w:spacing w:line="360" w:lineRule="auto"/>
        <w:ind w:right="190"/>
        <w:jc w:val="both"/>
        <w:rPr>
          <w:rFonts w:ascii="Arial" w:hAnsi="Arial" w:cs="Arial"/>
        </w:rPr>
      </w:pPr>
      <w:r w:rsidRPr="009879F6">
        <w:rPr>
          <w:rFonts w:ascii="Arial" w:hAnsi="Arial" w:cs="Arial"/>
        </w:rPr>
        <w:lastRenderedPageBreak/>
        <w:t xml:space="preserve">En el total del Universo están considerados los </w:t>
      </w:r>
      <w:r>
        <w:rPr>
          <w:rFonts w:ascii="Arial" w:hAnsi="Arial" w:cs="Arial"/>
        </w:rPr>
        <w:t>rendimientos</w:t>
      </w:r>
      <w:r w:rsidRPr="009879F6">
        <w:rPr>
          <w:rFonts w:ascii="Arial" w:hAnsi="Arial" w:cs="Arial"/>
        </w:rPr>
        <w:t xml:space="preserve"> federales por la cantidad de $</w:t>
      </w:r>
      <w:r>
        <w:rPr>
          <w:rFonts w:ascii="Arial" w:hAnsi="Arial" w:cs="Arial"/>
        </w:rPr>
        <w:t>168,267.54</w:t>
      </w:r>
      <w:r w:rsidRPr="009879F6">
        <w:rPr>
          <w:rFonts w:ascii="Arial" w:hAnsi="Arial" w:cs="Arial"/>
        </w:rPr>
        <w:t>, los cuales no se contemplaron en el monto de la muestra auditada, quedando integrada la población objetivo únicamente por r</w:t>
      </w:r>
      <w:r>
        <w:rPr>
          <w:rFonts w:ascii="Arial" w:hAnsi="Arial" w:cs="Arial"/>
        </w:rPr>
        <w:t>ecursos estatales</w:t>
      </w:r>
      <w:r w:rsidRPr="009879F6">
        <w:rPr>
          <w:rFonts w:ascii="Arial" w:hAnsi="Arial" w:cs="Arial"/>
        </w:rPr>
        <w:t>.</w:t>
      </w:r>
    </w:p>
    <w:p w14:paraId="727D1297" w14:textId="32A5AB7B" w:rsidR="00777F76" w:rsidRPr="00777F76" w:rsidRDefault="00777F76" w:rsidP="00777F76">
      <w:pPr>
        <w:spacing w:line="360" w:lineRule="auto"/>
        <w:jc w:val="both"/>
        <w:rPr>
          <w:rFonts w:ascii="Arial" w:hAnsi="Arial" w:cs="Arial"/>
          <w:highlight w:val="yellow"/>
        </w:rPr>
      </w:pPr>
      <w:r w:rsidRPr="00AA4EDF">
        <w:rPr>
          <w:rFonts w:ascii="Arial" w:hAnsi="Arial" w:cs="Arial"/>
        </w:rPr>
        <w:t xml:space="preserve"> </w:t>
      </w:r>
    </w:p>
    <w:p w14:paraId="433F17E0" w14:textId="5279D053" w:rsidR="00777F76" w:rsidRPr="002626C7" w:rsidRDefault="00777F76" w:rsidP="00777F76">
      <w:pPr>
        <w:spacing w:line="360" w:lineRule="auto"/>
        <w:ind w:right="190"/>
        <w:jc w:val="both"/>
        <w:rPr>
          <w:rFonts w:ascii="Arial" w:hAnsi="Arial" w:cs="Arial"/>
        </w:rPr>
      </w:pPr>
      <w:r w:rsidRPr="002626C7">
        <w:rPr>
          <w:rFonts w:ascii="Arial" w:hAnsi="Arial" w:cs="Arial"/>
        </w:rPr>
        <w:t>La población objetivo se determinó sobre la base de los ingresos y otros beneficios que forman parte del Estado de Actividades por el período comprendido del 1º de enero al 31 de diciembre de 2019</w:t>
      </w:r>
      <w:r w:rsidR="00E86EE6">
        <w:rPr>
          <w:rFonts w:ascii="Arial" w:hAnsi="Arial" w:cs="Arial"/>
        </w:rPr>
        <w:t>.</w:t>
      </w:r>
    </w:p>
    <w:p w14:paraId="6683D14D" w14:textId="77777777" w:rsidR="00777F76" w:rsidRPr="00777F76" w:rsidRDefault="00777F76" w:rsidP="00777F76">
      <w:pPr>
        <w:spacing w:line="360" w:lineRule="auto"/>
        <w:jc w:val="both"/>
        <w:rPr>
          <w:rFonts w:ascii="Arial" w:hAnsi="Arial" w:cs="Arial"/>
          <w:highlight w:val="yellow"/>
        </w:rPr>
      </w:pPr>
    </w:p>
    <w:p w14:paraId="0B45A632" w14:textId="77777777" w:rsidR="00777F76" w:rsidRPr="00180752" w:rsidRDefault="00777F76" w:rsidP="00180752">
      <w:pPr>
        <w:shd w:val="clear" w:color="auto" w:fill="FFFFFF" w:themeFill="background1"/>
        <w:spacing w:line="360" w:lineRule="auto"/>
        <w:ind w:right="190"/>
        <w:jc w:val="both"/>
        <w:rPr>
          <w:rFonts w:ascii="Arial" w:hAnsi="Arial" w:cs="Arial"/>
          <w:b/>
        </w:rPr>
      </w:pPr>
      <w:r w:rsidRPr="00180752">
        <w:rPr>
          <w:rFonts w:ascii="Arial" w:hAnsi="Arial" w:cs="Arial"/>
          <w:b/>
        </w:rPr>
        <w:t>Gastos y Otras Pérdidas</w:t>
      </w:r>
    </w:p>
    <w:p w14:paraId="0A0586B0" w14:textId="77777777" w:rsidR="00777F76" w:rsidRPr="00180752" w:rsidRDefault="00777F76" w:rsidP="00180752">
      <w:pPr>
        <w:shd w:val="clear" w:color="auto" w:fill="FFFFFF" w:themeFill="background1"/>
        <w:spacing w:line="360" w:lineRule="auto"/>
        <w:jc w:val="both"/>
        <w:rPr>
          <w:rFonts w:ascii="Arial" w:hAnsi="Arial" w:cs="Arial"/>
          <w:b/>
        </w:rPr>
      </w:pPr>
    </w:p>
    <w:p w14:paraId="3098BA5D" w14:textId="3EB63F9A" w:rsidR="00777F76" w:rsidRDefault="00777F76" w:rsidP="00180752">
      <w:pPr>
        <w:shd w:val="clear" w:color="auto" w:fill="FFFFFF" w:themeFill="background1"/>
        <w:spacing w:line="360" w:lineRule="auto"/>
        <w:jc w:val="both"/>
        <w:rPr>
          <w:rFonts w:ascii="Arial" w:hAnsi="Arial" w:cs="Arial"/>
          <w:bCs/>
          <w:color w:val="000000"/>
        </w:rPr>
      </w:pPr>
      <w:r w:rsidRPr="00180752">
        <w:rPr>
          <w:rFonts w:ascii="Arial" w:hAnsi="Arial" w:cs="Arial"/>
          <w:b/>
        </w:rPr>
        <w:t xml:space="preserve">Universo: </w:t>
      </w:r>
      <w:r w:rsidRPr="00180752">
        <w:rPr>
          <w:rFonts w:ascii="Arial" w:hAnsi="Arial" w:cs="Arial"/>
          <w:bCs/>
          <w:color w:val="000000"/>
        </w:rPr>
        <w:t>$</w:t>
      </w:r>
      <w:r w:rsidR="00180752" w:rsidRPr="00180752">
        <w:rPr>
          <w:rFonts w:ascii="Arial" w:hAnsi="Arial" w:cs="Arial"/>
          <w:bCs/>
          <w:color w:val="000000"/>
        </w:rPr>
        <w:t>49,556.34</w:t>
      </w:r>
    </w:p>
    <w:p w14:paraId="70B2C578" w14:textId="77777777" w:rsidR="00180752" w:rsidRPr="00180752" w:rsidRDefault="00180752" w:rsidP="00180752">
      <w:pPr>
        <w:shd w:val="clear" w:color="auto" w:fill="FFFFFF" w:themeFill="background1"/>
        <w:spacing w:line="360" w:lineRule="auto"/>
        <w:jc w:val="both"/>
        <w:rPr>
          <w:rFonts w:ascii="Arial" w:hAnsi="Arial" w:cs="Arial"/>
        </w:rPr>
      </w:pPr>
    </w:p>
    <w:p w14:paraId="1ABB9447" w14:textId="129F11B4" w:rsidR="00777F76" w:rsidRDefault="00777F76" w:rsidP="00180752">
      <w:pPr>
        <w:shd w:val="clear" w:color="auto" w:fill="FFFFFF" w:themeFill="background1"/>
        <w:spacing w:line="360" w:lineRule="auto"/>
        <w:rPr>
          <w:rFonts w:ascii="Arial" w:hAnsi="Arial" w:cs="Arial"/>
          <w:bCs/>
          <w:color w:val="000000"/>
        </w:rPr>
      </w:pPr>
      <w:r w:rsidRPr="00180752">
        <w:rPr>
          <w:rFonts w:ascii="Arial" w:hAnsi="Arial" w:cs="Arial"/>
          <w:b/>
        </w:rPr>
        <w:t xml:space="preserve">Población Objetivo: </w:t>
      </w:r>
      <w:r w:rsidRPr="00180752">
        <w:rPr>
          <w:rFonts w:ascii="Arial" w:hAnsi="Arial" w:cs="Arial"/>
        </w:rPr>
        <w:t>$</w:t>
      </w:r>
      <w:r w:rsidR="00180752" w:rsidRPr="00180752">
        <w:rPr>
          <w:rFonts w:ascii="Arial" w:hAnsi="Arial" w:cs="Arial"/>
          <w:bCs/>
          <w:color w:val="000000"/>
        </w:rPr>
        <w:t>49,556.34</w:t>
      </w:r>
    </w:p>
    <w:p w14:paraId="7B76ED0B" w14:textId="77777777" w:rsidR="00180752" w:rsidRPr="00180752" w:rsidRDefault="00180752" w:rsidP="00180752">
      <w:pPr>
        <w:shd w:val="clear" w:color="auto" w:fill="FFFFFF" w:themeFill="background1"/>
        <w:spacing w:line="360" w:lineRule="auto"/>
        <w:rPr>
          <w:rFonts w:ascii="Arial" w:hAnsi="Arial" w:cs="Arial"/>
        </w:rPr>
      </w:pPr>
    </w:p>
    <w:p w14:paraId="2934211D" w14:textId="313A3782" w:rsidR="00777F76" w:rsidRPr="00180752" w:rsidRDefault="00777F76" w:rsidP="00180752">
      <w:pPr>
        <w:shd w:val="clear" w:color="auto" w:fill="FFFFFF" w:themeFill="background1"/>
        <w:spacing w:line="360" w:lineRule="auto"/>
        <w:rPr>
          <w:rFonts w:ascii="Arial" w:hAnsi="Arial" w:cs="Arial"/>
        </w:rPr>
      </w:pPr>
      <w:r w:rsidRPr="00180752">
        <w:rPr>
          <w:rFonts w:ascii="Arial" w:hAnsi="Arial" w:cs="Arial"/>
          <w:b/>
        </w:rPr>
        <w:t>Muestra Auditada:</w:t>
      </w:r>
      <w:r w:rsidRPr="00180752">
        <w:rPr>
          <w:rFonts w:ascii="Arial" w:hAnsi="Arial" w:cs="Arial"/>
        </w:rPr>
        <w:t xml:space="preserve"> </w:t>
      </w:r>
      <w:r w:rsidRPr="00180752">
        <w:rPr>
          <w:rFonts w:ascii="Arial" w:hAnsi="Arial" w:cs="Arial"/>
          <w:bCs/>
          <w:color w:val="000000"/>
        </w:rPr>
        <w:t>$</w:t>
      </w:r>
      <w:r w:rsidR="00180752" w:rsidRPr="00180752">
        <w:rPr>
          <w:rFonts w:ascii="Arial" w:hAnsi="Arial" w:cs="Arial"/>
          <w:bCs/>
          <w:color w:val="000000"/>
        </w:rPr>
        <w:t>36,614.96</w:t>
      </w:r>
    </w:p>
    <w:p w14:paraId="4FE72DA6" w14:textId="77777777" w:rsidR="00777F76" w:rsidRPr="00180752" w:rsidRDefault="00777F76" w:rsidP="00180752">
      <w:pPr>
        <w:shd w:val="clear" w:color="auto" w:fill="FFFFFF" w:themeFill="background1"/>
        <w:spacing w:line="360" w:lineRule="auto"/>
        <w:rPr>
          <w:rFonts w:ascii="Arial" w:hAnsi="Arial" w:cs="Arial"/>
        </w:rPr>
      </w:pPr>
    </w:p>
    <w:p w14:paraId="72CF2A85" w14:textId="3EC827BA" w:rsidR="00777F76" w:rsidRDefault="00777F76" w:rsidP="00180752">
      <w:pPr>
        <w:shd w:val="clear" w:color="auto" w:fill="FFFFFF" w:themeFill="background1"/>
        <w:spacing w:line="360" w:lineRule="auto"/>
        <w:rPr>
          <w:rFonts w:ascii="Arial" w:hAnsi="Arial" w:cs="Arial"/>
          <w:bCs/>
          <w:color w:val="000000"/>
        </w:rPr>
      </w:pPr>
      <w:r w:rsidRPr="00180752">
        <w:rPr>
          <w:rFonts w:ascii="Arial" w:hAnsi="Arial" w:cs="Arial"/>
          <w:b/>
        </w:rPr>
        <w:t>Representatividad de la Muestra:</w:t>
      </w:r>
      <w:r w:rsidRPr="00180752">
        <w:rPr>
          <w:rFonts w:ascii="Arial" w:hAnsi="Arial" w:cs="Arial"/>
        </w:rPr>
        <w:t xml:space="preserve"> </w:t>
      </w:r>
      <w:r w:rsidR="00403D3D">
        <w:rPr>
          <w:rFonts w:ascii="Arial" w:hAnsi="Arial" w:cs="Arial"/>
          <w:bCs/>
          <w:color w:val="000000"/>
        </w:rPr>
        <w:t>73.88</w:t>
      </w:r>
      <w:r w:rsidRPr="00180752">
        <w:rPr>
          <w:rFonts w:ascii="Arial" w:hAnsi="Arial" w:cs="Arial"/>
          <w:bCs/>
          <w:color w:val="000000"/>
        </w:rPr>
        <w:t>%</w:t>
      </w:r>
    </w:p>
    <w:p w14:paraId="5807ABF9" w14:textId="77777777" w:rsidR="005B4D33" w:rsidRPr="00180752" w:rsidRDefault="005B4D33" w:rsidP="00180752">
      <w:pPr>
        <w:shd w:val="clear" w:color="auto" w:fill="FFFFFF" w:themeFill="background1"/>
        <w:spacing w:line="360" w:lineRule="auto"/>
        <w:rPr>
          <w:rFonts w:ascii="Arial" w:hAnsi="Arial" w:cs="Arial"/>
        </w:rPr>
      </w:pPr>
    </w:p>
    <w:p w14:paraId="42F8F3F6" w14:textId="42148FAE" w:rsidR="00777F76" w:rsidRPr="00180752" w:rsidRDefault="00403D3D" w:rsidP="00777F76">
      <w:pPr>
        <w:spacing w:line="360" w:lineRule="auto"/>
        <w:ind w:right="190"/>
        <w:jc w:val="both"/>
        <w:rPr>
          <w:rFonts w:ascii="Arial" w:hAnsi="Arial" w:cs="Arial"/>
        </w:rPr>
      </w:pPr>
      <w:r>
        <w:rPr>
          <w:rFonts w:ascii="Arial" w:hAnsi="Arial" w:cs="Arial"/>
        </w:rPr>
        <w:t>E</w:t>
      </w:r>
      <w:r w:rsidRPr="00403D3D">
        <w:rPr>
          <w:rFonts w:ascii="Arial" w:hAnsi="Arial" w:cs="Arial"/>
        </w:rPr>
        <w:t xml:space="preserve">l ente </w:t>
      </w:r>
      <w:proofErr w:type="spellStart"/>
      <w:r w:rsidRPr="00403D3D">
        <w:rPr>
          <w:rFonts w:ascii="Arial" w:hAnsi="Arial" w:cs="Arial"/>
        </w:rPr>
        <w:t>fiscalizado</w:t>
      </w:r>
      <w:proofErr w:type="spellEnd"/>
      <w:r w:rsidRPr="00403D3D">
        <w:rPr>
          <w:rFonts w:ascii="Arial" w:hAnsi="Arial" w:cs="Arial"/>
        </w:rPr>
        <w:t xml:space="preserve"> no recibió recursos federales, por lo cual el Universo y la Población Objetivo quedaron integradas únicamente por recursos</w:t>
      </w:r>
      <w:r w:rsidR="00777F76" w:rsidRPr="00180752">
        <w:rPr>
          <w:rFonts w:ascii="Arial" w:hAnsi="Arial" w:cs="Arial"/>
        </w:rPr>
        <w:t xml:space="preserve"> </w:t>
      </w:r>
      <w:r>
        <w:rPr>
          <w:rFonts w:ascii="Arial" w:hAnsi="Arial" w:cs="Arial"/>
        </w:rPr>
        <w:t>estatales.</w:t>
      </w:r>
    </w:p>
    <w:p w14:paraId="63B40253" w14:textId="77777777" w:rsidR="00777F76" w:rsidRPr="00777F76" w:rsidRDefault="00777F76" w:rsidP="00777F76">
      <w:pPr>
        <w:spacing w:line="360" w:lineRule="auto"/>
        <w:ind w:right="190"/>
        <w:jc w:val="both"/>
        <w:rPr>
          <w:rFonts w:ascii="Arial" w:hAnsi="Arial" w:cs="Arial"/>
          <w:highlight w:val="yellow"/>
        </w:rPr>
      </w:pPr>
    </w:p>
    <w:p w14:paraId="0BCA21D1" w14:textId="126EF65E" w:rsidR="00777F76" w:rsidRPr="00180752" w:rsidRDefault="00777F76" w:rsidP="00777F76">
      <w:pPr>
        <w:spacing w:line="360" w:lineRule="auto"/>
        <w:ind w:right="190"/>
        <w:jc w:val="both"/>
        <w:rPr>
          <w:rFonts w:ascii="Arial" w:hAnsi="Arial" w:cs="Arial"/>
        </w:rPr>
      </w:pPr>
      <w:r w:rsidRPr="00180752">
        <w:rPr>
          <w:rFonts w:ascii="Arial" w:hAnsi="Arial" w:cs="Arial"/>
        </w:rPr>
        <w:t>La Población Objetivo se determinó sobre la base de los gastos y otras pérdidas que forman parte del Estado de Actividades por el período comprendido del 1° de enero al 31 de diciembre de 2019</w:t>
      </w:r>
      <w:r w:rsidR="00E86EE6">
        <w:rPr>
          <w:rFonts w:ascii="Arial" w:hAnsi="Arial" w:cs="Arial"/>
        </w:rPr>
        <w:t>.</w:t>
      </w:r>
    </w:p>
    <w:p w14:paraId="64800579" w14:textId="77777777" w:rsidR="00777F76" w:rsidRPr="00180752" w:rsidRDefault="00777F76" w:rsidP="00777F76">
      <w:pPr>
        <w:spacing w:line="360" w:lineRule="auto"/>
        <w:jc w:val="both"/>
        <w:rPr>
          <w:rFonts w:ascii="Arial" w:hAnsi="Arial" w:cs="Arial"/>
          <w:bCs/>
        </w:rPr>
      </w:pPr>
    </w:p>
    <w:p w14:paraId="581EB2B7" w14:textId="77777777" w:rsidR="005274CB" w:rsidRPr="00180752" w:rsidRDefault="005274CB" w:rsidP="003A721E">
      <w:pPr>
        <w:spacing w:line="360" w:lineRule="auto"/>
        <w:ind w:right="190"/>
        <w:jc w:val="both"/>
        <w:rPr>
          <w:rFonts w:ascii="Arial" w:hAnsi="Arial" w:cs="Arial"/>
          <w:b/>
          <w:bCs/>
          <w:sz w:val="20"/>
          <w:szCs w:val="20"/>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29BFFD96" w:rsidR="002E1AEF"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4405A" w:rsidRPr="0024405A">
        <w:rPr>
          <w:rFonts w:ascii="Arial" w:hAnsi="Arial" w:cs="Arial"/>
          <w:bCs/>
        </w:rPr>
        <w:t>Ingresos y Otros Beneficios; Gastos y Otras Pérdidas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45701B3D" w14:textId="77777777" w:rsidR="00E86EE6" w:rsidRPr="009879F6" w:rsidRDefault="00E86EE6" w:rsidP="00FC2B31">
      <w:pPr>
        <w:tabs>
          <w:tab w:val="left" w:pos="9498"/>
        </w:tabs>
        <w:spacing w:line="360" w:lineRule="auto"/>
        <w:ind w:right="190"/>
        <w:jc w:val="both"/>
        <w:rPr>
          <w:rFonts w:ascii="Arial" w:hAnsi="Arial" w:cs="Arial"/>
          <w:bCs/>
        </w:rPr>
      </w:pPr>
    </w:p>
    <w:p w14:paraId="2E3A6FB2" w14:textId="3590DF30" w:rsidR="003A721E" w:rsidRPr="0024405A" w:rsidRDefault="003A721E" w:rsidP="003A721E">
      <w:pPr>
        <w:spacing w:line="360" w:lineRule="auto"/>
        <w:ind w:right="190"/>
        <w:jc w:val="both"/>
        <w:rPr>
          <w:rFonts w:ascii="Arial" w:hAnsi="Arial" w:cs="Arial"/>
          <w:b/>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24405A">
        <w:rPr>
          <w:rFonts w:ascii="Arial" w:hAnsi="Arial" w:cs="Arial"/>
          <w:bCs/>
        </w:rPr>
        <w:t xml:space="preserve">la información concerniente al </w:t>
      </w:r>
      <w:r w:rsidR="0024405A" w:rsidRPr="0024405A">
        <w:rPr>
          <w:rFonts w:ascii="Arial" w:hAnsi="Arial" w:cs="Arial"/>
          <w:b/>
          <w:bCs/>
        </w:rPr>
        <w:t>Fideicomiso del Programa Nacional de Becas de Educación Superior Manutención</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24405A">
        <w:rPr>
          <w:rFonts w:ascii="Arial" w:hAnsi="Arial" w:cs="Arial"/>
          <w:bCs/>
        </w:rPr>
        <w:t>histórica</w:t>
      </w:r>
      <w:r w:rsidR="005274CB" w:rsidRPr="0024405A">
        <w:rPr>
          <w:rFonts w:ascii="Arial" w:hAnsi="Arial" w:cs="Arial"/>
          <w:bCs/>
        </w:rPr>
        <w:t xml:space="preserve"> </w:t>
      </w:r>
      <w:r w:rsidR="00F52F12" w:rsidRPr="0024405A">
        <w:rPr>
          <w:rFonts w:ascii="Arial" w:hAnsi="Arial" w:cs="Arial"/>
          <w:bCs/>
        </w:rPr>
        <w:t>que se encuentra en los antecedentes de las auditorías practicadas</w:t>
      </w:r>
      <w:r w:rsidR="00F52F1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67E89D26" w:rsidR="003A721E" w:rsidRDefault="00687CC6" w:rsidP="00391B50">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2B285C">
        <w:rPr>
          <w:rFonts w:ascii="Arial" w:hAnsi="Arial" w:cs="Arial"/>
          <w:bCs/>
        </w:rPr>
        <w:t>determinándose mediante la competencia técnica y profesional, la actuación fiscalizadora, basándose en diversos elementos y factores que se integraron</w:t>
      </w:r>
      <w:r>
        <w:rPr>
          <w:rFonts w:ascii="Arial" w:hAnsi="Arial" w:cs="Arial"/>
          <w:bCs/>
        </w:rPr>
        <w:t xml:space="preserve">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4E796F86"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5AA73A9F" w14:textId="55C392AD" w:rsidR="00A93785" w:rsidRPr="008D4630" w:rsidRDefault="00A93785" w:rsidP="00A93785">
      <w:pPr>
        <w:spacing w:line="360" w:lineRule="auto"/>
        <w:jc w:val="both"/>
        <w:rPr>
          <w:rFonts w:ascii="Arial" w:hAnsi="Arial" w:cs="Arial"/>
        </w:rPr>
      </w:pPr>
      <w:proofErr w:type="gramStart"/>
      <w:r>
        <w:rPr>
          <w:rFonts w:ascii="Arial" w:hAnsi="Arial" w:cs="Arial"/>
        </w:rPr>
        <w:t xml:space="preserve">El </w:t>
      </w:r>
      <w:r w:rsidR="005B4D33">
        <w:rPr>
          <w:rFonts w:ascii="Arial" w:hAnsi="Arial" w:cs="Arial"/>
        </w:rPr>
        <w:t xml:space="preserve"> </w:t>
      </w:r>
      <w:r w:rsidR="00DF435D" w:rsidRPr="0024405A">
        <w:rPr>
          <w:rFonts w:ascii="Arial" w:hAnsi="Arial" w:cs="Arial"/>
          <w:b/>
          <w:bCs/>
        </w:rPr>
        <w:t>Fideicomiso</w:t>
      </w:r>
      <w:proofErr w:type="gramEnd"/>
      <w:r w:rsidR="00DF435D" w:rsidRPr="0024405A">
        <w:rPr>
          <w:rFonts w:ascii="Arial" w:hAnsi="Arial" w:cs="Arial"/>
          <w:b/>
          <w:bCs/>
        </w:rPr>
        <w:t xml:space="preserve"> del Programa Nacional de Becas de Educación Superior Manutención</w:t>
      </w:r>
      <w:r>
        <w:rPr>
          <w:rFonts w:ascii="Arial" w:hAnsi="Arial" w:cs="Arial"/>
          <w:b/>
          <w:bCs/>
        </w:rPr>
        <w:t xml:space="preserve"> </w:t>
      </w:r>
      <w:r w:rsidRPr="00CC3A70">
        <w:rPr>
          <w:rFonts w:ascii="Arial" w:hAnsi="Arial" w:cs="Arial"/>
        </w:rPr>
        <w:t>no cuenta con estructura orgánica, únicamente tiene un espacio asignado en la Coordinación General de Administración y Finanzas de los Servicios Educativos de Quintana Roo</w:t>
      </w:r>
      <w:r>
        <w:rPr>
          <w:rFonts w:ascii="Arial" w:hAnsi="Arial" w:cs="Arial"/>
        </w:rPr>
        <w:t>.</w:t>
      </w:r>
    </w:p>
    <w:p w14:paraId="0E436379" w14:textId="77777777" w:rsidR="00A26BAE" w:rsidRDefault="00A26BAE"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E86EE6" w:rsidRDefault="00E66F94" w:rsidP="00C47B98">
      <w:pPr>
        <w:spacing w:line="360" w:lineRule="auto"/>
        <w:jc w:val="both"/>
        <w:rPr>
          <w:rFonts w:ascii="Arial" w:hAnsi="Arial" w:cs="Arial"/>
          <w:bCs/>
          <w:sz w:val="18"/>
          <w:szCs w:val="18"/>
        </w:rPr>
      </w:pPr>
    </w:p>
    <w:p w14:paraId="2552EB3D" w14:textId="4B462EC1" w:rsidR="00DA4F8A"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xml:space="preserve">, se consideraron las razones de dichos riesgos </w:t>
      </w:r>
      <w:proofErr w:type="gramStart"/>
      <w:r w:rsidRPr="00C47B98">
        <w:rPr>
          <w:rFonts w:ascii="Arial" w:hAnsi="Arial" w:cs="Arial"/>
          <w:bCs/>
        </w:rPr>
        <w:t xml:space="preserve">para </w:t>
      </w:r>
      <w:r w:rsidR="00A37CF4">
        <w:rPr>
          <w:rFonts w:ascii="Arial" w:hAnsi="Arial" w:cs="Arial"/>
          <w:bCs/>
        </w:rPr>
        <w:t xml:space="preserve"> </w:t>
      </w:r>
      <w:r w:rsidRPr="00C47B98">
        <w:rPr>
          <w:rFonts w:ascii="Arial" w:hAnsi="Arial" w:cs="Arial"/>
          <w:bCs/>
        </w:rPr>
        <w:t>cada</w:t>
      </w:r>
      <w:proofErr w:type="gramEnd"/>
      <w:r w:rsidRPr="00C47B98">
        <w:rPr>
          <w:rFonts w:ascii="Arial" w:hAnsi="Arial" w:cs="Arial"/>
          <w:bCs/>
        </w:rPr>
        <w:t xml:space="preserve"> </w:t>
      </w:r>
      <w:r w:rsidR="00A37CF4">
        <w:rPr>
          <w:rFonts w:ascii="Arial" w:hAnsi="Arial" w:cs="Arial"/>
          <w:bCs/>
        </w:rPr>
        <w:t xml:space="preserve"> </w:t>
      </w:r>
      <w:r w:rsidRPr="00C47B98">
        <w:rPr>
          <w:rFonts w:ascii="Arial" w:hAnsi="Arial" w:cs="Arial"/>
          <w:bCs/>
        </w:rPr>
        <w:t xml:space="preserve">tipo </w:t>
      </w:r>
      <w:r w:rsidR="00A37CF4">
        <w:rPr>
          <w:rFonts w:ascii="Arial" w:hAnsi="Arial" w:cs="Arial"/>
          <w:bCs/>
        </w:rPr>
        <w:t xml:space="preserve"> </w:t>
      </w:r>
      <w:r w:rsidRPr="00C47B98">
        <w:rPr>
          <w:rFonts w:ascii="Arial" w:hAnsi="Arial" w:cs="Arial"/>
          <w:bCs/>
        </w:rPr>
        <w:t xml:space="preserve">de </w:t>
      </w:r>
      <w:r w:rsidR="00A37CF4">
        <w:rPr>
          <w:rFonts w:ascii="Arial" w:hAnsi="Arial" w:cs="Arial"/>
          <w:bCs/>
        </w:rPr>
        <w:t xml:space="preserve"> </w:t>
      </w:r>
      <w:r w:rsidRPr="00C47B98">
        <w:rPr>
          <w:rFonts w:ascii="Arial" w:hAnsi="Arial" w:cs="Arial"/>
          <w:bCs/>
        </w:rPr>
        <w:t>transacciones, saldo</w:t>
      </w:r>
      <w:r w:rsidR="0042253D">
        <w:rPr>
          <w:rFonts w:ascii="Arial" w:hAnsi="Arial" w:cs="Arial"/>
          <w:bCs/>
        </w:rPr>
        <w:t>s</w:t>
      </w:r>
      <w:r w:rsidRPr="00C47B98">
        <w:rPr>
          <w:rFonts w:ascii="Arial" w:hAnsi="Arial" w:cs="Arial"/>
          <w:bCs/>
        </w:rPr>
        <w:t xml:space="preserve"> de </w:t>
      </w:r>
    </w:p>
    <w:p w14:paraId="44C45425" w14:textId="7067D949" w:rsidR="00E66F94" w:rsidRPr="00C47B98" w:rsidRDefault="00E66F94" w:rsidP="00FC2B31">
      <w:pPr>
        <w:spacing w:line="360" w:lineRule="auto"/>
        <w:ind w:right="190"/>
        <w:jc w:val="both"/>
        <w:rPr>
          <w:rFonts w:ascii="Arial" w:hAnsi="Arial" w:cs="Arial"/>
          <w:bCs/>
        </w:rPr>
      </w:pPr>
      <w:r w:rsidRPr="00C47B98">
        <w:rPr>
          <w:rFonts w:ascii="Arial" w:hAnsi="Arial" w:cs="Arial"/>
          <w:bCs/>
        </w:rPr>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E86EE6" w:rsidRDefault="00E66F94" w:rsidP="00C47B98">
      <w:pPr>
        <w:spacing w:line="360" w:lineRule="auto"/>
        <w:jc w:val="both"/>
        <w:rPr>
          <w:rFonts w:ascii="Arial" w:hAnsi="Arial" w:cs="Arial"/>
          <w:bCs/>
          <w:sz w:val="18"/>
          <w:szCs w:val="18"/>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E86EE6" w:rsidRDefault="00E66F94" w:rsidP="00C47B98">
      <w:pPr>
        <w:spacing w:line="360" w:lineRule="auto"/>
        <w:jc w:val="both"/>
        <w:rPr>
          <w:rFonts w:ascii="Arial" w:hAnsi="Arial" w:cs="Arial"/>
          <w:bCs/>
          <w:sz w:val="18"/>
          <w:szCs w:val="18"/>
        </w:rPr>
      </w:pPr>
    </w:p>
    <w:p w14:paraId="68B0E61C" w14:textId="1E6C026E" w:rsidR="00E66F94" w:rsidRDefault="00456EF2" w:rsidP="00DF435D">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0A5F6C6" w14:textId="77777777" w:rsidR="00DA4F8A" w:rsidRPr="00E86EE6" w:rsidRDefault="00DA4F8A" w:rsidP="00DF435D">
      <w:pPr>
        <w:spacing w:line="360" w:lineRule="auto"/>
        <w:ind w:right="190"/>
        <w:jc w:val="both"/>
        <w:rPr>
          <w:rFonts w:ascii="Arial" w:hAnsi="Arial" w:cs="Arial"/>
          <w:bCs/>
          <w:sz w:val="18"/>
          <w:szCs w:val="18"/>
        </w:rPr>
      </w:pPr>
    </w:p>
    <w:p w14:paraId="032771DB" w14:textId="0430CD08" w:rsidR="00DA4F8A" w:rsidRDefault="00DA4F8A" w:rsidP="00DA4F8A">
      <w:pPr>
        <w:spacing w:line="360" w:lineRule="auto"/>
        <w:ind w:right="190"/>
        <w:jc w:val="both"/>
        <w:rPr>
          <w:rFonts w:ascii="Arial" w:hAnsi="Arial" w:cs="Arial"/>
          <w:b/>
          <w:bCs/>
        </w:rPr>
      </w:pPr>
      <w:r>
        <w:rPr>
          <w:rFonts w:ascii="Arial" w:hAnsi="Arial" w:cs="Arial"/>
          <w:b/>
          <w:bCs/>
        </w:rPr>
        <w:t>Ingresos</w:t>
      </w:r>
    </w:p>
    <w:p w14:paraId="5F3666F3" w14:textId="77777777" w:rsidR="00E86EE6" w:rsidRPr="003C7270" w:rsidRDefault="00E86EE6" w:rsidP="00DA4F8A">
      <w:pPr>
        <w:spacing w:line="360" w:lineRule="auto"/>
        <w:ind w:right="190"/>
        <w:jc w:val="both"/>
        <w:rPr>
          <w:rFonts w:ascii="Arial" w:hAnsi="Arial" w:cs="Arial"/>
          <w:b/>
          <w:bCs/>
        </w:rPr>
      </w:pPr>
    </w:p>
    <w:p w14:paraId="3819A13F" w14:textId="77777777" w:rsidR="002C3CFF" w:rsidRPr="005F01B2" w:rsidRDefault="002C3CFF" w:rsidP="002C3CFF">
      <w:pPr>
        <w:shd w:val="clear" w:color="auto" w:fill="FFFFFF" w:themeFill="background1"/>
        <w:spacing w:line="360" w:lineRule="auto"/>
        <w:ind w:right="190"/>
        <w:jc w:val="both"/>
        <w:rPr>
          <w:rFonts w:ascii="Arial" w:hAnsi="Arial" w:cs="Arial"/>
        </w:rPr>
      </w:pPr>
      <w:r w:rsidRPr="005F01B2">
        <w:rPr>
          <w:rFonts w:ascii="Arial" w:hAnsi="Arial" w:cs="Arial"/>
        </w:rPr>
        <w:t>1. Verificar que los controles internos implementados permitieron la adecuada gestión administrativa para el desarrollo eficiente de las operaciones, la obtención de información confiable y oportuna.</w:t>
      </w:r>
    </w:p>
    <w:p w14:paraId="55BBD8F4" w14:textId="77777777" w:rsidR="002C3CFF" w:rsidRDefault="002C3CFF" w:rsidP="002C3CFF">
      <w:pPr>
        <w:spacing w:line="360" w:lineRule="auto"/>
        <w:ind w:right="190"/>
        <w:jc w:val="both"/>
        <w:rPr>
          <w:rFonts w:ascii="Arial" w:hAnsi="Arial" w:cs="Arial"/>
        </w:rPr>
      </w:pPr>
      <w:r>
        <w:rPr>
          <w:rFonts w:ascii="Arial" w:hAnsi="Arial" w:cs="Arial"/>
        </w:rPr>
        <w:lastRenderedPageBreak/>
        <w:t>2</w:t>
      </w:r>
      <w:r w:rsidRPr="005F01B2">
        <w:rPr>
          <w:rFonts w:ascii="Arial" w:hAnsi="Arial" w:cs="Arial"/>
        </w:rPr>
        <w:t xml:space="preserve">. Verificar la correcta revelación de estados financieros e informes contables, presupuestarios y programáticos de conformidad con la Ley General de Contabilidad Gubernamental y demás normativa aplicable. </w:t>
      </w:r>
    </w:p>
    <w:p w14:paraId="227EDC30" w14:textId="77777777" w:rsidR="002C3CFF" w:rsidRPr="005F01B2" w:rsidRDefault="002C3CFF" w:rsidP="002C3CFF">
      <w:pPr>
        <w:spacing w:line="360" w:lineRule="auto"/>
        <w:ind w:right="190"/>
        <w:jc w:val="both"/>
        <w:rPr>
          <w:rFonts w:ascii="Arial" w:hAnsi="Arial" w:cs="Arial"/>
        </w:rPr>
      </w:pPr>
    </w:p>
    <w:p w14:paraId="77D1E537" w14:textId="332C60B1" w:rsidR="002C3CFF" w:rsidRPr="00C56C4D" w:rsidRDefault="002C3CFF" w:rsidP="002C3CFF">
      <w:pPr>
        <w:spacing w:line="360" w:lineRule="auto"/>
        <w:ind w:right="190"/>
        <w:jc w:val="both"/>
        <w:rPr>
          <w:rFonts w:ascii="Arial" w:hAnsi="Arial" w:cs="Arial"/>
        </w:rPr>
      </w:pPr>
      <w:r>
        <w:rPr>
          <w:rFonts w:ascii="Arial" w:hAnsi="Arial" w:cs="Arial"/>
        </w:rPr>
        <w:t xml:space="preserve">3. </w:t>
      </w:r>
      <w:r w:rsidRPr="00C56C4D">
        <w:rPr>
          <w:rFonts w:ascii="Arial" w:hAnsi="Arial" w:cs="Arial"/>
        </w:rPr>
        <w:t>Verificar las firmas autorizadas para el manejo de las cuentas</w:t>
      </w:r>
      <w:r w:rsidR="00F13CDA">
        <w:rPr>
          <w:rFonts w:ascii="Arial" w:hAnsi="Arial" w:cs="Arial"/>
        </w:rPr>
        <w:t xml:space="preserve"> en las instrucciones giradas al Fiduciario.</w:t>
      </w:r>
    </w:p>
    <w:p w14:paraId="4A536FA2" w14:textId="77777777" w:rsidR="002C3CFF" w:rsidRPr="00C56C4D" w:rsidRDefault="002C3CFF" w:rsidP="002C3CFF">
      <w:pPr>
        <w:spacing w:line="360" w:lineRule="auto"/>
        <w:ind w:right="190"/>
        <w:jc w:val="both"/>
        <w:rPr>
          <w:rFonts w:ascii="Arial" w:hAnsi="Arial" w:cs="Arial"/>
        </w:rPr>
      </w:pPr>
    </w:p>
    <w:p w14:paraId="7DEE6F0B" w14:textId="299BEEA1" w:rsidR="002C3CFF" w:rsidRDefault="002C3CFF" w:rsidP="002C3CFF">
      <w:pPr>
        <w:spacing w:line="360" w:lineRule="auto"/>
        <w:ind w:right="190"/>
        <w:jc w:val="both"/>
        <w:rPr>
          <w:rFonts w:ascii="Arial" w:hAnsi="Arial" w:cs="Arial"/>
        </w:rPr>
      </w:pPr>
      <w:r>
        <w:rPr>
          <w:rFonts w:ascii="Arial" w:hAnsi="Arial" w:cs="Arial"/>
        </w:rPr>
        <w:t xml:space="preserve">4. </w:t>
      </w:r>
      <w:r w:rsidRPr="00C56C4D">
        <w:rPr>
          <w:rFonts w:ascii="Arial" w:hAnsi="Arial" w:cs="Arial"/>
        </w:rPr>
        <w:t>Verificar que las cuentas bancarias</w:t>
      </w:r>
      <w:r>
        <w:rPr>
          <w:rFonts w:ascii="Arial" w:hAnsi="Arial" w:cs="Arial"/>
        </w:rPr>
        <w:t xml:space="preserve"> y cuentas de inversión</w:t>
      </w:r>
      <w:r w:rsidRPr="00C56C4D">
        <w:rPr>
          <w:rFonts w:ascii="Arial" w:hAnsi="Arial" w:cs="Arial"/>
        </w:rPr>
        <w:t xml:space="preserve"> se encuentren activas y registradas en la contabilidad, validando que los saldos vayan de acuerdo a su naturaleza contable</w:t>
      </w:r>
      <w:r>
        <w:rPr>
          <w:rFonts w:ascii="Arial" w:hAnsi="Arial" w:cs="Arial"/>
        </w:rPr>
        <w:t xml:space="preserve"> el tiempo que estuvo vigente el convenio</w:t>
      </w:r>
      <w:r w:rsidRPr="00C56C4D">
        <w:rPr>
          <w:rFonts w:ascii="Arial" w:hAnsi="Arial" w:cs="Arial"/>
        </w:rPr>
        <w:t xml:space="preserve">. </w:t>
      </w:r>
    </w:p>
    <w:p w14:paraId="3F26E6FE" w14:textId="77777777" w:rsidR="002C3CFF" w:rsidRPr="00C56C4D" w:rsidRDefault="002C3CFF" w:rsidP="002C3CFF">
      <w:pPr>
        <w:spacing w:line="360" w:lineRule="auto"/>
        <w:ind w:right="190"/>
        <w:jc w:val="both"/>
        <w:rPr>
          <w:rFonts w:ascii="Arial" w:hAnsi="Arial" w:cs="Arial"/>
        </w:rPr>
      </w:pPr>
    </w:p>
    <w:p w14:paraId="59707261" w14:textId="05CB8D42" w:rsidR="00F13CDA" w:rsidRDefault="002C3CFF" w:rsidP="002C3CFF">
      <w:pPr>
        <w:spacing w:line="360" w:lineRule="auto"/>
        <w:ind w:right="190"/>
        <w:jc w:val="both"/>
        <w:rPr>
          <w:rFonts w:ascii="Arial" w:hAnsi="Arial" w:cs="Arial"/>
        </w:rPr>
      </w:pPr>
      <w:r>
        <w:rPr>
          <w:rFonts w:ascii="Arial" w:hAnsi="Arial" w:cs="Arial"/>
        </w:rPr>
        <w:t xml:space="preserve">5. </w:t>
      </w:r>
      <w:r w:rsidRPr="00C56C4D">
        <w:rPr>
          <w:rFonts w:ascii="Arial" w:hAnsi="Arial" w:cs="Arial"/>
        </w:rPr>
        <w:t>Verificar que las cuentas bancarias</w:t>
      </w:r>
      <w:r>
        <w:rPr>
          <w:rFonts w:ascii="Arial" w:hAnsi="Arial" w:cs="Arial"/>
        </w:rPr>
        <w:t xml:space="preserve"> y cuentas de inversión</w:t>
      </w:r>
      <w:r w:rsidRPr="00C56C4D">
        <w:rPr>
          <w:rFonts w:ascii="Arial" w:hAnsi="Arial" w:cs="Arial"/>
        </w:rPr>
        <w:t xml:space="preserve"> se encuentren </w:t>
      </w:r>
      <w:r>
        <w:rPr>
          <w:rFonts w:ascii="Arial" w:hAnsi="Arial" w:cs="Arial"/>
        </w:rPr>
        <w:t>debidamente canceladas por extinción del Fideicomiso</w:t>
      </w:r>
      <w:r w:rsidRPr="00C56C4D">
        <w:rPr>
          <w:rFonts w:ascii="Arial" w:hAnsi="Arial" w:cs="Arial"/>
        </w:rPr>
        <w:t>.</w:t>
      </w:r>
    </w:p>
    <w:p w14:paraId="6CF6BDDE" w14:textId="77777777" w:rsidR="005B4D33" w:rsidRDefault="005B4D33" w:rsidP="002C3CFF">
      <w:pPr>
        <w:spacing w:line="360" w:lineRule="auto"/>
        <w:ind w:right="190"/>
        <w:jc w:val="both"/>
        <w:rPr>
          <w:rFonts w:ascii="Arial" w:hAnsi="Arial" w:cs="Arial"/>
        </w:rPr>
      </w:pPr>
    </w:p>
    <w:p w14:paraId="52786AA0" w14:textId="66CD0F91" w:rsidR="002C3CFF" w:rsidRPr="00C56C4D" w:rsidRDefault="005F2EF4" w:rsidP="002C3CFF">
      <w:pPr>
        <w:spacing w:line="360" w:lineRule="auto"/>
        <w:ind w:right="190"/>
        <w:jc w:val="both"/>
        <w:rPr>
          <w:rFonts w:ascii="Arial" w:hAnsi="Arial" w:cs="Arial"/>
        </w:rPr>
      </w:pPr>
      <w:r>
        <w:rPr>
          <w:rFonts w:ascii="Arial" w:hAnsi="Arial" w:cs="Arial"/>
        </w:rPr>
        <w:t>6</w:t>
      </w:r>
      <w:r w:rsidR="002C3CFF">
        <w:rPr>
          <w:rFonts w:ascii="Arial" w:hAnsi="Arial" w:cs="Arial"/>
        </w:rPr>
        <w:t xml:space="preserve">. </w:t>
      </w:r>
      <w:r w:rsidR="002C3CFF" w:rsidRPr="00C56C4D">
        <w:rPr>
          <w:rFonts w:ascii="Arial" w:hAnsi="Arial" w:cs="Arial"/>
        </w:rPr>
        <w:t xml:space="preserve">Analizar la razonabilidad de las conciliaciones bancarias. </w:t>
      </w:r>
    </w:p>
    <w:p w14:paraId="709F597C" w14:textId="77777777" w:rsidR="002C3CFF" w:rsidRPr="00C56C4D" w:rsidRDefault="002C3CFF" w:rsidP="002C3CFF">
      <w:pPr>
        <w:spacing w:line="360" w:lineRule="auto"/>
        <w:ind w:right="190"/>
        <w:jc w:val="both"/>
        <w:rPr>
          <w:rFonts w:ascii="Arial" w:hAnsi="Arial" w:cs="Arial"/>
        </w:rPr>
      </w:pPr>
    </w:p>
    <w:p w14:paraId="2C38D053" w14:textId="3706CD6E" w:rsidR="002C3CFF" w:rsidRDefault="005F2EF4" w:rsidP="002C3CFF">
      <w:pPr>
        <w:spacing w:line="360" w:lineRule="auto"/>
        <w:ind w:right="190"/>
        <w:jc w:val="both"/>
        <w:rPr>
          <w:rFonts w:ascii="Arial" w:hAnsi="Arial" w:cs="Arial"/>
        </w:rPr>
      </w:pPr>
      <w:r>
        <w:rPr>
          <w:rFonts w:ascii="Arial" w:hAnsi="Arial" w:cs="Arial"/>
        </w:rPr>
        <w:t>7</w:t>
      </w:r>
      <w:r w:rsidR="002C3CFF">
        <w:rPr>
          <w:rFonts w:ascii="Arial" w:hAnsi="Arial" w:cs="Arial"/>
        </w:rPr>
        <w:t xml:space="preserve">. </w:t>
      </w:r>
      <w:r w:rsidR="002C3CFF" w:rsidRPr="00C56C4D">
        <w:rPr>
          <w:rFonts w:ascii="Arial" w:hAnsi="Arial" w:cs="Arial"/>
        </w:rPr>
        <w:t>Verificar y analizar la documentación que dio lugar a los registros contables por los conceptos de depósitos, transferencias o cargos en cuentas de cheque e inversiones y que éstos se encuentran registrados en contabilidad.</w:t>
      </w:r>
    </w:p>
    <w:p w14:paraId="1A9CD7BF" w14:textId="77777777" w:rsidR="002C3CFF" w:rsidRDefault="002C3CFF" w:rsidP="002C3CFF">
      <w:pPr>
        <w:spacing w:line="360" w:lineRule="auto"/>
        <w:ind w:right="190"/>
        <w:jc w:val="both"/>
        <w:rPr>
          <w:rFonts w:ascii="Arial" w:hAnsi="Arial" w:cs="Arial"/>
        </w:rPr>
      </w:pPr>
    </w:p>
    <w:p w14:paraId="0E0D7AD4" w14:textId="1DD0A49E" w:rsidR="002C3CFF" w:rsidRDefault="005F2EF4" w:rsidP="002C3CFF">
      <w:pPr>
        <w:spacing w:line="360" w:lineRule="auto"/>
        <w:ind w:right="190"/>
        <w:jc w:val="both"/>
        <w:rPr>
          <w:rFonts w:ascii="Arial" w:hAnsi="Arial" w:cs="Arial"/>
        </w:rPr>
      </w:pPr>
      <w:r>
        <w:rPr>
          <w:rFonts w:ascii="Arial" w:hAnsi="Arial" w:cs="Arial"/>
        </w:rPr>
        <w:t>8</w:t>
      </w:r>
      <w:r w:rsidR="002C3CFF">
        <w:rPr>
          <w:rFonts w:ascii="Arial" w:hAnsi="Arial" w:cs="Arial"/>
        </w:rPr>
        <w:t>.</w:t>
      </w:r>
      <w:r w:rsidR="002C3CFF" w:rsidRPr="003B66BC">
        <w:rPr>
          <w:rFonts w:ascii="Arial" w:hAnsi="Arial" w:cs="Arial"/>
        </w:rPr>
        <w:t xml:space="preserve"> Identificar el origen del derecho de cobro, analizar su antigüedad y verificar las acciones realizadas para su comprobación, recuperación o depuración en apego a la normatividad establecida.</w:t>
      </w:r>
    </w:p>
    <w:p w14:paraId="6847F16D" w14:textId="77777777" w:rsidR="005F2EF4" w:rsidRDefault="005F2EF4" w:rsidP="002C3CFF">
      <w:pPr>
        <w:spacing w:line="360" w:lineRule="auto"/>
        <w:ind w:right="190"/>
        <w:jc w:val="both"/>
        <w:rPr>
          <w:rFonts w:ascii="Arial" w:hAnsi="Arial" w:cs="Arial"/>
        </w:rPr>
      </w:pPr>
    </w:p>
    <w:p w14:paraId="6679E446" w14:textId="25DF6552" w:rsidR="005F2EF4" w:rsidRPr="00DF435D" w:rsidRDefault="005F2EF4" w:rsidP="005F2EF4">
      <w:pPr>
        <w:spacing w:line="360" w:lineRule="auto"/>
        <w:ind w:right="190"/>
        <w:jc w:val="both"/>
        <w:rPr>
          <w:rFonts w:ascii="Arial" w:hAnsi="Arial" w:cs="Arial"/>
          <w:bCs/>
        </w:rPr>
      </w:pPr>
      <w:r>
        <w:rPr>
          <w:rFonts w:ascii="Arial" w:hAnsi="Arial" w:cs="Arial"/>
          <w:bCs/>
        </w:rPr>
        <w:t>9</w:t>
      </w:r>
      <w:r w:rsidRPr="00DF435D">
        <w:rPr>
          <w:rFonts w:ascii="Arial" w:hAnsi="Arial" w:cs="Arial"/>
          <w:bCs/>
        </w:rPr>
        <w:t>. Verificar que los adeudos por derechos a recibir efectivo o equivalentes fueron efectivamente otorgados o amortizados.</w:t>
      </w:r>
    </w:p>
    <w:p w14:paraId="72CA2D6A" w14:textId="4595CAF1" w:rsidR="002C3CFF" w:rsidRPr="00C56C4D" w:rsidRDefault="002C3CFF" w:rsidP="002C3CFF">
      <w:pPr>
        <w:spacing w:line="360" w:lineRule="auto"/>
        <w:ind w:right="190"/>
        <w:jc w:val="both"/>
        <w:rPr>
          <w:rFonts w:ascii="Arial" w:hAnsi="Arial" w:cs="Arial"/>
        </w:rPr>
      </w:pPr>
    </w:p>
    <w:p w14:paraId="513D2D8C" w14:textId="607E7B0C" w:rsidR="002C3CFF" w:rsidRPr="00C56C4D" w:rsidRDefault="002C3CFF" w:rsidP="002C3CFF">
      <w:pPr>
        <w:spacing w:line="360" w:lineRule="auto"/>
        <w:ind w:right="190"/>
        <w:jc w:val="both"/>
        <w:rPr>
          <w:rFonts w:ascii="Arial" w:hAnsi="Arial" w:cs="Arial"/>
        </w:rPr>
      </w:pPr>
      <w:r>
        <w:rPr>
          <w:rFonts w:ascii="Arial" w:hAnsi="Arial" w:cs="Arial"/>
        </w:rPr>
        <w:t>1</w:t>
      </w:r>
      <w:r w:rsidR="00EA70B5">
        <w:rPr>
          <w:rFonts w:ascii="Arial" w:hAnsi="Arial" w:cs="Arial"/>
        </w:rPr>
        <w:t>0</w:t>
      </w:r>
      <w:r>
        <w:rPr>
          <w:rFonts w:ascii="Arial" w:hAnsi="Arial" w:cs="Arial"/>
        </w:rPr>
        <w:t xml:space="preserve">. </w:t>
      </w:r>
      <w:r w:rsidRPr="00C56C4D">
        <w:rPr>
          <w:rFonts w:ascii="Arial" w:hAnsi="Arial" w:cs="Arial"/>
        </w:rPr>
        <w:t xml:space="preserve">Verificar que los ingresos por los rendimientos que generaron las cuentas estén registrados con oportunidad y en cumplimiento con la normatividad aplicable. </w:t>
      </w:r>
    </w:p>
    <w:p w14:paraId="0872B475" w14:textId="77777777" w:rsidR="00EA70B5" w:rsidRPr="00DF435D" w:rsidRDefault="00EA70B5" w:rsidP="00FC2B31">
      <w:pPr>
        <w:spacing w:line="360" w:lineRule="auto"/>
        <w:ind w:right="190"/>
        <w:jc w:val="both"/>
        <w:rPr>
          <w:rFonts w:ascii="Arial" w:hAnsi="Arial" w:cs="Arial"/>
          <w:bCs/>
        </w:rPr>
      </w:pPr>
    </w:p>
    <w:p w14:paraId="4E84A40A" w14:textId="3B6C7C67" w:rsidR="00A44295" w:rsidRDefault="00DA4F8A" w:rsidP="00FC2B31">
      <w:pPr>
        <w:spacing w:line="360" w:lineRule="auto"/>
        <w:ind w:right="190"/>
        <w:jc w:val="both"/>
        <w:rPr>
          <w:rFonts w:ascii="Arial" w:hAnsi="Arial" w:cs="Arial"/>
          <w:b/>
          <w:bCs/>
        </w:rPr>
      </w:pPr>
      <w:r>
        <w:rPr>
          <w:rFonts w:ascii="Arial" w:hAnsi="Arial" w:cs="Arial"/>
          <w:b/>
          <w:bCs/>
        </w:rPr>
        <w:t>Egresos:</w:t>
      </w:r>
    </w:p>
    <w:p w14:paraId="4BED5C26" w14:textId="77777777" w:rsidR="00DA4F8A" w:rsidRPr="00DA4F8A" w:rsidRDefault="00DA4F8A" w:rsidP="00FC2B31">
      <w:pPr>
        <w:spacing w:line="360" w:lineRule="auto"/>
        <w:ind w:right="190"/>
        <w:jc w:val="both"/>
        <w:rPr>
          <w:rFonts w:ascii="Arial" w:hAnsi="Arial" w:cs="Arial"/>
          <w:b/>
          <w:bCs/>
        </w:rPr>
      </w:pPr>
    </w:p>
    <w:p w14:paraId="6905B25E" w14:textId="2929BBBC" w:rsidR="006505AD" w:rsidRDefault="00C9643A" w:rsidP="006505AD">
      <w:pPr>
        <w:tabs>
          <w:tab w:val="left" w:pos="379"/>
        </w:tabs>
        <w:spacing w:line="360" w:lineRule="auto"/>
        <w:ind w:right="117"/>
        <w:jc w:val="both"/>
        <w:rPr>
          <w:rFonts w:ascii="Arial" w:hAnsi="Arial" w:cs="Arial"/>
        </w:rPr>
      </w:pPr>
      <w:r>
        <w:rPr>
          <w:rFonts w:ascii="Arial" w:hAnsi="Arial" w:cs="Arial"/>
        </w:rPr>
        <w:t>1</w:t>
      </w:r>
      <w:r w:rsidR="006505AD">
        <w:rPr>
          <w:rFonts w:ascii="Arial" w:hAnsi="Arial" w:cs="Arial"/>
        </w:rPr>
        <w:t xml:space="preserve">.- Verificar que se haya reintegrado el Patrimonio a las Autoridades competentes </w:t>
      </w:r>
      <w:r w:rsidR="002E7559">
        <w:rPr>
          <w:rFonts w:ascii="Arial" w:hAnsi="Arial" w:cs="Arial"/>
        </w:rPr>
        <w:t>y esté</w:t>
      </w:r>
      <w:r w:rsidR="00BF6090">
        <w:rPr>
          <w:rFonts w:ascii="Arial" w:hAnsi="Arial" w:cs="Arial"/>
        </w:rPr>
        <w:t>n</w:t>
      </w:r>
      <w:r w:rsidR="002E7559">
        <w:rPr>
          <w:rFonts w:ascii="Arial" w:hAnsi="Arial" w:cs="Arial"/>
        </w:rPr>
        <w:t xml:space="preserve"> debidamente comprobado</w:t>
      </w:r>
      <w:r w:rsidR="00BF6090">
        <w:rPr>
          <w:rFonts w:ascii="Arial" w:hAnsi="Arial" w:cs="Arial"/>
        </w:rPr>
        <w:t>s</w:t>
      </w:r>
      <w:r w:rsidR="002E7559">
        <w:rPr>
          <w:rFonts w:ascii="Arial" w:hAnsi="Arial" w:cs="Arial"/>
        </w:rPr>
        <w:t xml:space="preserve"> los movimientos</w:t>
      </w:r>
      <w:r w:rsidR="006505AD">
        <w:rPr>
          <w:rFonts w:ascii="Arial" w:hAnsi="Arial" w:cs="Arial"/>
        </w:rPr>
        <w:t>.</w:t>
      </w:r>
    </w:p>
    <w:p w14:paraId="39DEE2A3" w14:textId="77777777" w:rsidR="00307BF9" w:rsidRDefault="00307BF9" w:rsidP="00C9643A">
      <w:pPr>
        <w:spacing w:line="360" w:lineRule="auto"/>
        <w:ind w:right="190"/>
        <w:jc w:val="both"/>
        <w:rPr>
          <w:rFonts w:ascii="Arial" w:hAnsi="Arial" w:cs="Arial"/>
        </w:rPr>
      </w:pPr>
    </w:p>
    <w:p w14:paraId="24947512" w14:textId="329C8674" w:rsidR="00C9643A" w:rsidRPr="00C56C4D" w:rsidRDefault="002E7559" w:rsidP="00C9643A">
      <w:pPr>
        <w:spacing w:line="360" w:lineRule="auto"/>
        <w:ind w:right="190"/>
        <w:jc w:val="both"/>
        <w:rPr>
          <w:rFonts w:ascii="Arial" w:hAnsi="Arial" w:cs="Arial"/>
        </w:rPr>
      </w:pPr>
      <w:r>
        <w:rPr>
          <w:rFonts w:ascii="Arial" w:hAnsi="Arial" w:cs="Arial"/>
        </w:rPr>
        <w:t>2</w:t>
      </w:r>
      <w:r w:rsidR="00C9643A">
        <w:rPr>
          <w:rFonts w:ascii="Arial" w:hAnsi="Arial" w:cs="Arial"/>
        </w:rPr>
        <w:t xml:space="preserve">. </w:t>
      </w:r>
      <w:r w:rsidR="00C9643A" w:rsidRPr="00C56C4D">
        <w:rPr>
          <w:rFonts w:ascii="Arial" w:hAnsi="Arial" w:cs="Arial"/>
        </w:rPr>
        <w:t>Analizar y revisar que los registros contables y la documentación comprobatoria y justificativa de los gastos, se hayan elaborado y que estén conforme a la normatividad existente en materia contable y presupuestal.</w:t>
      </w:r>
    </w:p>
    <w:p w14:paraId="6E5BF210" w14:textId="77777777" w:rsidR="00C9643A" w:rsidRPr="00C56C4D" w:rsidRDefault="00C9643A" w:rsidP="00C9643A">
      <w:pPr>
        <w:spacing w:line="360" w:lineRule="auto"/>
        <w:ind w:right="190"/>
        <w:jc w:val="both"/>
        <w:rPr>
          <w:rFonts w:ascii="Arial" w:hAnsi="Arial" w:cs="Arial"/>
        </w:rPr>
      </w:pPr>
    </w:p>
    <w:p w14:paraId="5862530C" w14:textId="1B883B99" w:rsidR="00C9643A" w:rsidRDefault="002E7559" w:rsidP="00C9643A">
      <w:pPr>
        <w:spacing w:line="360" w:lineRule="auto"/>
        <w:ind w:right="190"/>
        <w:jc w:val="both"/>
        <w:rPr>
          <w:rFonts w:ascii="Arial" w:hAnsi="Arial" w:cs="Arial"/>
        </w:rPr>
      </w:pPr>
      <w:r>
        <w:rPr>
          <w:rFonts w:ascii="Arial" w:hAnsi="Arial" w:cs="Arial"/>
        </w:rPr>
        <w:t>3</w:t>
      </w:r>
      <w:r w:rsidR="00C9643A">
        <w:rPr>
          <w:rFonts w:ascii="Arial" w:hAnsi="Arial" w:cs="Arial"/>
        </w:rPr>
        <w:t xml:space="preserve">. </w:t>
      </w:r>
      <w:r w:rsidR="00C9643A" w:rsidRPr="00C56C4D">
        <w:rPr>
          <w:rFonts w:ascii="Arial" w:hAnsi="Arial" w:cs="Arial"/>
        </w:rPr>
        <w:t>Revisar que la documentación comprobatoria cumpla con lo dispuesto en el Código Fiscal de la Federación y su Reglamento, respecto a los requisitos fiscales que deban contener los comprobantes de compras, gastos e inversiones</w:t>
      </w:r>
      <w:r w:rsidR="00C9643A">
        <w:rPr>
          <w:rFonts w:ascii="Arial" w:hAnsi="Arial" w:cs="Arial"/>
        </w:rPr>
        <w:t>.</w:t>
      </w:r>
    </w:p>
    <w:p w14:paraId="2DD229D0" w14:textId="77777777" w:rsidR="008610C0" w:rsidRPr="00C47B98" w:rsidRDefault="008610C0" w:rsidP="00FC2B31">
      <w:pPr>
        <w:spacing w:line="360" w:lineRule="auto"/>
        <w:ind w:right="190"/>
        <w:jc w:val="both"/>
        <w:rPr>
          <w:rFonts w:ascii="Arial" w:hAnsi="Arial" w:cs="Arial"/>
          <w:bCs/>
        </w:rPr>
      </w:pPr>
    </w:p>
    <w:p w14:paraId="517EDB9D" w14:textId="431B138B" w:rsidR="00E86B0E" w:rsidRDefault="00E86B0E" w:rsidP="00FC2B31">
      <w:pPr>
        <w:spacing w:line="360" w:lineRule="auto"/>
        <w:ind w:right="190"/>
        <w:jc w:val="both"/>
        <w:rPr>
          <w:rFonts w:ascii="Arial" w:hAnsi="Arial" w:cs="Arial"/>
          <w:bCs/>
        </w:rPr>
      </w:pPr>
      <w:r>
        <w:rPr>
          <w:rFonts w:ascii="Arial" w:hAnsi="Arial" w:cs="Arial"/>
          <w:bCs/>
        </w:rPr>
        <w:t>4. Verificar que se hayan aplicado correctamente los porcentajes de depreciación de los activos.</w:t>
      </w:r>
    </w:p>
    <w:p w14:paraId="59AB4477" w14:textId="25B32C7D" w:rsidR="00E86B0E" w:rsidRDefault="00E86B0E" w:rsidP="00FC2B31">
      <w:pPr>
        <w:spacing w:line="360" w:lineRule="auto"/>
        <w:ind w:right="190"/>
        <w:jc w:val="both"/>
        <w:rPr>
          <w:rFonts w:ascii="Arial" w:hAnsi="Arial" w:cs="Arial"/>
          <w:bCs/>
        </w:rPr>
      </w:pPr>
    </w:p>
    <w:p w14:paraId="6B7355DA" w14:textId="712E083E" w:rsidR="00EA70B5" w:rsidRPr="00DF435D" w:rsidRDefault="00EA70B5" w:rsidP="00EA70B5">
      <w:pPr>
        <w:spacing w:line="360" w:lineRule="auto"/>
        <w:ind w:right="190"/>
        <w:jc w:val="both"/>
        <w:rPr>
          <w:rFonts w:ascii="Arial" w:hAnsi="Arial" w:cs="Arial"/>
          <w:bCs/>
        </w:rPr>
      </w:pPr>
      <w:r>
        <w:rPr>
          <w:rFonts w:ascii="Arial" w:hAnsi="Arial" w:cs="Arial"/>
          <w:bCs/>
        </w:rPr>
        <w:t>5</w:t>
      </w:r>
      <w:r w:rsidRPr="00DF435D">
        <w:rPr>
          <w:rFonts w:ascii="Arial" w:hAnsi="Arial" w:cs="Arial"/>
          <w:bCs/>
        </w:rPr>
        <w:t>. Verificar que los pasivos correspondieron a obligaciones reales y que fueron amortizados.</w:t>
      </w:r>
    </w:p>
    <w:p w14:paraId="65BE7659" w14:textId="77777777" w:rsidR="00EA70B5" w:rsidRDefault="00EA70B5" w:rsidP="00FC2B31">
      <w:pPr>
        <w:spacing w:line="360" w:lineRule="auto"/>
        <w:ind w:right="190"/>
        <w:jc w:val="both"/>
        <w:rPr>
          <w:rFonts w:ascii="Arial" w:hAnsi="Arial" w:cs="Arial"/>
          <w:bCs/>
        </w:rPr>
      </w:pPr>
    </w:p>
    <w:p w14:paraId="729AD3FF" w14:textId="63A8B16B"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1FF583" w14:textId="5FA09504" w:rsidR="00974042" w:rsidRPr="002E2A36" w:rsidRDefault="008610C0" w:rsidP="00FC2B31">
      <w:pPr>
        <w:spacing w:line="360" w:lineRule="auto"/>
        <w:ind w:right="190"/>
        <w:jc w:val="both"/>
        <w:rPr>
          <w:rFonts w:ascii="Arial" w:hAnsi="Arial" w:cs="Arial"/>
          <w:b/>
        </w:rPr>
      </w:pPr>
      <w:r w:rsidRPr="002E2A36">
        <w:rPr>
          <w:rFonts w:ascii="Arial" w:hAnsi="Arial" w:cs="Arial"/>
          <w:b/>
        </w:rPr>
        <w:lastRenderedPageBreak/>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úblicos</w:t>
      </w:r>
      <w:r w:rsidR="00651E28">
        <w:rPr>
          <w:rFonts w:ascii="Arial" w:hAnsi="Arial" w:cs="Arial"/>
          <w:b/>
        </w:rPr>
        <w:t xml:space="preserve"> que</w:t>
      </w:r>
      <w:r w:rsidR="00E43850" w:rsidRPr="002E2A36">
        <w:rPr>
          <w:rFonts w:ascii="Arial" w:hAnsi="Arial" w:cs="Arial"/>
          <w:b/>
        </w:rPr>
        <w:t xml:space="preserve"> </w:t>
      </w:r>
      <w:r w:rsidR="009B7613">
        <w:rPr>
          <w:rFonts w:ascii="Arial" w:hAnsi="Arial" w:cs="Arial"/>
          <w:b/>
        </w:rPr>
        <w:t>i</w:t>
      </w:r>
      <w:r w:rsidR="00BF6090">
        <w:rPr>
          <w:rFonts w:ascii="Arial" w:hAnsi="Arial" w:cs="Arial"/>
          <w:b/>
        </w:rPr>
        <w:t xml:space="preserve">ntervinieron en </w:t>
      </w:r>
      <w:r w:rsidR="00E43850" w:rsidRPr="002E2A36">
        <w:rPr>
          <w:rFonts w:ascii="Arial" w:hAnsi="Arial" w:cs="Arial"/>
          <w:b/>
        </w:rPr>
        <w:t xml:space="preserve">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645E60E5" w14:textId="02809BAD" w:rsidR="0043136A" w:rsidRDefault="0043136A" w:rsidP="0043136A">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w:t>
      </w:r>
      <w:r w:rsidRPr="0035714A">
        <w:rPr>
          <w:rFonts w:ascii="Arial" w:hAnsi="Arial" w:cs="Arial"/>
          <w:bCs/>
        </w:rPr>
        <w:t>zac</w:t>
      </w:r>
      <w:r>
        <w:rPr>
          <w:rFonts w:ascii="Arial" w:hAnsi="Arial" w:cs="Arial"/>
          <w:bCs/>
        </w:rPr>
        <w:t xml:space="preserve">ión, </w:t>
      </w:r>
      <w:r w:rsidRPr="0035714A">
        <w:rPr>
          <w:rFonts w:ascii="Arial" w:hAnsi="Arial" w:cs="Arial"/>
          <w:bCs/>
        </w:rPr>
        <w:t>se encuentra referido en la orden emitida con oficio número</w:t>
      </w:r>
      <w:r>
        <w:rPr>
          <w:rFonts w:ascii="Arial" w:hAnsi="Arial" w:cs="Arial"/>
          <w:bCs/>
        </w:rPr>
        <w:t xml:space="preserve"> </w:t>
      </w:r>
      <w:r w:rsidR="00BF6090">
        <w:rPr>
          <w:rFonts w:ascii="Arial" w:hAnsi="Arial" w:cs="Arial"/>
          <w:bCs/>
        </w:rPr>
        <w:t>ASEQROO/ASE/AEMF/0659</w:t>
      </w:r>
      <w:r w:rsidRPr="00A17CD8">
        <w:rPr>
          <w:rFonts w:ascii="Arial" w:hAnsi="Arial" w:cs="Arial"/>
          <w:bCs/>
        </w:rPr>
        <w:t>/08/2020</w:t>
      </w:r>
      <w:r w:rsidRPr="0035714A">
        <w:rPr>
          <w:rFonts w:ascii="Arial" w:hAnsi="Arial" w:cs="Arial"/>
          <w:bCs/>
        </w:rPr>
        <w:t>, siendo los servidores públicos a cargo de coordinar y supervisar la auditoría, los siguientes:</w:t>
      </w:r>
    </w:p>
    <w:p w14:paraId="43E0DEAA" w14:textId="77777777" w:rsidR="00307BF9" w:rsidRDefault="00307BF9" w:rsidP="0043136A">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DF435D" w14:paraId="29A595FC" w14:textId="77777777" w:rsidTr="00DF435D">
        <w:trPr>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33A79E76" w14:textId="77777777" w:rsidR="00DF435D" w:rsidRDefault="00DF435D">
            <w:pPr>
              <w:spacing w:line="360" w:lineRule="auto"/>
              <w:jc w:val="center"/>
              <w:rPr>
                <w:rFonts w:ascii="Arial" w:hAnsi="Arial" w:cs="Arial"/>
                <w:b/>
                <w:bCs/>
              </w:rPr>
            </w:pPr>
            <w:r>
              <w:rPr>
                <w:rFonts w:ascii="Arial" w:hAnsi="Arial" w:cs="Arial"/>
                <w:bCs/>
              </w:rPr>
              <w:t xml:space="preserve"> </w:t>
            </w:r>
            <w:r>
              <w:rPr>
                <w:rFonts w:ascii="Arial" w:hAnsi="Arial" w:cs="Arial"/>
                <w:b/>
                <w:bCs/>
              </w:rPr>
              <w:t>Nombre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4076D3BB" w14:textId="77777777" w:rsidR="00DF435D" w:rsidRDefault="00DF435D">
            <w:pPr>
              <w:spacing w:line="360" w:lineRule="auto"/>
              <w:jc w:val="center"/>
              <w:rPr>
                <w:rFonts w:ascii="Arial" w:hAnsi="Arial" w:cs="Arial"/>
                <w:b/>
                <w:bCs/>
              </w:rPr>
            </w:pPr>
            <w:r>
              <w:rPr>
                <w:rFonts w:ascii="Arial" w:hAnsi="Arial" w:cs="Arial"/>
                <w:b/>
                <w:bCs/>
              </w:rPr>
              <w:t>Cargo</w:t>
            </w:r>
          </w:p>
        </w:tc>
      </w:tr>
      <w:tr w:rsidR="00DF435D" w14:paraId="726926A0" w14:textId="77777777" w:rsidTr="00DF435D">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077B159" w14:textId="77777777" w:rsidR="00DF435D" w:rsidRDefault="00DF435D">
            <w:pPr>
              <w:spacing w:line="360" w:lineRule="auto"/>
              <w:rPr>
                <w:rFonts w:ascii="Arial" w:hAnsi="Arial" w:cs="Arial"/>
                <w:bCs/>
              </w:rPr>
            </w:pPr>
            <w:r>
              <w:rPr>
                <w:rFonts w:ascii="Arial" w:hAnsi="Arial" w:cs="Arial"/>
                <w:bCs/>
              </w:rPr>
              <w:t>L.C. Manuel Jesús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ADB8424" w14:textId="77777777" w:rsidR="00DF435D" w:rsidRDefault="00DF435D">
            <w:pPr>
              <w:spacing w:line="360" w:lineRule="auto"/>
              <w:jc w:val="center"/>
              <w:rPr>
                <w:rFonts w:ascii="Arial" w:hAnsi="Arial" w:cs="Arial"/>
                <w:bCs/>
              </w:rPr>
            </w:pPr>
            <w:r>
              <w:rPr>
                <w:rFonts w:ascii="Arial" w:hAnsi="Arial" w:cs="Arial"/>
                <w:bCs/>
              </w:rPr>
              <w:t>Coordinador</w:t>
            </w:r>
          </w:p>
        </w:tc>
      </w:tr>
      <w:tr w:rsidR="00DF435D" w14:paraId="20D630AE" w14:textId="77777777" w:rsidTr="00DF435D">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FBC841" w14:textId="77777777" w:rsidR="00DF435D" w:rsidRDefault="00DF435D">
            <w:pPr>
              <w:spacing w:line="360" w:lineRule="auto"/>
              <w:rPr>
                <w:rFonts w:ascii="Arial" w:hAnsi="Arial" w:cs="Arial"/>
                <w:bCs/>
              </w:rPr>
            </w:pPr>
            <w:r>
              <w:rPr>
                <w:rFonts w:ascii="Arial" w:hAnsi="Arial" w:cs="Arial"/>
                <w:bCs/>
              </w:rPr>
              <w:t>M.A.T. Ana Isabel May Estrella</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43E3077" w14:textId="77777777" w:rsidR="00DF435D" w:rsidRDefault="00DF435D">
            <w:pPr>
              <w:spacing w:line="360" w:lineRule="auto"/>
              <w:jc w:val="center"/>
              <w:rPr>
                <w:rFonts w:ascii="Arial" w:hAnsi="Arial" w:cs="Arial"/>
                <w:bCs/>
              </w:rPr>
            </w:pPr>
            <w:r>
              <w:rPr>
                <w:rFonts w:ascii="Arial" w:hAnsi="Arial" w:cs="Arial"/>
                <w:bCs/>
              </w:rPr>
              <w:t>Supervisor</w:t>
            </w:r>
          </w:p>
        </w:tc>
      </w:tr>
    </w:tbl>
    <w:p w14:paraId="0AC8B2BB" w14:textId="13485F88" w:rsidR="002E1AEF" w:rsidRPr="005B4D33" w:rsidRDefault="002E1AEF" w:rsidP="00B93F1F">
      <w:pPr>
        <w:spacing w:line="360" w:lineRule="auto"/>
        <w:ind w:right="190"/>
        <w:jc w:val="both"/>
        <w:rPr>
          <w:rFonts w:ascii="Arial" w:hAnsi="Arial" w:cs="Arial"/>
          <w:b/>
          <w:sz w:val="32"/>
          <w:szCs w:val="32"/>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2B8A9966" w14:textId="51BAF86F" w:rsidR="0043136A" w:rsidRDefault="0043136A" w:rsidP="0043136A">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F6090">
        <w:rPr>
          <w:rFonts w:ascii="Arial" w:hAnsi="Arial" w:cs="Arial"/>
        </w:rPr>
        <w:t xml:space="preserve">Ley de Ingresos y </w:t>
      </w:r>
      <w:r w:rsidRPr="00E414D0">
        <w:rPr>
          <w:rFonts w:ascii="Arial" w:hAnsi="Arial" w:cs="Arial"/>
        </w:rPr>
        <w:t>Presupuesto de Egresos</w:t>
      </w:r>
      <w:r>
        <w:rPr>
          <w:rFonts w:ascii="Arial" w:hAnsi="Arial" w:cs="Arial"/>
        </w:rPr>
        <w:t xml:space="preserve"> del Gobierno</w:t>
      </w:r>
      <w:r w:rsidRPr="00E414D0">
        <w:rPr>
          <w:rFonts w:ascii="Arial" w:hAnsi="Arial" w:cs="Arial"/>
        </w:rPr>
        <w:t xml:space="preserve"> del Estado de Quintana Roo</w:t>
      </w:r>
      <w:r w:rsidRPr="00845B1A">
        <w:rPr>
          <w:rFonts w:ascii="Arial" w:hAnsi="Arial" w:cs="Arial"/>
        </w:rPr>
        <w:t xml:space="preserve"> </w:t>
      </w:r>
      <w:r>
        <w:rPr>
          <w:rFonts w:ascii="Arial" w:hAnsi="Arial" w:cs="Arial"/>
        </w:rPr>
        <w:t xml:space="preserve">para el Ejercicio Fiscal 2019 </w:t>
      </w:r>
      <w:r w:rsidRPr="00845B1A">
        <w:rPr>
          <w:rFonts w:ascii="Arial" w:hAnsi="Arial" w:cs="Arial"/>
        </w:rPr>
        <w:t>y lo</w:t>
      </w:r>
      <w:r w:rsidRPr="00E414D0">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DFFB2D" w14:textId="621D1BC7" w:rsidR="005B4D33" w:rsidRDefault="005B4D33" w:rsidP="0043136A">
      <w:pPr>
        <w:spacing w:line="360" w:lineRule="auto"/>
        <w:ind w:right="190"/>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3E0CBEA7" w14:textId="05591120" w:rsidR="00A00BF8" w:rsidRDefault="00B0487B" w:rsidP="00B0487B">
      <w:pPr>
        <w:spacing w:line="360" w:lineRule="auto"/>
        <w:ind w:right="190"/>
        <w:jc w:val="both"/>
        <w:rPr>
          <w:rFonts w:ascii="Arial" w:hAnsi="Arial" w:cs="Arial"/>
          <w:bCs/>
          <w:u w:val="single"/>
        </w:rPr>
      </w:pPr>
      <w:r w:rsidRPr="007C1AE6">
        <w:rPr>
          <w:rFonts w:ascii="Arial" w:hAnsi="Arial" w:cs="Arial"/>
        </w:rPr>
        <w:t xml:space="preserve">Se constató el cumplimiento de la Ley General de Contabilidad Gubernamental, </w:t>
      </w:r>
      <w:r w:rsidR="00651E28">
        <w:rPr>
          <w:rFonts w:ascii="Arial" w:hAnsi="Arial" w:cs="Arial"/>
        </w:rPr>
        <w:t xml:space="preserve">Ley de Ingreso y </w:t>
      </w:r>
      <w:r w:rsidRPr="00E414D0">
        <w:rPr>
          <w:rFonts w:ascii="Arial" w:hAnsi="Arial" w:cs="Arial"/>
        </w:rPr>
        <w:t>Presupuesto de Egresos</w:t>
      </w:r>
      <w:r>
        <w:rPr>
          <w:rFonts w:ascii="Arial" w:hAnsi="Arial" w:cs="Arial"/>
        </w:rPr>
        <w:t xml:space="preserve"> del Gobierno</w:t>
      </w:r>
      <w:r w:rsidRPr="00E414D0">
        <w:rPr>
          <w:rFonts w:ascii="Arial" w:hAnsi="Arial" w:cs="Arial"/>
        </w:rPr>
        <w:t xml:space="preserve"> del Estado de Quintana Roo</w:t>
      </w:r>
      <w:r>
        <w:rPr>
          <w:rFonts w:ascii="Arial" w:hAnsi="Arial" w:cs="Arial"/>
        </w:rPr>
        <w:t xml:space="preserve"> para el Ejercicio Fiscal 2019, </w:t>
      </w:r>
      <w:r w:rsidRPr="007C1AE6">
        <w:rPr>
          <w:rFonts w:ascii="Arial" w:hAnsi="Arial" w:cs="Arial"/>
        </w:rPr>
        <w:t>así como de lo emitido por el Consejo Nacional de Armonización Contable (CONAC), y demás disposiciones legales y normativas aplicables</w:t>
      </w:r>
      <w:r>
        <w:rPr>
          <w:rFonts w:ascii="Arial" w:hAnsi="Arial" w:cs="Arial"/>
        </w:rPr>
        <w:t>.</w:t>
      </w:r>
    </w:p>
    <w:p w14:paraId="7C845B4C" w14:textId="544DD9DB" w:rsidR="006B7E37" w:rsidRDefault="006B7E37" w:rsidP="00B93F1F">
      <w:pPr>
        <w:spacing w:line="360" w:lineRule="auto"/>
        <w:jc w:val="both"/>
        <w:rPr>
          <w:rFonts w:ascii="Arial" w:hAnsi="Arial" w:cs="Arial"/>
          <w:bCs/>
          <w:u w:val="single"/>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95E3241" w14:textId="77777777" w:rsidR="009B2342" w:rsidRDefault="009B2342" w:rsidP="00A00BF8">
      <w:pPr>
        <w:spacing w:line="360" w:lineRule="auto"/>
        <w:ind w:right="190"/>
        <w:jc w:val="both"/>
        <w:rPr>
          <w:rFonts w:ascii="Arial" w:hAnsi="Arial" w:cs="Arial"/>
        </w:rPr>
      </w:pPr>
    </w:p>
    <w:p w14:paraId="4933E6F5" w14:textId="587B32F1" w:rsidR="00A00BF8" w:rsidRDefault="00183532" w:rsidP="00A00BF8">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8" w:name="_Hlk11408938"/>
      <w:r w:rsidR="00AC1182" w:rsidRPr="00925461">
        <w:rPr>
          <w:rFonts w:ascii="Arial" w:hAnsi="Arial" w:cs="Arial"/>
        </w:rPr>
        <w:t xml:space="preserve">se presentaron </w:t>
      </w:r>
      <w:bookmarkStart w:id="9" w:name="_Hlk11408885"/>
      <w:r w:rsidR="00A00BF8" w:rsidRPr="00A00BF8">
        <w:rPr>
          <w:rFonts w:ascii="Arial" w:hAnsi="Arial" w:cs="Arial"/>
          <w:b/>
        </w:rPr>
        <w:t xml:space="preserve">4 </w:t>
      </w:r>
      <w:r w:rsidR="00A00BF8" w:rsidRPr="00A00BF8">
        <w:rPr>
          <w:rFonts w:ascii="Arial" w:hAnsi="Arial" w:cs="Arial"/>
        </w:rPr>
        <w:t>resultados finales de auditoría y</w:t>
      </w:r>
      <w:r w:rsidR="00A00BF8" w:rsidRPr="00A00BF8">
        <w:rPr>
          <w:rFonts w:ascii="Arial" w:hAnsi="Arial" w:cs="Arial"/>
          <w:bCs/>
        </w:rPr>
        <w:t xml:space="preserve"> </w:t>
      </w:r>
      <w:r w:rsidR="00A00BF8" w:rsidRPr="00A00BF8">
        <w:rPr>
          <w:rFonts w:ascii="Arial" w:hAnsi="Arial" w:cs="Arial"/>
          <w:b/>
          <w:bCs/>
        </w:rPr>
        <w:t>4</w:t>
      </w:r>
      <w:r w:rsidR="00A00BF8">
        <w:rPr>
          <w:rFonts w:ascii="Arial" w:hAnsi="Arial" w:cs="Arial"/>
          <w:bCs/>
        </w:rPr>
        <w:t xml:space="preserve"> observaciones, </w:t>
      </w:r>
      <w:r w:rsidR="00A00BF8" w:rsidRPr="00A00BF8">
        <w:rPr>
          <w:rFonts w:ascii="Arial" w:hAnsi="Arial" w:cs="Arial"/>
        </w:rPr>
        <w:t>las cuales fueron solventadas en su totalidad.</w:t>
      </w:r>
    </w:p>
    <w:bookmarkEnd w:id="8"/>
    <w:bookmarkEnd w:id="9"/>
    <w:p w14:paraId="4FFA1B25" w14:textId="77777777" w:rsidR="00541C99" w:rsidRPr="00230A11" w:rsidRDefault="00541C99" w:rsidP="00761FA3">
      <w:pPr>
        <w:spacing w:line="360" w:lineRule="auto"/>
        <w:jc w:val="both"/>
        <w:rPr>
          <w:rFonts w:ascii="Arial" w:hAnsi="Arial" w:cs="Arial"/>
        </w:rPr>
      </w:pPr>
    </w:p>
    <w:p w14:paraId="48F04B82" w14:textId="3C591038"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Default="00A93AE5" w:rsidP="002367AD">
      <w:pPr>
        <w:spacing w:line="360" w:lineRule="auto"/>
        <w:ind w:right="332"/>
        <w:jc w:val="both"/>
        <w:rPr>
          <w:rFonts w:ascii="Arial" w:hAnsi="Arial" w:cs="Arial"/>
        </w:rPr>
      </w:pPr>
    </w:p>
    <w:p w14:paraId="6402FB82" w14:textId="77777777" w:rsidR="00640CCA" w:rsidRDefault="00640CCA" w:rsidP="002367AD">
      <w:pPr>
        <w:spacing w:line="360" w:lineRule="auto"/>
        <w:ind w:right="332"/>
        <w:jc w:val="both"/>
        <w:rPr>
          <w:rFonts w:ascii="Arial" w:hAnsi="Arial" w:cs="Arial"/>
        </w:rPr>
      </w:pPr>
      <w:bookmarkStart w:id="11"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bookmarkEnd w:id="11"/>
    <w:p w14:paraId="61779FDD" w14:textId="1590A9C7" w:rsidR="00B16F60" w:rsidRDefault="00B16F60" w:rsidP="00761FA3">
      <w:pPr>
        <w:spacing w:line="360" w:lineRule="auto"/>
        <w:jc w:val="both"/>
        <w:rPr>
          <w:rFonts w:ascii="Arial" w:hAnsi="Arial" w:cs="Arial"/>
        </w:rPr>
      </w:pPr>
    </w:p>
    <w:p w14:paraId="69CDE1C6" w14:textId="29360AC0" w:rsidR="005B4D33" w:rsidRDefault="005B4D33" w:rsidP="00761FA3">
      <w:pPr>
        <w:spacing w:line="360" w:lineRule="auto"/>
        <w:jc w:val="both"/>
        <w:rPr>
          <w:rFonts w:ascii="Arial" w:hAnsi="Arial" w:cs="Arial"/>
        </w:rPr>
      </w:pPr>
    </w:p>
    <w:p w14:paraId="194727BE" w14:textId="77777777" w:rsidR="005B4D33" w:rsidRDefault="005B4D33" w:rsidP="00761FA3">
      <w:pPr>
        <w:spacing w:line="360" w:lineRule="auto"/>
        <w:jc w:val="both"/>
        <w:rPr>
          <w:rFonts w:ascii="Arial" w:hAnsi="Arial" w:cs="Arial"/>
        </w:rPr>
      </w:pPr>
    </w:p>
    <w:p w14:paraId="003D5B1F" w14:textId="77777777" w:rsidR="00FD6877" w:rsidRDefault="00FC32ED" w:rsidP="00FC32ED">
      <w:pPr>
        <w:tabs>
          <w:tab w:val="left" w:pos="6000"/>
        </w:tabs>
        <w:spacing w:line="360" w:lineRule="auto"/>
        <w:ind w:right="190"/>
        <w:jc w:val="both"/>
        <w:rPr>
          <w:rFonts w:ascii="Arial" w:hAnsi="Arial" w:cs="Arial"/>
          <w:b/>
        </w:rPr>
      </w:pPr>
      <w:r>
        <w:rPr>
          <w:rFonts w:ascii="Arial" w:hAnsi="Arial" w:cs="Arial"/>
          <w:b/>
        </w:rPr>
        <w:lastRenderedPageBreak/>
        <w:t xml:space="preserve">Ingresos </w:t>
      </w:r>
    </w:p>
    <w:p w14:paraId="7EFF9CB6" w14:textId="75E8D4EC" w:rsidR="00FC32ED" w:rsidRDefault="00FC32ED" w:rsidP="00FC32ED">
      <w:pPr>
        <w:tabs>
          <w:tab w:val="left" w:pos="6000"/>
        </w:tabs>
        <w:spacing w:line="360" w:lineRule="auto"/>
        <w:ind w:right="190"/>
        <w:jc w:val="both"/>
        <w:rPr>
          <w:rFonts w:ascii="Arial" w:hAnsi="Arial" w:cs="Arial"/>
          <w:b/>
        </w:rPr>
      </w:pPr>
      <w:r>
        <w:rPr>
          <w:rFonts w:ascii="Arial" w:hAnsi="Arial" w:cs="Arial"/>
          <w:b/>
        </w:rPr>
        <w:tab/>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50"/>
        <w:gridCol w:w="2900"/>
        <w:gridCol w:w="3229"/>
        <w:gridCol w:w="1599"/>
      </w:tblGrid>
      <w:tr w:rsidR="00FC32ED" w14:paraId="5B5C5A49" w14:textId="77777777" w:rsidTr="00FC32ED">
        <w:trPr>
          <w:tblHeader/>
        </w:trPr>
        <w:tc>
          <w:tcPr>
            <w:tcW w:w="10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2F2BF252" w14:textId="77777777" w:rsidR="00FC32ED" w:rsidRDefault="00FC32ED">
            <w:pPr>
              <w:spacing w:line="360" w:lineRule="auto"/>
              <w:jc w:val="center"/>
              <w:rPr>
                <w:rFonts w:ascii="Arial" w:hAnsi="Arial" w:cs="Arial"/>
                <w:b/>
                <w:sz w:val="20"/>
                <w:szCs w:val="20"/>
              </w:rPr>
            </w:pPr>
            <w:r>
              <w:rPr>
                <w:rFonts w:ascii="Arial" w:hAnsi="Arial" w:cs="Arial"/>
                <w:b/>
                <w:sz w:val="20"/>
                <w:szCs w:val="20"/>
              </w:rPr>
              <w:t>Referencia</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3FC0589" w14:textId="77777777" w:rsidR="00FC32ED" w:rsidRDefault="00FC32ED">
            <w:pPr>
              <w:spacing w:line="360" w:lineRule="auto"/>
              <w:jc w:val="center"/>
              <w:rPr>
                <w:rFonts w:ascii="Arial" w:hAnsi="Arial" w:cs="Arial"/>
                <w:b/>
                <w:sz w:val="20"/>
                <w:szCs w:val="20"/>
              </w:rPr>
            </w:pPr>
            <w:r>
              <w:rPr>
                <w:rFonts w:ascii="Arial" w:hAnsi="Arial" w:cs="Arial"/>
                <w:b/>
                <w:sz w:val="20"/>
                <w:szCs w:val="20"/>
              </w:rPr>
              <w:t>Concepto del Resultado</w:t>
            </w:r>
          </w:p>
        </w:tc>
        <w:tc>
          <w:tcPr>
            <w:tcW w:w="16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66D3921" w14:textId="77777777" w:rsidR="00FC32ED" w:rsidRDefault="00FC32ED">
            <w:pPr>
              <w:spacing w:line="360" w:lineRule="auto"/>
              <w:jc w:val="center"/>
              <w:rPr>
                <w:rFonts w:ascii="Arial" w:hAnsi="Arial" w:cs="Arial"/>
                <w:b/>
                <w:sz w:val="20"/>
                <w:szCs w:val="20"/>
              </w:rPr>
            </w:pPr>
            <w:r>
              <w:rPr>
                <w:rFonts w:ascii="Arial" w:hAnsi="Arial" w:cs="Arial"/>
                <w:b/>
                <w:sz w:val="20"/>
                <w:szCs w:val="20"/>
              </w:rPr>
              <w:t>Tipo de Observación</w:t>
            </w:r>
          </w:p>
        </w:tc>
        <w:tc>
          <w:tcPr>
            <w:tcW w:w="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7357118" w14:textId="77777777" w:rsidR="00FC32ED" w:rsidRDefault="00FC32ED">
            <w:pPr>
              <w:spacing w:line="360" w:lineRule="auto"/>
              <w:jc w:val="center"/>
              <w:rPr>
                <w:rFonts w:ascii="Arial" w:hAnsi="Arial" w:cs="Arial"/>
                <w:b/>
                <w:sz w:val="20"/>
                <w:szCs w:val="20"/>
              </w:rPr>
            </w:pPr>
            <w:r>
              <w:rPr>
                <w:rFonts w:ascii="Arial" w:hAnsi="Arial" w:cs="Arial"/>
                <w:b/>
                <w:sz w:val="20"/>
                <w:szCs w:val="20"/>
              </w:rPr>
              <w:t>Importe</w:t>
            </w:r>
          </w:p>
          <w:p w14:paraId="784071D8" w14:textId="77777777" w:rsidR="00FC32ED" w:rsidRDefault="00FC32ED">
            <w:pPr>
              <w:spacing w:line="360" w:lineRule="auto"/>
              <w:jc w:val="center"/>
              <w:rPr>
                <w:rFonts w:ascii="Arial" w:hAnsi="Arial" w:cs="Arial"/>
                <w:b/>
                <w:sz w:val="20"/>
                <w:szCs w:val="20"/>
              </w:rPr>
            </w:pPr>
            <w:r>
              <w:rPr>
                <w:rFonts w:ascii="Arial" w:hAnsi="Arial" w:cs="Arial"/>
                <w:b/>
                <w:sz w:val="20"/>
                <w:szCs w:val="20"/>
              </w:rPr>
              <w:t>observado</w:t>
            </w:r>
          </w:p>
        </w:tc>
      </w:tr>
      <w:tr w:rsidR="00FC32ED" w14:paraId="6EE2A791" w14:textId="77777777" w:rsidTr="00FD6877">
        <w:trPr>
          <w:trHeight w:val="642"/>
        </w:trPr>
        <w:tc>
          <w:tcPr>
            <w:tcW w:w="10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68D596" w14:textId="77777777" w:rsidR="009B2342" w:rsidRDefault="009B2342">
            <w:pPr>
              <w:spacing w:line="360" w:lineRule="auto"/>
              <w:jc w:val="center"/>
              <w:rPr>
                <w:rFonts w:ascii="Arial" w:hAnsi="Arial" w:cs="Arial"/>
                <w:sz w:val="16"/>
                <w:szCs w:val="16"/>
              </w:rPr>
            </w:pPr>
          </w:p>
          <w:p w14:paraId="0100953D" w14:textId="269A3ED2" w:rsidR="00FC32ED" w:rsidRDefault="00FC32ED">
            <w:pPr>
              <w:spacing w:line="360" w:lineRule="auto"/>
              <w:jc w:val="center"/>
              <w:rPr>
                <w:rFonts w:ascii="Arial" w:hAnsi="Arial" w:cs="Arial"/>
                <w:sz w:val="16"/>
                <w:szCs w:val="16"/>
              </w:rPr>
            </w:pPr>
            <w:r>
              <w:rPr>
                <w:rFonts w:ascii="Arial" w:hAnsi="Arial" w:cs="Arial"/>
                <w:sz w:val="16"/>
                <w:szCs w:val="16"/>
              </w:rPr>
              <w:t>Resultado :1</w:t>
            </w:r>
          </w:p>
          <w:p w14:paraId="0E69FC29" w14:textId="77777777" w:rsidR="00FC32ED" w:rsidRDefault="00FC32ED">
            <w:pPr>
              <w:spacing w:line="360" w:lineRule="auto"/>
              <w:jc w:val="center"/>
              <w:rPr>
                <w:rFonts w:ascii="Arial" w:hAnsi="Arial" w:cs="Arial"/>
                <w:sz w:val="16"/>
                <w:szCs w:val="16"/>
              </w:rPr>
            </w:pPr>
            <w:r>
              <w:rPr>
                <w:rFonts w:ascii="Arial" w:hAnsi="Arial" w:cs="Arial"/>
                <w:sz w:val="16"/>
                <w:szCs w:val="16"/>
              </w:rPr>
              <w:t>Observación :1</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54B232" w14:textId="77777777" w:rsidR="009B2342" w:rsidRDefault="009B2342">
            <w:pPr>
              <w:spacing w:line="360" w:lineRule="auto"/>
              <w:jc w:val="both"/>
              <w:rPr>
                <w:rFonts w:ascii="Arial" w:hAnsi="Arial" w:cs="Arial"/>
                <w:sz w:val="16"/>
                <w:szCs w:val="16"/>
              </w:rPr>
            </w:pPr>
          </w:p>
          <w:p w14:paraId="12FB70D0" w14:textId="7949DA9D" w:rsidR="00FC32ED" w:rsidRDefault="00FC32ED">
            <w:pPr>
              <w:spacing w:line="360" w:lineRule="auto"/>
              <w:jc w:val="both"/>
              <w:rPr>
                <w:rFonts w:ascii="Arial" w:hAnsi="Arial" w:cs="Arial"/>
                <w:sz w:val="16"/>
                <w:szCs w:val="16"/>
              </w:rPr>
            </w:pPr>
            <w:r>
              <w:rPr>
                <w:rFonts w:ascii="Arial" w:hAnsi="Arial" w:cs="Arial"/>
                <w:sz w:val="16"/>
                <w:szCs w:val="16"/>
              </w:rPr>
              <w:t xml:space="preserve">Falta de justificación  de transferencia estatal </w:t>
            </w:r>
          </w:p>
        </w:tc>
        <w:tc>
          <w:tcPr>
            <w:tcW w:w="16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875084" w14:textId="77777777" w:rsidR="009B2342" w:rsidRDefault="009B2342" w:rsidP="00FD6877">
            <w:pPr>
              <w:spacing w:line="360" w:lineRule="auto"/>
              <w:ind w:right="190"/>
              <w:jc w:val="both"/>
              <w:rPr>
                <w:rFonts w:ascii="Arial" w:hAnsi="Arial" w:cs="Arial"/>
                <w:sz w:val="16"/>
                <w:szCs w:val="16"/>
              </w:rPr>
            </w:pPr>
          </w:p>
          <w:p w14:paraId="707E41EE" w14:textId="2CA935F2" w:rsidR="00FC32ED" w:rsidRDefault="00FC32ED" w:rsidP="00FD6877">
            <w:pPr>
              <w:spacing w:line="360" w:lineRule="auto"/>
              <w:ind w:right="190"/>
              <w:jc w:val="both"/>
              <w:rPr>
                <w:rFonts w:ascii="Arial" w:hAnsi="Arial" w:cs="Arial"/>
                <w:sz w:val="16"/>
                <w:szCs w:val="16"/>
              </w:rPr>
            </w:pPr>
            <w:r>
              <w:rPr>
                <w:rFonts w:ascii="Arial" w:hAnsi="Arial" w:cs="Arial"/>
                <w:sz w:val="16"/>
                <w:szCs w:val="16"/>
              </w:rPr>
              <w:t>(4C) Omisiones o inconsistencias en la presentación de información financiera</w:t>
            </w:r>
          </w:p>
          <w:p w14:paraId="17936477" w14:textId="06A48490" w:rsidR="009B2342" w:rsidRDefault="009B2342" w:rsidP="00FD6877">
            <w:pPr>
              <w:spacing w:line="360" w:lineRule="auto"/>
              <w:ind w:right="190"/>
              <w:jc w:val="both"/>
              <w:rPr>
                <w:rFonts w:ascii="Arial" w:hAnsi="Arial" w:cs="Arial"/>
                <w:sz w:val="16"/>
                <w:szCs w:val="16"/>
              </w:rPr>
            </w:pPr>
          </w:p>
        </w:tc>
        <w:tc>
          <w:tcPr>
            <w:tcW w:w="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EAFC345" w14:textId="77777777" w:rsidR="009B2342" w:rsidRDefault="009B2342">
            <w:pPr>
              <w:spacing w:line="360" w:lineRule="auto"/>
              <w:ind w:right="190"/>
              <w:jc w:val="center"/>
              <w:rPr>
                <w:rFonts w:ascii="Arial" w:hAnsi="Arial" w:cs="Arial"/>
                <w:sz w:val="16"/>
                <w:szCs w:val="16"/>
              </w:rPr>
            </w:pPr>
          </w:p>
          <w:p w14:paraId="0C81E95F" w14:textId="14BA6B36" w:rsidR="00FC32ED" w:rsidRDefault="00FC32ED">
            <w:pPr>
              <w:spacing w:line="360" w:lineRule="auto"/>
              <w:ind w:right="190"/>
              <w:jc w:val="center"/>
              <w:rPr>
                <w:rFonts w:ascii="Arial" w:hAnsi="Arial" w:cs="Arial"/>
                <w:sz w:val="16"/>
                <w:szCs w:val="16"/>
              </w:rPr>
            </w:pPr>
            <w:r>
              <w:rPr>
                <w:rFonts w:ascii="Arial" w:hAnsi="Arial" w:cs="Arial"/>
                <w:sz w:val="16"/>
                <w:szCs w:val="16"/>
              </w:rPr>
              <w:t>Aspectos de control interno</w:t>
            </w:r>
          </w:p>
        </w:tc>
      </w:tr>
    </w:tbl>
    <w:p w14:paraId="6FC0D04B" w14:textId="583F1D0D" w:rsidR="00FC32ED" w:rsidRDefault="00FC32ED" w:rsidP="0093200E">
      <w:pPr>
        <w:tabs>
          <w:tab w:val="left" w:pos="2160"/>
        </w:tabs>
        <w:spacing w:line="360" w:lineRule="auto"/>
        <w:ind w:right="49"/>
        <w:jc w:val="both"/>
        <w:rPr>
          <w:rFonts w:ascii="Arial" w:hAnsi="Arial" w:cs="Arial"/>
        </w:rPr>
      </w:pPr>
    </w:p>
    <w:p w14:paraId="62B982D6" w14:textId="6F84C478" w:rsidR="00FC32ED" w:rsidRDefault="00FC32ED" w:rsidP="00FC32ED">
      <w:pPr>
        <w:spacing w:line="360" w:lineRule="auto"/>
        <w:jc w:val="both"/>
        <w:rPr>
          <w:rFonts w:ascii="Arial" w:hAnsi="Arial" w:cs="Arial"/>
          <w:b/>
        </w:rPr>
      </w:pPr>
      <w:r>
        <w:rPr>
          <w:rFonts w:ascii="Arial" w:hAnsi="Arial" w:cs="Arial"/>
          <w:b/>
        </w:rPr>
        <w:t>Egresos</w:t>
      </w:r>
    </w:p>
    <w:p w14:paraId="53720F80" w14:textId="77777777" w:rsidR="00F47DD3" w:rsidRDefault="00F47DD3" w:rsidP="00FC32ED">
      <w:pPr>
        <w:spacing w:line="360" w:lineRule="auto"/>
        <w:jc w:val="both"/>
        <w:rPr>
          <w:rFonts w:ascii="Arial" w:hAnsi="Arial" w:cs="Arial"/>
          <w:b/>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5"/>
        <w:gridCol w:w="2793"/>
        <w:gridCol w:w="3122"/>
        <w:gridCol w:w="1918"/>
      </w:tblGrid>
      <w:tr w:rsidR="00FC32ED" w14:paraId="7A6DAAAD" w14:textId="77777777" w:rsidTr="00FC32ED">
        <w:trPr>
          <w:tblHeader/>
        </w:trPr>
        <w:tc>
          <w:tcPr>
            <w:tcW w:w="95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C95AFB1" w14:textId="77777777" w:rsidR="00FC32ED" w:rsidRDefault="00FC32ED">
            <w:pPr>
              <w:spacing w:line="360" w:lineRule="auto"/>
              <w:jc w:val="center"/>
              <w:rPr>
                <w:rFonts w:ascii="Arial" w:hAnsi="Arial" w:cs="Arial"/>
                <w:b/>
                <w:sz w:val="20"/>
                <w:szCs w:val="20"/>
              </w:rPr>
            </w:pPr>
            <w:r>
              <w:rPr>
                <w:rFonts w:ascii="Arial" w:hAnsi="Arial" w:cs="Arial"/>
                <w:b/>
                <w:sz w:val="20"/>
                <w:szCs w:val="20"/>
              </w:rPr>
              <w:t>Referencia</w:t>
            </w:r>
          </w:p>
        </w:tc>
        <w:tc>
          <w:tcPr>
            <w:tcW w:w="14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581CFDA" w14:textId="77777777" w:rsidR="00FC32ED" w:rsidRDefault="00FC32ED">
            <w:pPr>
              <w:spacing w:line="360" w:lineRule="auto"/>
              <w:jc w:val="center"/>
              <w:rPr>
                <w:rFonts w:ascii="Arial" w:hAnsi="Arial" w:cs="Arial"/>
                <w:b/>
                <w:sz w:val="20"/>
                <w:szCs w:val="20"/>
              </w:rPr>
            </w:pPr>
            <w:r>
              <w:rPr>
                <w:rFonts w:ascii="Arial" w:hAnsi="Arial" w:cs="Arial"/>
                <w:b/>
                <w:sz w:val="20"/>
                <w:szCs w:val="20"/>
              </w:rPr>
              <w:t>Concepto del Resultado</w:t>
            </w:r>
          </w:p>
        </w:tc>
        <w:tc>
          <w:tcPr>
            <w:tcW w:w="161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0FB1AA" w14:textId="77777777" w:rsidR="00FC32ED" w:rsidRDefault="00FC32ED">
            <w:pPr>
              <w:spacing w:line="360" w:lineRule="auto"/>
              <w:jc w:val="center"/>
              <w:rPr>
                <w:rFonts w:ascii="Arial" w:hAnsi="Arial" w:cs="Arial"/>
                <w:b/>
                <w:sz w:val="20"/>
                <w:szCs w:val="20"/>
              </w:rPr>
            </w:pPr>
            <w:r>
              <w:rPr>
                <w:rFonts w:ascii="Arial" w:hAnsi="Arial" w:cs="Arial"/>
                <w:b/>
                <w:sz w:val="20"/>
                <w:szCs w:val="20"/>
              </w:rPr>
              <w:t>Tipo de Observación</w:t>
            </w:r>
          </w:p>
          <w:p w14:paraId="051FADF0" w14:textId="77777777" w:rsidR="00FC32ED" w:rsidRDefault="00FC32ED">
            <w:pPr>
              <w:spacing w:line="360" w:lineRule="auto"/>
              <w:jc w:val="center"/>
              <w:rPr>
                <w:rFonts w:ascii="Arial" w:hAnsi="Arial" w:cs="Arial"/>
                <w:b/>
                <w:sz w:val="20"/>
                <w:szCs w:val="20"/>
              </w:rPr>
            </w:pPr>
          </w:p>
        </w:tc>
        <w:tc>
          <w:tcPr>
            <w:tcW w:w="9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2B60883C" w14:textId="77777777" w:rsidR="00FC32ED" w:rsidRDefault="00FC32ED">
            <w:pPr>
              <w:spacing w:line="360" w:lineRule="auto"/>
              <w:jc w:val="center"/>
              <w:rPr>
                <w:rFonts w:ascii="Arial" w:hAnsi="Arial" w:cs="Arial"/>
                <w:b/>
                <w:sz w:val="20"/>
                <w:szCs w:val="20"/>
              </w:rPr>
            </w:pPr>
            <w:r>
              <w:rPr>
                <w:rFonts w:ascii="Arial" w:hAnsi="Arial" w:cs="Arial"/>
                <w:b/>
                <w:sz w:val="20"/>
                <w:szCs w:val="20"/>
              </w:rPr>
              <w:t>Importe</w:t>
            </w:r>
          </w:p>
          <w:p w14:paraId="31573A8B" w14:textId="77777777" w:rsidR="00FC32ED" w:rsidRDefault="00FC32ED">
            <w:pPr>
              <w:spacing w:line="360" w:lineRule="auto"/>
              <w:jc w:val="center"/>
              <w:rPr>
                <w:rFonts w:ascii="Arial" w:hAnsi="Arial" w:cs="Arial"/>
                <w:b/>
                <w:sz w:val="20"/>
                <w:szCs w:val="20"/>
              </w:rPr>
            </w:pPr>
            <w:r>
              <w:rPr>
                <w:rFonts w:ascii="Arial" w:hAnsi="Arial" w:cs="Arial"/>
                <w:b/>
                <w:sz w:val="20"/>
                <w:szCs w:val="20"/>
              </w:rPr>
              <w:t>observado</w:t>
            </w:r>
          </w:p>
        </w:tc>
      </w:tr>
      <w:tr w:rsidR="00FC32ED" w14:paraId="40054A55" w14:textId="77777777" w:rsidTr="00FC32ED">
        <w:trPr>
          <w:trHeight w:val="888"/>
        </w:trPr>
        <w:tc>
          <w:tcPr>
            <w:tcW w:w="95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39BA4A" w14:textId="77777777" w:rsidR="00FC32ED" w:rsidRDefault="00FC32ED">
            <w:pPr>
              <w:spacing w:line="360" w:lineRule="auto"/>
              <w:jc w:val="center"/>
              <w:rPr>
                <w:rFonts w:ascii="Arial" w:hAnsi="Arial" w:cs="Arial"/>
                <w:sz w:val="16"/>
                <w:szCs w:val="16"/>
              </w:rPr>
            </w:pPr>
            <w:r>
              <w:rPr>
                <w:rFonts w:ascii="Arial" w:hAnsi="Arial" w:cs="Arial"/>
                <w:sz w:val="16"/>
                <w:szCs w:val="16"/>
              </w:rPr>
              <w:t>Resultado :1</w:t>
            </w:r>
          </w:p>
          <w:p w14:paraId="2DAC8412" w14:textId="77777777" w:rsidR="00FC32ED" w:rsidRDefault="00FC32ED">
            <w:pPr>
              <w:spacing w:line="360" w:lineRule="auto"/>
              <w:jc w:val="center"/>
              <w:rPr>
                <w:rFonts w:ascii="Arial" w:hAnsi="Arial" w:cs="Arial"/>
                <w:sz w:val="16"/>
                <w:szCs w:val="16"/>
              </w:rPr>
            </w:pPr>
            <w:r>
              <w:rPr>
                <w:rFonts w:ascii="Arial" w:hAnsi="Arial" w:cs="Arial"/>
                <w:sz w:val="16"/>
                <w:szCs w:val="16"/>
              </w:rPr>
              <w:t>Observación :1</w:t>
            </w:r>
          </w:p>
        </w:tc>
        <w:tc>
          <w:tcPr>
            <w:tcW w:w="14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E53828D" w14:textId="77777777" w:rsidR="00FC32ED" w:rsidRDefault="00FC32ED">
            <w:pPr>
              <w:spacing w:line="360" w:lineRule="auto"/>
              <w:jc w:val="both"/>
              <w:rPr>
                <w:rFonts w:ascii="Arial" w:hAnsi="Arial" w:cs="Arial"/>
                <w:sz w:val="16"/>
                <w:szCs w:val="16"/>
              </w:rPr>
            </w:pPr>
            <w:r>
              <w:rPr>
                <w:rFonts w:ascii="Arial" w:hAnsi="Arial" w:cs="Arial"/>
                <w:color w:val="000000"/>
                <w:sz w:val="16"/>
                <w:szCs w:val="16"/>
                <w:lang w:eastAsia="es-MX"/>
              </w:rPr>
              <w:t>Inexistente documentación que comprueba y justifica el pago de las retenciones</w:t>
            </w:r>
          </w:p>
        </w:tc>
        <w:tc>
          <w:tcPr>
            <w:tcW w:w="161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C43728" w14:textId="77777777" w:rsidR="00FC32ED" w:rsidRDefault="00FC32ED">
            <w:pPr>
              <w:spacing w:line="360" w:lineRule="auto"/>
              <w:jc w:val="both"/>
              <w:rPr>
                <w:rFonts w:ascii="Arial" w:hAnsi="Arial" w:cs="Arial"/>
                <w:sz w:val="16"/>
                <w:szCs w:val="16"/>
              </w:rPr>
            </w:pPr>
            <w:r>
              <w:rPr>
                <w:rFonts w:ascii="Arial" w:hAnsi="Arial" w:cs="Arial"/>
                <w:sz w:val="16"/>
                <w:szCs w:val="16"/>
              </w:rPr>
              <w:t>(1B) Falta de documentación comprobatoria de las erogaciones o que no reúne requisitos fiscales</w:t>
            </w:r>
          </w:p>
        </w:tc>
        <w:tc>
          <w:tcPr>
            <w:tcW w:w="9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84F4DD" w14:textId="77777777" w:rsidR="00FC32ED" w:rsidRDefault="00FC32ED">
            <w:pPr>
              <w:spacing w:line="360" w:lineRule="auto"/>
              <w:jc w:val="right"/>
              <w:rPr>
                <w:rFonts w:ascii="Arial" w:hAnsi="Arial" w:cs="Arial"/>
                <w:color w:val="000000"/>
                <w:sz w:val="16"/>
                <w:szCs w:val="16"/>
              </w:rPr>
            </w:pPr>
            <w:r>
              <w:rPr>
                <w:rFonts w:ascii="Arial" w:hAnsi="Arial" w:cs="Arial"/>
                <w:color w:val="000000"/>
                <w:sz w:val="16"/>
                <w:szCs w:val="16"/>
              </w:rPr>
              <w:t>$8,000.00</w:t>
            </w:r>
          </w:p>
          <w:p w14:paraId="55B29B86" w14:textId="77777777" w:rsidR="00FC32ED" w:rsidRDefault="00FC32ED">
            <w:pPr>
              <w:spacing w:line="360" w:lineRule="auto"/>
              <w:jc w:val="right"/>
              <w:rPr>
                <w:rFonts w:ascii="Arial" w:hAnsi="Arial" w:cs="Arial"/>
                <w:color w:val="000000"/>
                <w:sz w:val="16"/>
                <w:szCs w:val="16"/>
              </w:rPr>
            </w:pPr>
          </w:p>
        </w:tc>
      </w:tr>
      <w:tr w:rsidR="00FC32ED" w14:paraId="6B52C62A" w14:textId="77777777" w:rsidTr="00FC32ED">
        <w:trPr>
          <w:trHeight w:val="888"/>
        </w:trPr>
        <w:tc>
          <w:tcPr>
            <w:tcW w:w="95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0172E0" w14:textId="77777777" w:rsidR="00FC32ED" w:rsidRDefault="00FC32ED">
            <w:pPr>
              <w:spacing w:line="360" w:lineRule="auto"/>
              <w:jc w:val="center"/>
              <w:rPr>
                <w:rFonts w:ascii="Arial" w:hAnsi="Arial" w:cs="Arial"/>
                <w:sz w:val="16"/>
                <w:szCs w:val="16"/>
              </w:rPr>
            </w:pPr>
            <w:r>
              <w:rPr>
                <w:rFonts w:ascii="Arial" w:hAnsi="Arial" w:cs="Arial"/>
                <w:sz w:val="16"/>
                <w:szCs w:val="16"/>
              </w:rPr>
              <w:t>Resultado :2</w:t>
            </w:r>
          </w:p>
          <w:p w14:paraId="20A0C69B" w14:textId="77777777" w:rsidR="00FC32ED" w:rsidRDefault="00FC32ED">
            <w:pPr>
              <w:spacing w:line="360" w:lineRule="auto"/>
              <w:jc w:val="center"/>
              <w:rPr>
                <w:rFonts w:ascii="Arial" w:hAnsi="Arial" w:cs="Arial"/>
                <w:sz w:val="16"/>
                <w:szCs w:val="16"/>
              </w:rPr>
            </w:pPr>
            <w:r>
              <w:rPr>
                <w:rFonts w:ascii="Arial" w:hAnsi="Arial" w:cs="Arial"/>
                <w:sz w:val="16"/>
                <w:szCs w:val="16"/>
              </w:rPr>
              <w:t>Observación :2</w:t>
            </w:r>
          </w:p>
        </w:tc>
        <w:tc>
          <w:tcPr>
            <w:tcW w:w="14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EFE9DF" w14:textId="77777777" w:rsidR="00FC32ED" w:rsidRDefault="00FC32ED">
            <w:pPr>
              <w:spacing w:line="360" w:lineRule="auto"/>
              <w:ind w:right="190"/>
              <w:jc w:val="both"/>
              <w:rPr>
                <w:rFonts w:ascii="Arial" w:hAnsi="Arial" w:cs="Arial"/>
                <w:sz w:val="16"/>
                <w:szCs w:val="16"/>
              </w:rPr>
            </w:pPr>
            <w:r>
              <w:rPr>
                <w:rFonts w:ascii="Arial" w:hAnsi="Arial" w:cs="Arial"/>
                <w:sz w:val="16"/>
                <w:szCs w:val="16"/>
              </w:rPr>
              <w:t xml:space="preserve">Baja de activos no contabilizados </w:t>
            </w:r>
          </w:p>
          <w:p w14:paraId="58EBE760" w14:textId="77777777" w:rsidR="00FC32ED" w:rsidRDefault="00FC32ED">
            <w:pPr>
              <w:spacing w:line="360" w:lineRule="auto"/>
              <w:ind w:right="190"/>
              <w:jc w:val="both"/>
              <w:rPr>
                <w:rFonts w:ascii="Arial" w:hAnsi="Arial" w:cs="Arial"/>
                <w:sz w:val="16"/>
                <w:szCs w:val="16"/>
              </w:rPr>
            </w:pPr>
          </w:p>
        </w:tc>
        <w:tc>
          <w:tcPr>
            <w:tcW w:w="161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184622" w14:textId="77777777" w:rsidR="00FC32ED" w:rsidRDefault="00FC32ED">
            <w:pPr>
              <w:spacing w:line="360" w:lineRule="auto"/>
              <w:ind w:right="190"/>
              <w:jc w:val="both"/>
              <w:rPr>
                <w:rFonts w:ascii="Arial" w:hAnsi="Arial" w:cs="Arial"/>
                <w:sz w:val="16"/>
                <w:szCs w:val="16"/>
              </w:rPr>
            </w:pPr>
            <w:r>
              <w:rPr>
                <w:rFonts w:ascii="Arial" w:hAnsi="Arial" w:cs="Arial"/>
                <w:sz w:val="16"/>
                <w:szCs w:val="16"/>
              </w:rPr>
              <w:t>(4B) Operaciones o bienes no registrados o registrados errónea o extemporáneamente</w:t>
            </w:r>
            <w:r>
              <w:rPr>
                <w:rFonts w:ascii="Arial" w:hAnsi="Arial" w:cs="Arial"/>
                <w:bCs/>
                <w:color w:val="000000"/>
                <w:lang w:eastAsia="es-MX"/>
              </w:rPr>
              <w:t xml:space="preserve">   </w:t>
            </w:r>
          </w:p>
        </w:tc>
        <w:tc>
          <w:tcPr>
            <w:tcW w:w="9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74774A5" w14:textId="77777777" w:rsidR="00FC32ED" w:rsidRDefault="00FC32ED">
            <w:pPr>
              <w:spacing w:line="360" w:lineRule="auto"/>
              <w:jc w:val="center"/>
              <w:rPr>
                <w:rFonts w:ascii="Arial" w:hAnsi="Arial" w:cs="Arial"/>
                <w:color w:val="000000"/>
                <w:sz w:val="16"/>
                <w:szCs w:val="16"/>
              </w:rPr>
            </w:pPr>
            <w:r>
              <w:rPr>
                <w:rFonts w:ascii="Arial" w:hAnsi="Arial" w:cs="Arial"/>
                <w:color w:val="000000"/>
                <w:sz w:val="16"/>
                <w:szCs w:val="16"/>
              </w:rPr>
              <w:t>Aspectos de control interno</w:t>
            </w:r>
          </w:p>
        </w:tc>
      </w:tr>
      <w:tr w:rsidR="00FC32ED" w14:paraId="1081D292" w14:textId="77777777" w:rsidTr="00FC32ED">
        <w:trPr>
          <w:trHeight w:val="888"/>
        </w:trPr>
        <w:tc>
          <w:tcPr>
            <w:tcW w:w="95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892C7F" w14:textId="77777777" w:rsidR="00FC32ED" w:rsidRDefault="00FC32ED">
            <w:pPr>
              <w:spacing w:line="360" w:lineRule="auto"/>
              <w:jc w:val="center"/>
              <w:rPr>
                <w:rFonts w:ascii="Arial" w:hAnsi="Arial" w:cs="Arial"/>
                <w:sz w:val="16"/>
                <w:szCs w:val="16"/>
              </w:rPr>
            </w:pPr>
            <w:r>
              <w:rPr>
                <w:rFonts w:ascii="Arial" w:hAnsi="Arial" w:cs="Arial"/>
                <w:sz w:val="16"/>
                <w:szCs w:val="16"/>
              </w:rPr>
              <w:t>Resultado :3</w:t>
            </w:r>
          </w:p>
          <w:p w14:paraId="667CEC0F" w14:textId="77777777" w:rsidR="00FC32ED" w:rsidRDefault="00FC32ED">
            <w:pPr>
              <w:spacing w:line="360" w:lineRule="auto"/>
              <w:jc w:val="center"/>
              <w:rPr>
                <w:rFonts w:ascii="Arial" w:hAnsi="Arial" w:cs="Arial"/>
                <w:sz w:val="16"/>
                <w:szCs w:val="16"/>
              </w:rPr>
            </w:pPr>
            <w:r>
              <w:rPr>
                <w:rFonts w:ascii="Arial" w:hAnsi="Arial" w:cs="Arial"/>
                <w:sz w:val="16"/>
                <w:szCs w:val="16"/>
              </w:rPr>
              <w:t>Observación :3</w:t>
            </w:r>
          </w:p>
        </w:tc>
        <w:tc>
          <w:tcPr>
            <w:tcW w:w="14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78F92D" w14:textId="77777777" w:rsidR="00FC32ED" w:rsidRDefault="00FC32ED">
            <w:pPr>
              <w:spacing w:line="360" w:lineRule="auto"/>
              <w:ind w:right="190"/>
              <w:jc w:val="both"/>
              <w:rPr>
                <w:rFonts w:ascii="Arial" w:hAnsi="Arial" w:cs="Arial"/>
                <w:sz w:val="16"/>
                <w:szCs w:val="16"/>
              </w:rPr>
            </w:pPr>
            <w:r>
              <w:rPr>
                <w:rFonts w:ascii="Arial" w:hAnsi="Arial" w:cs="Arial"/>
                <w:sz w:val="16"/>
                <w:szCs w:val="16"/>
              </w:rPr>
              <w:t>El documento comprobatorio no corresponde al ejercicio fiscal auditado</w:t>
            </w:r>
          </w:p>
          <w:p w14:paraId="78FC2B9B" w14:textId="77777777" w:rsidR="00FC32ED" w:rsidRDefault="00FC32ED">
            <w:pPr>
              <w:spacing w:line="360" w:lineRule="auto"/>
              <w:ind w:right="190"/>
              <w:jc w:val="both"/>
              <w:rPr>
                <w:rFonts w:ascii="Arial" w:hAnsi="Arial" w:cs="Arial"/>
                <w:sz w:val="16"/>
                <w:szCs w:val="16"/>
              </w:rPr>
            </w:pPr>
          </w:p>
        </w:tc>
        <w:tc>
          <w:tcPr>
            <w:tcW w:w="161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21C79A" w14:textId="77777777" w:rsidR="00FC32ED" w:rsidRDefault="00FC32ED">
            <w:pPr>
              <w:spacing w:line="360" w:lineRule="auto"/>
              <w:ind w:right="190"/>
              <w:jc w:val="both"/>
              <w:rPr>
                <w:rFonts w:ascii="Arial" w:hAnsi="Arial" w:cs="Arial"/>
                <w:sz w:val="16"/>
                <w:szCs w:val="16"/>
              </w:rPr>
            </w:pPr>
            <w:r>
              <w:rPr>
                <w:rFonts w:ascii="Arial" w:hAnsi="Arial" w:cs="Arial"/>
                <w:sz w:val="16"/>
                <w:szCs w:val="16"/>
              </w:rPr>
              <w:t>(4C) Omisiones o inconsistencias en la presentación de información financiera</w:t>
            </w:r>
          </w:p>
          <w:p w14:paraId="13F3472C" w14:textId="77777777" w:rsidR="00FC32ED" w:rsidRDefault="00FC32ED">
            <w:pPr>
              <w:spacing w:line="360" w:lineRule="auto"/>
              <w:ind w:right="190"/>
              <w:jc w:val="both"/>
              <w:rPr>
                <w:rFonts w:ascii="Arial" w:hAnsi="Arial" w:cs="Arial"/>
                <w:sz w:val="16"/>
                <w:szCs w:val="16"/>
              </w:rPr>
            </w:pPr>
          </w:p>
        </w:tc>
        <w:tc>
          <w:tcPr>
            <w:tcW w:w="9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6FE2FEF" w14:textId="77777777" w:rsidR="00FC32ED" w:rsidRDefault="00FC32ED">
            <w:pPr>
              <w:spacing w:line="360" w:lineRule="auto"/>
              <w:jc w:val="center"/>
              <w:rPr>
                <w:rFonts w:ascii="Arial" w:hAnsi="Arial" w:cs="Arial"/>
                <w:color w:val="000000"/>
                <w:sz w:val="16"/>
                <w:szCs w:val="16"/>
              </w:rPr>
            </w:pPr>
            <w:r>
              <w:rPr>
                <w:rFonts w:ascii="Arial" w:hAnsi="Arial" w:cs="Arial"/>
                <w:color w:val="000000"/>
                <w:sz w:val="16"/>
                <w:szCs w:val="16"/>
              </w:rPr>
              <w:t>Aspectos de control interno</w:t>
            </w:r>
          </w:p>
        </w:tc>
      </w:tr>
      <w:tr w:rsidR="00FC32ED" w14:paraId="44B8FC46" w14:textId="77777777" w:rsidTr="00FC32ED">
        <w:trPr>
          <w:trHeight w:val="274"/>
        </w:trPr>
        <w:tc>
          <w:tcPr>
            <w:tcW w:w="4009"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77F07F" w14:textId="77777777" w:rsidR="00FC32ED" w:rsidRDefault="00FC32ED">
            <w:pPr>
              <w:spacing w:line="360" w:lineRule="auto"/>
              <w:jc w:val="right"/>
              <w:rPr>
                <w:rFonts w:ascii="Arial" w:hAnsi="Arial" w:cs="Arial"/>
                <w:b/>
                <w:sz w:val="16"/>
                <w:szCs w:val="16"/>
              </w:rPr>
            </w:pPr>
            <w:r>
              <w:rPr>
                <w:rFonts w:ascii="Arial" w:hAnsi="Arial" w:cs="Arial"/>
                <w:b/>
                <w:sz w:val="16"/>
                <w:szCs w:val="16"/>
              </w:rPr>
              <w:t>Totales</w:t>
            </w:r>
          </w:p>
        </w:tc>
        <w:tc>
          <w:tcPr>
            <w:tcW w:w="9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7522097" w14:textId="77777777" w:rsidR="00FC32ED" w:rsidRDefault="00FC32ED">
            <w:pPr>
              <w:spacing w:line="360" w:lineRule="auto"/>
              <w:jc w:val="right"/>
              <w:rPr>
                <w:rFonts w:ascii="Arial" w:hAnsi="Arial" w:cs="Arial"/>
                <w:b/>
                <w:sz w:val="16"/>
                <w:szCs w:val="16"/>
              </w:rPr>
            </w:pPr>
            <w:r>
              <w:rPr>
                <w:rFonts w:ascii="Arial" w:hAnsi="Arial" w:cs="Arial"/>
                <w:b/>
                <w:color w:val="000000"/>
                <w:sz w:val="16"/>
                <w:szCs w:val="16"/>
              </w:rPr>
              <w:t>$8,000.00</w:t>
            </w:r>
          </w:p>
        </w:tc>
      </w:tr>
    </w:tbl>
    <w:p w14:paraId="6389E96A" w14:textId="5036CE82" w:rsidR="00707F2F" w:rsidRPr="00D303C1" w:rsidRDefault="00707F2F" w:rsidP="0000347D">
      <w:pPr>
        <w:spacing w:line="360" w:lineRule="auto"/>
        <w:ind w:right="190"/>
        <w:jc w:val="both"/>
        <w:rPr>
          <w:rFonts w:ascii="Arial" w:hAnsi="Arial" w:cs="Arial"/>
          <w:b/>
          <w:sz w:val="28"/>
          <w:szCs w:val="28"/>
        </w:rPr>
      </w:pPr>
      <w:bookmarkStart w:id="12" w:name="_Hlk11419882"/>
    </w:p>
    <w:p w14:paraId="7BCBF1CF" w14:textId="417CA903"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0A472A" w:rsidRPr="00F80EC3">
        <w:rPr>
          <w:rFonts w:ascii="Arial" w:hAnsi="Arial" w:cs="Arial"/>
          <w:b/>
          <w:bCs/>
          <w:sz w:val="23"/>
          <w:szCs w:val="23"/>
        </w:rPr>
        <w:t xml:space="preserve">Observaciones </w:t>
      </w:r>
      <w:r w:rsidR="00F450BC" w:rsidRPr="00F80EC3">
        <w:rPr>
          <w:rFonts w:ascii="Arial" w:hAnsi="Arial" w:cs="Arial"/>
          <w:b/>
          <w:bCs/>
          <w:sz w:val="23"/>
          <w:szCs w:val="23"/>
        </w:rPr>
        <w:t>D</w:t>
      </w:r>
      <w:r w:rsidR="000A472A" w:rsidRPr="00F80EC3">
        <w:rPr>
          <w:rFonts w:ascii="Arial" w:hAnsi="Arial" w:cs="Arial"/>
          <w:b/>
          <w:bCs/>
          <w:sz w:val="23"/>
          <w:szCs w:val="23"/>
        </w:rPr>
        <w:t>eterminadas por Auditoría en Materia Financiera, Justificaciones y Aclaraci</w:t>
      </w:r>
      <w:r w:rsidR="00F80EC3" w:rsidRPr="00F80EC3">
        <w:rPr>
          <w:rFonts w:ascii="Arial" w:hAnsi="Arial" w:cs="Arial"/>
          <w:b/>
          <w:bCs/>
          <w:sz w:val="23"/>
          <w:szCs w:val="23"/>
        </w:rPr>
        <w:t xml:space="preserve">ones de la Entidad Fiscalizada, </w:t>
      </w:r>
      <w:r w:rsidR="000A472A" w:rsidRPr="00F80EC3">
        <w:rPr>
          <w:rFonts w:ascii="Arial" w:hAnsi="Arial" w:cs="Arial"/>
          <w:b/>
          <w:bCs/>
          <w:sz w:val="23"/>
          <w:szCs w:val="23"/>
        </w:rPr>
        <w:t>Acciones</w:t>
      </w:r>
      <w:r w:rsidR="00F80EC3" w:rsidRPr="00F80EC3">
        <w:rPr>
          <w:rFonts w:ascii="Arial" w:hAnsi="Arial" w:cs="Arial"/>
          <w:b/>
          <w:bCs/>
          <w:sz w:val="23"/>
          <w:szCs w:val="23"/>
        </w:rPr>
        <w:t xml:space="preserve"> y Recomendaciones</w:t>
      </w:r>
      <w:r w:rsidR="000A472A" w:rsidRPr="00F80EC3">
        <w:rPr>
          <w:rFonts w:ascii="Arial" w:hAnsi="Arial" w:cs="Arial"/>
          <w:b/>
          <w:bCs/>
          <w:sz w:val="23"/>
          <w:szCs w:val="23"/>
        </w:rPr>
        <w:t xml:space="preserve"> </w:t>
      </w:r>
      <w:r w:rsidR="00F450BC" w:rsidRPr="00F80EC3">
        <w:rPr>
          <w:rFonts w:ascii="Arial" w:hAnsi="Arial" w:cs="Arial"/>
          <w:b/>
          <w:bCs/>
          <w:sz w:val="23"/>
          <w:szCs w:val="23"/>
        </w:rPr>
        <w:t>E</w:t>
      </w:r>
      <w:r w:rsidR="000A472A" w:rsidRPr="00F80EC3">
        <w:rPr>
          <w:rFonts w:ascii="Arial" w:hAnsi="Arial" w:cs="Arial"/>
          <w:b/>
          <w:bCs/>
          <w:sz w:val="23"/>
          <w:szCs w:val="23"/>
        </w:rPr>
        <w:t>mitidas</w:t>
      </w:r>
    </w:p>
    <w:p w14:paraId="5A088CA1" w14:textId="77777777" w:rsidR="00761FA3" w:rsidRDefault="00761FA3" w:rsidP="0000347D">
      <w:pPr>
        <w:spacing w:line="276" w:lineRule="auto"/>
        <w:ind w:right="190"/>
        <w:jc w:val="both"/>
        <w:rPr>
          <w:rFonts w:ascii="Arial" w:hAnsi="Arial" w:cs="Arial"/>
          <w:b/>
        </w:rPr>
      </w:pPr>
    </w:p>
    <w:p w14:paraId="1507F533" w14:textId="36D91D3D"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14:paraId="235752FD" w14:textId="77777777" w:rsidR="00076767" w:rsidRPr="00707F2F" w:rsidRDefault="00076767" w:rsidP="00076767">
      <w:pPr>
        <w:tabs>
          <w:tab w:val="left" w:pos="426"/>
        </w:tabs>
        <w:spacing w:line="360" w:lineRule="auto"/>
        <w:rPr>
          <w:rFonts w:ascii="Arial" w:hAnsi="Arial" w:cs="Arial"/>
          <w:b/>
          <w:bCs/>
          <w:szCs w:val="28"/>
        </w:rPr>
      </w:pPr>
      <w:r w:rsidRPr="00707F2F">
        <w:rPr>
          <w:rFonts w:ascii="Arial" w:hAnsi="Arial" w:cs="Arial"/>
          <w:b/>
          <w:bCs/>
          <w:szCs w:val="28"/>
        </w:rPr>
        <w:lastRenderedPageBreak/>
        <w:t>Egresos</w:t>
      </w:r>
    </w:p>
    <w:p w14:paraId="2E378CEE" w14:textId="77777777" w:rsidR="00076767" w:rsidRPr="00764871" w:rsidRDefault="00076767"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761FA3" w:rsidRPr="009658B6" w14:paraId="0DBDF427"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59102CE4" w:rsidR="00761FA3" w:rsidRPr="009658B6" w:rsidRDefault="00076767" w:rsidP="00F47DD3">
            <w:pPr>
              <w:spacing w:line="276" w:lineRule="auto"/>
              <w:jc w:val="both"/>
              <w:rPr>
                <w:rFonts w:ascii="Arial" w:hAnsi="Arial" w:cs="Arial"/>
                <w:sz w:val="20"/>
                <w:szCs w:val="20"/>
              </w:rPr>
            </w:pPr>
            <w:r w:rsidRPr="00076767">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5A7BE2A4" w:rsidR="00D063F4" w:rsidRPr="009658B6" w:rsidRDefault="0063434C" w:rsidP="00F47DD3">
            <w:pPr>
              <w:spacing w:line="276" w:lineRule="auto"/>
              <w:jc w:val="right"/>
              <w:rPr>
                <w:rFonts w:ascii="Arial" w:hAnsi="Arial" w:cs="Arial"/>
                <w:sz w:val="20"/>
                <w:szCs w:val="20"/>
              </w:rPr>
            </w:pPr>
            <w:r w:rsidRPr="009658B6">
              <w:rPr>
                <w:rFonts w:ascii="Arial" w:hAnsi="Arial" w:cs="Arial"/>
                <w:sz w:val="20"/>
                <w:szCs w:val="20"/>
              </w:rPr>
              <w:t>$</w:t>
            </w:r>
            <w:r w:rsidR="00076767" w:rsidRPr="00076767">
              <w:rPr>
                <w:rFonts w:ascii="Arial" w:hAnsi="Arial" w:cs="Arial"/>
                <w:sz w:val="20"/>
                <w:szCs w:val="20"/>
              </w:rPr>
              <w:t>8</w:t>
            </w:r>
            <w:r w:rsidR="00F47DD3">
              <w:rPr>
                <w:rFonts w:ascii="Arial" w:hAnsi="Arial" w:cs="Arial"/>
                <w:sz w:val="20"/>
                <w:szCs w:val="20"/>
              </w:rPr>
              <w:t>,000.00</w:t>
            </w:r>
            <w:r w:rsidR="00076767" w:rsidRPr="00076767">
              <w:rPr>
                <w:rFonts w:ascii="Arial" w:hAnsi="Arial" w:cs="Arial"/>
                <w:sz w:val="20"/>
                <w:szCs w:val="20"/>
              </w:rPr>
              <w:t xml:space="preserve">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26A16131" w:rsidR="00D063F4" w:rsidRPr="009658B6" w:rsidRDefault="00076767" w:rsidP="00F47DD3">
            <w:pPr>
              <w:spacing w:line="276" w:lineRule="auto"/>
              <w:jc w:val="right"/>
              <w:rPr>
                <w:rFonts w:ascii="Arial" w:hAnsi="Arial" w:cs="Arial"/>
                <w:sz w:val="20"/>
                <w:szCs w:val="20"/>
              </w:rPr>
            </w:pPr>
            <w:r w:rsidRPr="009658B6">
              <w:rPr>
                <w:rFonts w:ascii="Arial" w:hAnsi="Arial" w:cs="Arial"/>
                <w:sz w:val="20"/>
                <w:szCs w:val="20"/>
              </w:rPr>
              <w:t>$</w:t>
            </w:r>
            <w:r w:rsidRPr="00076767">
              <w:rPr>
                <w:rFonts w:ascii="Arial" w:hAnsi="Arial" w:cs="Arial"/>
                <w:sz w:val="20"/>
                <w:szCs w:val="20"/>
              </w:rPr>
              <w:t>8</w:t>
            </w:r>
            <w:r w:rsidR="00F47DD3">
              <w:rPr>
                <w:rFonts w:ascii="Arial" w:hAnsi="Arial" w:cs="Arial"/>
                <w:sz w:val="20"/>
                <w:szCs w:val="20"/>
              </w:rPr>
              <w:t>,000</w:t>
            </w:r>
            <w:r w:rsidRPr="00076767">
              <w:rPr>
                <w:rFonts w:ascii="Arial" w:hAnsi="Arial" w:cs="Arial"/>
                <w:sz w:val="20"/>
                <w:szCs w:val="20"/>
              </w:rPr>
              <w:t>.</w:t>
            </w:r>
            <w:r w:rsidR="00F47DD3">
              <w:rPr>
                <w:rFonts w:ascii="Arial" w:hAnsi="Arial" w:cs="Arial"/>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68ADCB19" w:rsidR="00D063F4" w:rsidRPr="009658B6" w:rsidRDefault="00761FA3" w:rsidP="0017109F">
            <w:pPr>
              <w:spacing w:line="276" w:lineRule="auto"/>
              <w:jc w:val="right"/>
              <w:rPr>
                <w:rFonts w:ascii="Arial" w:hAnsi="Arial" w:cs="Arial"/>
                <w:sz w:val="20"/>
                <w:szCs w:val="20"/>
              </w:rPr>
            </w:pPr>
            <w:r w:rsidRPr="009658B6">
              <w:rPr>
                <w:rFonts w:ascii="Arial" w:hAnsi="Arial" w:cs="Arial"/>
                <w:sz w:val="20"/>
                <w:szCs w:val="20"/>
              </w:rPr>
              <w:t>$</w:t>
            </w:r>
            <w:r w:rsidR="00076767">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0E8F1991" w:rsidR="00D063F4" w:rsidRPr="009658B6" w:rsidRDefault="00761FA3" w:rsidP="00B264BE">
            <w:pPr>
              <w:spacing w:line="276" w:lineRule="auto"/>
              <w:jc w:val="right"/>
              <w:rPr>
                <w:rFonts w:ascii="Arial" w:hAnsi="Arial" w:cs="Arial"/>
                <w:sz w:val="20"/>
                <w:szCs w:val="20"/>
              </w:rPr>
            </w:pPr>
            <w:r w:rsidRPr="009658B6">
              <w:rPr>
                <w:rFonts w:ascii="Arial" w:hAnsi="Arial" w:cs="Arial"/>
                <w:sz w:val="20"/>
                <w:szCs w:val="20"/>
              </w:rPr>
              <w:t>$</w:t>
            </w:r>
            <w:r w:rsidR="00076767">
              <w:rPr>
                <w:rFonts w:ascii="Arial" w:hAnsi="Arial" w:cs="Arial"/>
                <w:sz w:val="20"/>
                <w:szCs w:val="20"/>
              </w:rPr>
              <w:t>0.00</w:t>
            </w:r>
          </w:p>
        </w:tc>
      </w:tr>
      <w:tr w:rsidR="00BD0035" w:rsidRPr="009658B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BD0035" w:rsidRPr="009658B6" w:rsidRDefault="00BD0035" w:rsidP="00BD003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63A931F8" w:rsidR="00BD0035" w:rsidRPr="009658B6" w:rsidRDefault="00BD0035" w:rsidP="00F47DD3">
            <w:pPr>
              <w:spacing w:line="276" w:lineRule="auto"/>
              <w:jc w:val="right"/>
              <w:rPr>
                <w:rFonts w:ascii="Arial" w:hAnsi="Arial" w:cs="Arial"/>
                <w:b/>
                <w:sz w:val="20"/>
                <w:szCs w:val="20"/>
              </w:rPr>
            </w:pPr>
            <w:r w:rsidRPr="009658B6">
              <w:rPr>
                <w:rFonts w:ascii="Arial" w:hAnsi="Arial" w:cs="Arial"/>
                <w:b/>
                <w:sz w:val="20"/>
                <w:szCs w:val="20"/>
              </w:rPr>
              <w:t>$</w:t>
            </w:r>
            <w:r w:rsidR="00076767" w:rsidRPr="00076767">
              <w:rPr>
                <w:rFonts w:ascii="Arial" w:hAnsi="Arial" w:cs="Arial"/>
                <w:b/>
                <w:sz w:val="20"/>
                <w:szCs w:val="20"/>
              </w:rPr>
              <w:t>8,</w:t>
            </w:r>
            <w:r w:rsidR="00F47DD3">
              <w:rPr>
                <w:rFonts w:ascii="Arial" w:hAnsi="Arial" w:cs="Arial"/>
                <w:b/>
                <w:sz w:val="20"/>
                <w:szCs w:val="20"/>
              </w:rPr>
              <w:t>000</w:t>
            </w:r>
            <w:r w:rsidR="00076767" w:rsidRPr="00076767">
              <w:rPr>
                <w:rFonts w:ascii="Arial" w:hAnsi="Arial" w:cs="Arial"/>
                <w:b/>
                <w:sz w:val="20"/>
                <w:szCs w:val="20"/>
              </w:rPr>
              <w:t>.</w:t>
            </w:r>
            <w:r w:rsidR="00F47DD3">
              <w:rPr>
                <w:rFonts w:ascii="Arial" w:hAnsi="Arial" w:cs="Arial"/>
                <w:b/>
                <w:sz w:val="20"/>
                <w:szCs w:val="20"/>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3013EE40" w:rsidR="00BD0035" w:rsidRPr="009658B6" w:rsidRDefault="00076767" w:rsidP="00F47DD3">
            <w:pPr>
              <w:spacing w:line="276" w:lineRule="auto"/>
              <w:jc w:val="right"/>
              <w:rPr>
                <w:rFonts w:ascii="Arial" w:hAnsi="Arial" w:cs="Arial"/>
                <w:sz w:val="20"/>
                <w:szCs w:val="20"/>
              </w:rPr>
            </w:pPr>
            <w:r w:rsidRPr="009658B6">
              <w:rPr>
                <w:rFonts w:ascii="Arial" w:hAnsi="Arial" w:cs="Arial"/>
                <w:b/>
                <w:sz w:val="20"/>
                <w:szCs w:val="20"/>
              </w:rPr>
              <w:t>$</w:t>
            </w:r>
            <w:r w:rsidRPr="00076767">
              <w:rPr>
                <w:rFonts w:ascii="Arial" w:hAnsi="Arial" w:cs="Arial"/>
                <w:b/>
                <w:sz w:val="20"/>
                <w:szCs w:val="20"/>
              </w:rPr>
              <w:t>8,</w:t>
            </w:r>
            <w:r w:rsidR="00F47DD3">
              <w:rPr>
                <w:rFonts w:ascii="Arial" w:hAnsi="Arial" w:cs="Arial"/>
                <w:b/>
                <w:sz w:val="20"/>
                <w:szCs w:val="20"/>
              </w:rPr>
              <w:t>000</w:t>
            </w:r>
            <w:r w:rsidRPr="00076767">
              <w:rPr>
                <w:rFonts w:ascii="Arial" w:hAnsi="Arial" w:cs="Arial"/>
                <w:b/>
                <w:sz w:val="20"/>
                <w:szCs w:val="20"/>
              </w:rPr>
              <w:t>.</w:t>
            </w:r>
            <w:r w:rsidR="00F47DD3">
              <w:rPr>
                <w:rFonts w:ascii="Arial" w:hAnsi="Arial" w:cs="Arial"/>
                <w:b/>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513F2F6D" w:rsidR="00BD0035" w:rsidRPr="009658B6" w:rsidRDefault="00076767" w:rsidP="00076767">
            <w:pPr>
              <w:spacing w:line="276" w:lineRule="auto"/>
              <w:jc w:val="right"/>
              <w:rPr>
                <w:rFonts w:ascii="Arial" w:hAnsi="Arial" w:cs="Arial"/>
                <w:sz w:val="20"/>
                <w:szCs w:val="20"/>
              </w:rPr>
            </w:pPr>
            <w:r w:rsidRPr="00076767">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37B51D13" w:rsidR="00BD0035" w:rsidRPr="009658B6" w:rsidRDefault="00076767" w:rsidP="00076767">
            <w:pPr>
              <w:spacing w:line="276" w:lineRule="auto"/>
              <w:jc w:val="right"/>
              <w:rPr>
                <w:rFonts w:ascii="Arial" w:hAnsi="Arial" w:cs="Arial"/>
                <w:sz w:val="20"/>
                <w:szCs w:val="20"/>
              </w:rPr>
            </w:pPr>
            <w:r w:rsidRPr="00076767">
              <w:rPr>
                <w:rFonts w:ascii="Arial" w:hAnsi="Arial" w:cs="Arial"/>
                <w:b/>
                <w:sz w:val="20"/>
                <w:szCs w:val="20"/>
              </w:rPr>
              <w:t>$0.00</w:t>
            </w:r>
          </w:p>
        </w:tc>
      </w:tr>
    </w:tbl>
    <w:p w14:paraId="723C0DA8" w14:textId="77777777" w:rsidR="00076767" w:rsidRPr="00707F2F" w:rsidRDefault="00076767" w:rsidP="00B93F1F">
      <w:pPr>
        <w:tabs>
          <w:tab w:val="left" w:pos="426"/>
        </w:tabs>
        <w:spacing w:line="360" w:lineRule="auto"/>
        <w:rPr>
          <w:rFonts w:ascii="Arial" w:hAnsi="Arial" w:cs="Arial"/>
          <w:b/>
          <w:bCs/>
          <w:szCs w:val="28"/>
          <w:highlight w:val="yellow"/>
        </w:rPr>
      </w:pPr>
    </w:p>
    <w:p w14:paraId="411201E8" w14:textId="6A3BD785" w:rsidR="00F16F5B" w:rsidRPr="00845B1A" w:rsidRDefault="000A4110"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A4110">
        <w:rPr>
          <w:rFonts w:ascii="Arial" w:hAnsi="Arial" w:cs="Arial"/>
          <w:szCs w:val="28"/>
        </w:rPr>
        <w:t>,</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1B25F25F" w14:textId="3FB801ED" w:rsidR="00AC6E69" w:rsidRDefault="00AC6E69" w:rsidP="00AC6E69">
      <w:pPr>
        <w:tabs>
          <w:tab w:val="left" w:pos="2160"/>
        </w:tabs>
        <w:spacing w:line="360" w:lineRule="auto"/>
        <w:jc w:val="both"/>
        <w:rPr>
          <w:rFonts w:ascii="Arial" w:hAnsi="Arial" w:cs="Arial"/>
        </w:rPr>
      </w:pPr>
    </w:p>
    <w:p w14:paraId="00DD5BE5" w14:textId="64968FAB" w:rsidR="005853B0" w:rsidRDefault="005853B0" w:rsidP="005853B0">
      <w:pPr>
        <w:tabs>
          <w:tab w:val="left" w:pos="426"/>
        </w:tabs>
        <w:spacing w:line="360" w:lineRule="auto"/>
        <w:rPr>
          <w:rFonts w:ascii="Arial" w:hAnsi="Arial" w:cs="Arial"/>
          <w:b/>
          <w:bCs/>
          <w:szCs w:val="28"/>
        </w:rPr>
      </w:pPr>
      <w:r>
        <w:rPr>
          <w:rFonts w:ascii="Arial" w:hAnsi="Arial" w:cs="Arial"/>
          <w:b/>
          <w:bCs/>
          <w:szCs w:val="28"/>
        </w:rPr>
        <w:t>In</w:t>
      </w:r>
      <w:r w:rsidRPr="00707F2F">
        <w:rPr>
          <w:rFonts w:ascii="Arial" w:hAnsi="Arial" w:cs="Arial"/>
          <w:b/>
          <w:bCs/>
          <w:szCs w:val="28"/>
        </w:rPr>
        <w:t>gresos</w:t>
      </w:r>
    </w:p>
    <w:p w14:paraId="7F127EB7" w14:textId="77777777" w:rsidR="00E86EE6" w:rsidRDefault="00E86EE6" w:rsidP="005853B0">
      <w:pPr>
        <w:tabs>
          <w:tab w:val="left" w:pos="426"/>
        </w:tabs>
        <w:spacing w:line="360" w:lineRule="auto"/>
        <w:rPr>
          <w:rFonts w:ascii="Arial" w:hAnsi="Arial" w:cs="Arial"/>
          <w:b/>
          <w:bCs/>
          <w:szCs w:val="2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15"/>
        <w:gridCol w:w="3001"/>
        <w:gridCol w:w="2969"/>
        <w:gridCol w:w="1893"/>
      </w:tblGrid>
      <w:tr w:rsidR="00E86EE6" w14:paraId="53C8E674" w14:textId="77777777" w:rsidTr="00132CF3">
        <w:trPr>
          <w:tblHeader/>
        </w:trPr>
        <w:tc>
          <w:tcPr>
            <w:tcW w:w="93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E1361EA" w14:textId="77777777" w:rsidR="00E86EE6" w:rsidRDefault="00E86EE6" w:rsidP="00C722AB">
            <w:pPr>
              <w:spacing w:line="360" w:lineRule="auto"/>
              <w:jc w:val="center"/>
              <w:rPr>
                <w:rFonts w:ascii="Arial" w:hAnsi="Arial" w:cs="Arial"/>
                <w:b/>
                <w:sz w:val="20"/>
                <w:szCs w:val="20"/>
              </w:rPr>
            </w:pPr>
            <w:r>
              <w:rPr>
                <w:rFonts w:ascii="Arial" w:hAnsi="Arial" w:cs="Arial"/>
                <w:b/>
                <w:sz w:val="20"/>
                <w:szCs w:val="20"/>
              </w:rPr>
              <w:t>Referencia</w:t>
            </w:r>
          </w:p>
        </w:tc>
        <w:tc>
          <w:tcPr>
            <w:tcW w:w="15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8A05B19" w14:textId="411E5D2B" w:rsidR="00E86EE6" w:rsidRDefault="00E86EE6" w:rsidP="00C722AB">
            <w:pPr>
              <w:spacing w:line="360" w:lineRule="auto"/>
              <w:jc w:val="center"/>
              <w:rPr>
                <w:rFonts w:ascii="Arial" w:hAnsi="Arial" w:cs="Arial"/>
                <w:b/>
                <w:sz w:val="20"/>
                <w:szCs w:val="20"/>
              </w:rPr>
            </w:pPr>
            <w:r>
              <w:rPr>
                <w:rFonts w:ascii="Arial" w:hAnsi="Arial" w:cs="Arial"/>
                <w:b/>
                <w:sz w:val="20"/>
                <w:szCs w:val="20"/>
              </w:rPr>
              <w:t>Concepto de la Observación</w:t>
            </w:r>
          </w:p>
        </w:tc>
        <w:tc>
          <w:tcPr>
            <w:tcW w:w="1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FE11D45" w14:textId="77777777" w:rsidR="00E86EE6" w:rsidRDefault="00E86EE6" w:rsidP="00C722AB">
            <w:pPr>
              <w:spacing w:line="360" w:lineRule="auto"/>
              <w:jc w:val="center"/>
              <w:rPr>
                <w:rFonts w:ascii="Arial" w:hAnsi="Arial" w:cs="Arial"/>
                <w:b/>
                <w:sz w:val="20"/>
                <w:szCs w:val="20"/>
              </w:rPr>
            </w:pPr>
            <w:r>
              <w:rPr>
                <w:rFonts w:ascii="Arial" w:hAnsi="Arial" w:cs="Arial"/>
                <w:b/>
                <w:sz w:val="20"/>
                <w:szCs w:val="20"/>
              </w:rPr>
              <w:t>Síntesis de</w:t>
            </w:r>
          </w:p>
          <w:p w14:paraId="4AD3A91F" w14:textId="205FA246" w:rsidR="00E86EE6" w:rsidRDefault="00E86EE6" w:rsidP="00C722AB">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50BD857" w14:textId="15983B13" w:rsidR="00E86EE6" w:rsidRDefault="00E86EE6" w:rsidP="00C722AB">
            <w:pPr>
              <w:spacing w:line="360" w:lineRule="auto"/>
              <w:jc w:val="center"/>
              <w:rPr>
                <w:rFonts w:ascii="Arial" w:hAnsi="Arial" w:cs="Arial"/>
                <w:b/>
                <w:sz w:val="20"/>
                <w:szCs w:val="20"/>
              </w:rPr>
            </w:pPr>
            <w:r>
              <w:rPr>
                <w:rFonts w:ascii="Arial" w:hAnsi="Arial" w:cs="Arial"/>
                <w:b/>
                <w:sz w:val="20"/>
                <w:szCs w:val="20"/>
              </w:rPr>
              <w:t>Acción Promovida/</w:t>
            </w:r>
          </w:p>
          <w:p w14:paraId="0C1EFB4F" w14:textId="299FB208" w:rsidR="00E86EE6" w:rsidRDefault="00E86EE6" w:rsidP="00C722AB">
            <w:pPr>
              <w:spacing w:line="360" w:lineRule="auto"/>
              <w:jc w:val="center"/>
              <w:rPr>
                <w:rFonts w:ascii="Arial" w:hAnsi="Arial" w:cs="Arial"/>
                <w:b/>
                <w:sz w:val="20"/>
                <w:szCs w:val="20"/>
              </w:rPr>
            </w:pPr>
            <w:r>
              <w:rPr>
                <w:rFonts w:ascii="Arial" w:hAnsi="Arial" w:cs="Arial"/>
                <w:b/>
                <w:sz w:val="20"/>
                <w:szCs w:val="20"/>
              </w:rPr>
              <w:t>Recomendación</w:t>
            </w:r>
          </w:p>
          <w:p w14:paraId="22773F6C" w14:textId="53DFCE56" w:rsidR="00E86EE6" w:rsidRDefault="00E86EE6" w:rsidP="00C722AB">
            <w:pPr>
              <w:spacing w:line="360" w:lineRule="auto"/>
              <w:jc w:val="center"/>
              <w:rPr>
                <w:rFonts w:ascii="Arial" w:hAnsi="Arial" w:cs="Arial"/>
                <w:b/>
                <w:sz w:val="20"/>
                <w:szCs w:val="20"/>
              </w:rPr>
            </w:pPr>
          </w:p>
        </w:tc>
      </w:tr>
      <w:tr w:rsidR="00E86EE6" w14:paraId="7895984C" w14:textId="77777777" w:rsidTr="00132CF3">
        <w:trPr>
          <w:trHeight w:val="642"/>
        </w:trPr>
        <w:tc>
          <w:tcPr>
            <w:tcW w:w="93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D3DD046" w14:textId="77777777" w:rsidR="00E86EE6" w:rsidRDefault="00E86EE6" w:rsidP="00C722AB">
            <w:pPr>
              <w:spacing w:line="360" w:lineRule="auto"/>
              <w:jc w:val="center"/>
              <w:rPr>
                <w:rFonts w:ascii="Arial" w:hAnsi="Arial" w:cs="Arial"/>
                <w:sz w:val="16"/>
                <w:szCs w:val="16"/>
              </w:rPr>
            </w:pPr>
          </w:p>
          <w:p w14:paraId="276BE8FE" w14:textId="77777777" w:rsidR="00E86EE6" w:rsidRDefault="00E86EE6" w:rsidP="00C722AB">
            <w:pPr>
              <w:spacing w:line="360" w:lineRule="auto"/>
              <w:jc w:val="center"/>
              <w:rPr>
                <w:rFonts w:ascii="Arial" w:hAnsi="Arial" w:cs="Arial"/>
                <w:sz w:val="16"/>
                <w:szCs w:val="16"/>
              </w:rPr>
            </w:pPr>
            <w:r>
              <w:rPr>
                <w:rFonts w:ascii="Arial" w:hAnsi="Arial" w:cs="Arial"/>
                <w:sz w:val="16"/>
                <w:szCs w:val="16"/>
              </w:rPr>
              <w:t>Resultado :1</w:t>
            </w:r>
          </w:p>
          <w:p w14:paraId="71D630C3" w14:textId="77777777" w:rsidR="00E86EE6" w:rsidRDefault="00E86EE6" w:rsidP="00C722AB">
            <w:pPr>
              <w:spacing w:line="360" w:lineRule="auto"/>
              <w:jc w:val="center"/>
              <w:rPr>
                <w:rFonts w:ascii="Arial" w:hAnsi="Arial" w:cs="Arial"/>
                <w:sz w:val="16"/>
                <w:szCs w:val="16"/>
              </w:rPr>
            </w:pPr>
            <w:r>
              <w:rPr>
                <w:rFonts w:ascii="Arial" w:hAnsi="Arial" w:cs="Arial"/>
                <w:sz w:val="16"/>
                <w:szCs w:val="16"/>
              </w:rPr>
              <w:t>Observación :1</w:t>
            </w:r>
          </w:p>
        </w:tc>
        <w:tc>
          <w:tcPr>
            <w:tcW w:w="15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B0DC9D" w14:textId="4466BF68" w:rsidR="00E86EE6" w:rsidRDefault="0027031A" w:rsidP="00C722AB">
            <w:pPr>
              <w:spacing w:line="360" w:lineRule="auto"/>
              <w:jc w:val="both"/>
              <w:rPr>
                <w:rFonts w:ascii="Arial" w:hAnsi="Arial" w:cs="Arial"/>
                <w:sz w:val="16"/>
                <w:szCs w:val="16"/>
              </w:rPr>
            </w:pPr>
            <w:r>
              <w:rPr>
                <w:rFonts w:ascii="Arial" w:hAnsi="Arial" w:cs="Arial"/>
                <w:sz w:val="16"/>
                <w:szCs w:val="16"/>
              </w:rPr>
              <w:t>Omisiones o inconsistencias en la presentación de información financiera</w:t>
            </w:r>
          </w:p>
        </w:tc>
        <w:tc>
          <w:tcPr>
            <w:tcW w:w="1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AF189" w14:textId="08B9A8AE" w:rsidR="00E86EE6" w:rsidRPr="0027031A" w:rsidRDefault="0027031A" w:rsidP="00C722AB">
            <w:pPr>
              <w:spacing w:line="360" w:lineRule="auto"/>
              <w:ind w:right="190"/>
              <w:jc w:val="both"/>
              <w:rPr>
                <w:rFonts w:ascii="Arial" w:hAnsi="Arial" w:cs="Arial"/>
                <w:sz w:val="16"/>
                <w:szCs w:val="16"/>
              </w:rPr>
            </w:pPr>
            <w:r w:rsidRPr="0027031A">
              <w:rPr>
                <w:rFonts w:ascii="Arial" w:hAnsi="Arial" w:cs="Arial"/>
                <w:sz w:val="16"/>
                <w:szCs w:val="16"/>
              </w:rPr>
              <w:t xml:space="preserve">El ente </w:t>
            </w:r>
            <w:proofErr w:type="spellStart"/>
            <w:r w:rsidRPr="0027031A">
              <w:rPr>
                <w:rFonts w:ascii="Arial" w:hAnsi="Arial" w:cs="Arial"/>
                <w:sz w:val="16"/>
                <w:szCs w:val="16"/>
              </w:rPr>
              <w:t>fiscalizado</w:t>
            </w:r>
            <w:proofErr w:type="spellEnd"/>
            <w:r w:rsidRPr="0027031A">
              <w:rPr>
                <w:rFonts w:ascii="Arial" w:hAnsi="Arial" w:cs="Arial"/>
                <w:sz w:val="16"/>
                <w:szCs w:val="16"/>
              </w:rPr>
              <w:t xml:space="preserve"> entregó oficio número SEQ/DS/SSAF/0007/2021 de fecha</w:t>
            </w:r>
            <w:r w:rsidRPr="0027031A">
              <w:rPr>
                <w:rFonts w:ascii="Arial" w:hAnsi="Arial"/>
                <w:sz w:val="16"/>
                <w:szCs w:val="16"/>
              </w:rPr>
              <w:t xml:space="preserve"> 14 de enero de 2021, en el cual manifiesta y c</w:t>
            </w:r>
            <w:r>
              <w:rPr>
                <w:rFonts w:ascii="Arial" w:hAnsi="Arial"/>
                <w:sz w:val="16"/>
                <w:szCs w:val="16"/>
              </w:rPr>
              <w:t>omprueba mediante documentos</w:t>
            </w:r>
            <w:r w:rsidRPr="0027031A">
              <w:rPr>
                <w:rFonts w:ascii="Arial" w:hAnsi="Arial"/>
                <w:sz w:val="16"/>
                <w:szCs w:val="16"/>
              </w:rPr>
              <w:t xml:space="preserve"> la t</w:t>
            </w:r>
            <w:r w:rsidRPr="0027031A">
              <w:rPr>
                <w:rFonts w:ascii="Arial" w:hAnsi="Arial" w:cs="Arial"/>
                <w:sz w:val="16"/>
                <w:szCs w:val="16"/>
              </w:rPr>
              <w:t>ransferencia de recurso estatal a la Tesorería de la Federación</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65F142B" w14:textId="0AA521E1" w:rsidR="00E86EE6" w:rsidRDefault="0027031A" w:rsidP="00C722AB">
            <w:pPr>
              <w:spacing w:line="360" w:lineRule="auto"/>
              <w:ind w:right="190"/>
              <w:jc w:val="center"/>
              <w:rPr>
                <w:rFonts w:ascii="Arial" w:hAnsi="Arial" w:cs="Arial"/>
                <w:sz w:val="16"/>
                <w:szCs w:val="16"/>
              </w:rPr>
            </w:pPr>
            <w:r>
              <w:rPr>
                <w:rFonts w:ascii="Arial" w:hAnsi="Arial" w:cs="Arial"/>
                <w:sz w:val="16"/>
                <w:szCs w:val="16"/>
              </w:rPr>
              <w:t>Solventada</w:t>
            </w:r>
          </w:p>
        </w:tc>
      </w:tr>
    </w:tbl>
    <w:p w14:paraId="2ADDEE05" w14:textId="77777777" w:rsidR="00E86EE6" w:rsidRPr="00707F2F" w:rsidRDefault="00E86EE6" w:rsidP="005853B0">
      <w:pPr>
        <w:tabs>
          <w:tab w:val="left" w:pos="426"/>
        </w:tabs>
        <w:spacing w:line="360" w:lineRule="auto"/>
        <w:rPr>
          <w:rFonts w:ascii="Arial" w:hAnsi="Arial" w:cs="Arial"/>
          <w:b/>
          <w:bCs/>
          <w:szCs w:val="28"/>
        </w:rPr>
      </w:pPr>
    </w:p>
    <w:p w14:paraId="1379F13B" w14:textId="5E87E775" w:rsidR="00A4088B" w:rsidRDefault="00A4088B" w:rsidP="00A4088B">
      <w:pPr>
        <w:spacing w:line="360" w:lineRule="auto"/>
        <w:ind w:right="190"/>
        <w:jc w:val="both"/>
        <w:rPr>
          <w:rFonts w:ascii="Arial" w:hAnsi="Arial" w:cs="Arial"/>
        </w:rPr>
      </w:pPr>
    </w:p>
    <w:p w14:paraId="4D2CB42D" w14:textId="514B5E00" w:rsidR="005853B0" w:rsidRDefault="005853B0" w:rsidP="005853B0">
      <w:pPr>
        <w:tabs>
          <w:tab w:val="left" w:pos="426"/>
        </w:tabs>
        <w:spacing w:line="360" w:lineRule="auto"/>
        <w:rPr>
          <w:rFonts w:ascii="Arial" w:hAnsi="Arial" w:cs="Arial"/>
          <w:b/>
          <w:bCs/>
          <w:szCs w:val="28"/>
        </w:rPr>
      </w:pPr>
      <w:r w:rsidRPr="00707F2F">
        <w:rPr>
          <w:rFonts w:ascii="Arial" w:hAnsi="Arial" w:cs="Arial"/>
          <w:b/>
          <w:bCs/>
          <w:szCs w:val="28"/>
        </w:rPr>
        <w:lastRenderedPageBreak/>
        <w:t>Egresos</w:t>
      </w:r>
    </w:p>
    <w:p w14:paraId="5361F6B2" w14:textId="77777777" w:rsidR="0027031A" w:rsidRDefault="0027031A" w:rsidP="005853B0">
      <w:pPr>
        <w:tabs>
          <w:tab w:val="left" w:pos="426"/>
        </w:tabs>
        <w:spacing w:line="360" w:lineRule="auto"/>
        <w:rPr>
          <w:rFonts w:ascii="Arial" w:hAnsi="Arial" w:cs="Arial"/>
          <w:b/>
          <w:bCs/>
          <w:szCs w:val="2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48"/>
        <w:gridCol w:w="2988"/>
        <w:gridCol w:w="2867"/>
        <w:gridCol w:w="2075"/>
      </w:tblGrid>
      <w:tr w:rsidR="00132CF3" w14:paraId="6943ED83" w14:textId="77777777" w:rsidTr="00132CF3">
        <w:trPr>
          <w:tblHeader/>
        </w:trPr>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334054C" w14:textId="77777777" w:rsidR="0027031A" w:rsidRDefault="0027031A" w:rsidP="00C722AB">
            <w:pPr>
              <w:spacing w:line="360" w:lineRule="auto"/>
              <w:jc w:val="center"/>
              <w:rPr>
                <w:rFonts w:ascii="Arial" w:hAnsi="Arial" w:cs="Arial"/>
                <w:b/>
                <w:sz w:val="20"/>
                <w:szCs w:val="20"/>
              </w:rPr>
            </w:pPr>
            <w:r>
              <w:rPr>
                <w:rFonts w:ascii="Arial" w:hAnsi="Arial" w:cs="Arial"/>
                <w:b/>
                <w:sz w:val="20"/>
                <w:szCs w:val="20"/>
              </w:rPr>
              <w:t>Referencia</w:t>
            </w:r>
          </w:p>
        </w:tc>
        <w:tc>
          <w:tcPr>
            <w:tcW w:w="15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DBBEE61" w14:textId="3CEF0ED5" w:rsidR="0027031A" w:rsidRDefault="00001029" w:rsidP="00C722AB">
            <w:pPr>
              <w:spacing w:line="360" w:lineRule="auto"/>
              <w:jc w:val="center"/>
              <w:rPr>
                <w:rFonts w:ascii="Arial" w:hAnsi="Arial" w:cs="Arial"/>
                <w:b/>
                <w:sz w:val="20"/>
                <w:szCs w:val="20"/>
              </w:rPr>
            </w:pPr>
            <w:r>
              <w:rPr>
                <w:rFonts w:ascii="Arial" w:hAnsi="Arial" w:cs="Arial"/>
                <w:b/>
                <w:sz w:val="20"/>
                <w:szCs w:val="20"/>
              </w:rPr>
              <w:t>Concepto de la Observación</w:t>
            </w:r>
          </w:p>
        </w:tc>
        <w:tc>
          <w:tcPr>
            <w:tcW w:w="1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45A635" w14:textId="54AF4583" w:rsidR="00001029" w:rsidRDefault="00001029" w:rsidP="00001029">
            <w:pPr>
              <w:spacing w:line="360" w:lineRule="auto"/>
              <w:jc w:val="center"/>
              <w:rPr>
                <w:rFonts w:ascii="Arial" w:hAnsi="Arial" w:cs="Arial"/>
                <w:b/>
                <w:sz w:val="20"/>
                <w:szCs w:val="20"/>
              </w:rPr>
            </w:pPr>
            <w:r>
              <w:rPr>
                <w:rFonts w:ascii="Arial" w:hAnsi="Arial" w:cs="Arial"/>
                <w:b/>
                <w:sz w:val="20"/>
                <w:szCs w:val="20"/>
              </w:rPr>
              <w:t>Síntesis de</w:t>
            </w:r>
          </w:p>
          <w:p w14:paraId="5E3AC2F6" w14:textId="4244E98E" w:rsidR="0027031A" w:rsidRDefault="00001029" w:rsidP="00001029">
            <w:pPr>
              <w:spacing w:line="360" w:lineRule="auto"/>
              <w:jc w:val="center"/>
              <w:rPr>
                <w:rFonts w:ascii="Arial" w:hAnsi="Arial" w:cs="Arial"/>
                <w:b/>
                <w:sz w:val="20"/>
                <w:szCs w:val="20"/>
              </w:rPr>
            </w:pPr>
            <w:r>
              <w:rPr>
                <w:rFonts w:ascii="Arial" w:hAnsi="Arial" w:cs="Arial"/>
                <w:b/>
                <w:sz w:val="20"/>
                <w:szCs w:val="20"/>
              </w:rPr>
              <w:t>Justificaciones y Aclaraciones</w:t>
            </w:r>
          </w:p>
        </w:tc>
        <w:tc>
          <w:tcPr>
            <w:tcW w:w="10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BA44DA7" w14:textId="6813AFAB" w:rsidR="0027031A" w:rsidRDefault="00001029" w:rsidP="00001029">
            <w:pPr>
              <w:spacing w:line="360" w:lineRule="auto"/>
              <w:jc w:val="center"/>
              <w:rPr>
                <w:rFonts w:ascii="Arial" w:hAnsi="Arial" w:cs="Arial"/>
                <w:b/>
                <w:sz w:val="20"/>
                <w:szCs w:val="20"/>
              </w:rPr>
            </w:pPr>
            <w:r>
              <w:rPr>
                <w:rFonts w:ascii="Arial" w:hAnsi="Arial" w:cs="Arial"/>
                <w:b/>
                <w:sz w:val="20"/>
                <w:szCs w:val="20"/>
              </w:rPr>
              <w:t>Acción Promovida/ Recomendación</w:t>
            </w:r>
          </w:p>
        </w:tc>
      </w:tr>
      <w:tr w:rsidR="00132CF3" w14:paraId="4C678C75" w14:textId="77777777" w:rsidTr="00132CF3">
        <w:trPr>
          <w:trHeight w:val="888"/>
        </w:trPr>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FB9F84" w14:textId="77777777" w:rsidR="0027031A" w:rsidRDefault="0027031A" w:rsidP="00C722AB">
            <w:pPr>
              <w:spacing w:line="360" w:lineRule="auto"/>
              <w:jc w:val="center"/>
              <w:rPr>
                <w:rFonts w:ascii="Arial" w:hAnsi="Arial" w:cs="Arial"/>
                <w:sz w:val="16"/>
                <w:szCs w:val="16"/>
              </w:rPr>
            </w:pPr>
            <w:r>
              <w:rPr>
                <w:rFonts w:ascii="Arial" w:hAnsi="Arial" w:cs="Arial"/>
                <w:sz w:val="16"/>
                <w:szCs w:val="16"/>
              </w:rPr>
              <w:t>Resultado :1</w:t>
            </w:r>
          </w:p>
          <w:p w14:paraId="69237E7E" w14:textId="77777777" w:rsidR="0027031A" w:rsidRDefault="0027031A" w:rsidP="00C722AB">
            <w:pPr>
              <w:spacing w:line="360" w:lineRule="auto"/>
              <w:jc w:val="center"/>
              <w:rPr>
                <w:rFonts w:ascii="Arial" w:hAnsi="Arial" w:cs="Arial"/>
                <w:sz w:val="16"/>
                <w:szCs w:val="16"/>
              </w:rPr>
            </w:pPr>
            <w:r>
              <w:rPr>
                <w:rFonts w:ascii="Arial" w:hAnsi="Arial" w:cs="Arial"/>
                <w:sz w:val="16"/>
                <w:szCs w:val="16"/>
              </w:rPr>
              <w:t>Observación :1</w:t>
            </w:r>
          </w:p>
        </w:tc>
        <w:tc>
          <w:tcPr>
            <w:tcW w:w="15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B88536" w14:textId="1872148A" w:rsidR="0027031A" w:rsidRDefault="00427CB5" w:rsidP="00C722AB">
            <w:pPr>
              <w:spacing w:line="360" w:lineRule="auto"/>
              <w:jc w:val="both"/>
              <w:rPr>
                <w:rFonts w:ascii="Arial" w:hAnsi="Arial" w:cs="Arial"/>
                <w:sz w:val="16"/>
                <w:szCs w:val="16"/>
              </w:rPr>
            </w:pPr>
            <w:r w:rsidRPr="00427CB5">
              <w:rPr>
                <w:rFonts w:ascii="Arial" w:hAnsi="Arial" w:cs="Arial"/>
                <w:color w:val="000000"/>
                <w:sz w:val="16"/>
                <w:szCs w:val="16"/>
                <w:lang w:eastAsia="es-MX"/>
              </w:rPr>
              <w:t>Falta de documentación comprobatoria de las erogaciones o que no reúne requisitos fiscales</w:t>
            </w:r>
          </w:p>
        </w:tc>
        <w:tc>
          <w:tcPr>
            <w:tcW w:w="1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DB2F7F" w14:textId="547FEC74" w:rsidR="0027031A" w:rsidRPr="004F5D2B" w:rsidRDefault="004F5D2B" w:rsidP="004F5D2B">
            <w:pPr>
              <w:pStyle w:val="Textoindependiente"/>
              <w:spacing w:line="360" w:lineRule="auto"/>
              <w:rPr>
                <w:rFonts w:ascii="Arial" w:hAnsi="Arial" w:cs="Arial"/>
                <w:sz w:val="16"/>
                <w:szCs w:val="16"/>
              </w:rPr>
            </w:pPr>
            <w:r w:rsidRPr="004F5D2B">
              <w:rPr>
                <w:rFonts w:ascii="Arial" w:hAnsi="Arial" w:cs="Arial"/>
                <w:sz w:val="16"/>
                <w:szCs w:val="16"/>
              </w:rPr>
              <w:t xml:space="preserve">El ente </w:t>
            </w:r>
            <w:proofErr w:type="spellStart"/>
            <w:r w:rsidRPr="004F5D2B">
              <w:rPr>
                <w:rFonts w:ascii="Arial" w:hAnsi="Arial" w:cs="Arial"/>
                <w:sz w:val="16"/>
                <w:szCs w:val="16"/>
              </w:rPr>
              <w:t>fiscalizado</w:t>
            </w:r>
            <w:proofErr w:type="spellEnd"/>
            <w:r w:rsidRPr="004F5D2B">
              <w:rPr>
                <w:rFonts w:ascii="Arial" w:hAnsi="Arial" w:cs="Arial"/>
                <w:sz w:val="16"/>
                <w:szCs w:val="16"/>
              </w:rPr>
              <w:t xml:space="preserve"> entregó oficio número SEQ/DS/SSAF/0007/2021 de fecha</w:t>
            </w:r>
            <w:r w:rsidRPr="004F5D2B">
              <w:rPr>
                <w:rFonts w:ascii="Arial" w:hAnsi="Arial"/>
                <w:sz w:val="16"/>
                <w:szCs w:val="16"/>
              </w:rPr>
              <w:t xml:space="preserve"> 14 de enero de 2021, en el cual manifiesta y comprueba mediante documentos que t</w:t>
            </w:r>
            <w:r w:rsidRPr="004F5D2B">
              <w:rPr>
                <w:rFonts w:ascii="Arial" w:hAnsi="Arial" w:cs="Arial"/>
                <w:sz w:val="16"/>
                <w:szCs w:val="16"/>
              </w:rPr>
              <w:t xml:space="preserve">odos los impuestos, derechos, gastos y demás erogaciones que cause el patrimonio </w:t>
            </w:r>
            <w:proofErr w:type="spellStart"/>
            <w:r w:rsidRPr="004F5D2B">
              <w:rPr>
                <w:rFonts w:ascii="Arial" w:hAnsi="Arial" w:cs="Arial"/>
                <w:sz w:val="16"/>
                <w:szCs w:val="16"/>
              </w:rPr>
              <w:t>fideicomitido</w:t>
            </w:r>
            <w:proofErr w:type="spellEnd"/>
            <w:r w:rsidRPr="004F5D2B">
              <w:rPr>
                <w:rFonts w:ascii="Arial" w:hAnsi="Arial" w:cs="Arial"/>
                <w:sz w:val="16"/>
                <w:szCs w:val="16"/>
              </w:rPr>
              <w:t>, serán por cuenta y a cargo del fideicomitente por tal motivo el comprobante de entero de retención se encuentra en poder del fideicomitente</w:t>
            </w:r>
          </w:p>
        </w:tc>
        <w:tc>
          <w:tcPr>
            <w:tcW w:w="10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BA14E5" w14:textId="70EA0E5B" w:rsidR="0027031A" w:rsidRDefault="004F5D2B" w:rsidP="004F5D2B">
            <w:pPr>
              <w:spacing w:line="360" w:lineRule="auto"/>
              <w:jc w:val="center"/>
              <w:rPr>
                <w:rFonts w:ascii="Arial" w:hAnsi="Arial" w:cs="Arial"/>
                <w:color w:val="000000"/>
                <w:sz w:val="16"/>
                <w:szCs w:val="16"/>
              </w:rPr>
            </w:pPr>
            <w:r>
              <w:rPr>
                <w:rFonts w:ascii="Arial" w:hAnsi="Arial" w:cs="Arial"/>
                <w:color w:val="000000"/>
                <w:sz w:val="16"/>
                <w:szCs w:val="16"/>
              </w:rPr>
              <w:t>Solventada</w:t>
            </w:r>
          </w:p>
          <w:p w14:paraId="22C0757A" w14:textId="77777777" w:rsidR="0027031A" w:rsidRDefault="0027031A" w:rsidP="00C722AB">
            <w:pPr>
              <w:spacing w:line="360" w:lineRule="auto"/>
              <w:jc w:val="right"/>
              <w:rPr>
                <w:rFonts w:ascii="Arial" w:hAnsi="Arial" w:cs="Arial"/>
                <w:color w:val="000000"/>
                <w:sz w:val="16"/>
                <w:szCs w:val="16"/>
              </w:rPr>
            </w:pPr>
          </w:p>
        </w:tc>
      </w:tr>
      <w:tr w:rsidR="00132CF3" w14:paraId="67BC8B11" w14:textId="77777777" w:rsidTr="00132CF3">
        <w:trPr>
          <w:trHeight w:val="888"/>
        </w:trPr>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B8434C1" w14:textId="77777777" w:rsidR="0027031A" w:rsidRDefault="0027031A" w:rsidP="00C722AB">
            <w:pPr>
              <w:spacing w:line="360" w:lineRule="auto"/>
              <w:jc w:val="center"/>
              <w:rPr>
                <w:rFonts w:ascii="Arial" w:hAnsi="Arial" w:cs="Arial"/>
                <w:sz w:val="16"/>
                <w:szCs w:val="16"/>
              </w:rPr>
            </w:pPr>
            <w:r>
              <w:rPr>
                <w:rFonts w:ascii="Arial" w:hAnsi="Arial" w:cs="Arial"/>
                <w:sz w:val="16"/>
                <w:szCs w:val="16"/>
              </w:rPr>
              <w:t>Resultado :2</w:t>
            </w:r>
          </w:p>
          <w:p w14:paraId="59E89831" w14:textId="77777777" w:rsidR="0027031A" w:rsidRDefault="0027031A" w:rsidP="00C722AB">
            <w:pPr>
              <w:spacing w:line="360" w:lineRule="auto"/>
              <w:jc w:val="center"/>
              <w:rPr>
                <w:rFonts w:ascii="Arial" w:hAnsi="Arial" w:cs="Arial"/>
                <w:sz w:val="16"/>
                <w:szCs w:val="16"/>
              </w:rPr>
            </w:pPr>
            <w:r>
              <w:rPr>
                <w:rFonts w:ascii="Arial" w:hAnsi="Arial" w:cs="Arial"/>
                <w:sz w:val="16"/>
                <w:szCs w:val="16"/>
              </w:rPr>
              <w:t>Observación :2</w:t>
            </w:r>
          </w:p>
        </w:tc>
        <w:tc>
          <w:tcPr>
            <w:tcW w:w="15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D7195E" w14:textId="0B8BF122" w:rsidR="0027031A" w:rsidRDefault="00427CB5" w:rsidP="00C722AB">
            <w:pPr>
              <w:spacing w:line="360" w:lineRule="auto"/>
              <w:ind w:right="190"/>
              <w:jc w:val="both"/>
              <w:rPr>
                <w:rFonts w:ascii="Arial" w:hAnsi="Arial" w:cs="Arial"/>
                <w:sz w:val="16"/>
                <w:szCs w:val="16"/>
              </w:rPr>
            </w:pPr>
            <w:r w:rsidRPr="00427CB5">
              <w:rPr>
                <w:rFonts w:ascii="Arial" w:hAnsi="Arial" w:cs="Arial"/>
                <w:sz w:val="16"/>
                <w:szCs w:val="16"/>
              </w:rPr>
              <w:t xml:space="preserve">Operaciones o bienes no registrados o registrados errónea o extemporáneamente   </w:t>
            </w:r>
          </w:p>
        </w:tc>
        <w:tc>
          <w:tcPr>
            <w:tcW w:w="1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F4ED4F" w14:textId="5FD4C1D9" w:rsidR="0027031A" w:rsidRPr="004F5D2B" w:rsidRDefault="004F5D2B" w:rsidP="004F5D2B">
            <w:pPr>
              <w:tabs>
                <w:tab w:val="left" w:pos="1040"/>
              </w:tabs>
              <w:spacing w:line="360" w:lineRule="auto"/>
              <w:jc w:val="both"/>
              <w:rPr>
                <w:rFonts w:ascii="Arial" w:hAnsi="Arial" w:cs="Arial"/>
                <w:sz w:val="16"/>
                <w:szCs w:val="16"/>
              </w:rPr>
            </w:pPr>
            <w:r w:rsidRPr="004F5D2B">
              <w:rPr>
                <w:rFonts w:ascii="Arial" w:hAnsi="Arial" w:cs="Arial"/>
                <w:sz w:val="16"/>
                <w:szCs w:val="16"/>
              </w:rPr>
              <w:t xml:space="preserve">El ente </w:t>
            </w:r>
            <w:proofErr w:type="spellStart"/>
            <w:r w:rsidRPr="004F5D2B">
              <w:rPr>
                <w:rFonts w:ascii="Arial" w:hAnsi="Arial" w:cs="Arial"/>
                <w:sz w:val="16"/>
                <w:szCs w:val="16"/>
              </w:rPr>
              <w:t>fiscalizado</w:t>
            </w:r>
            <w:proofErr w:type="spellEnd"/>
            <w:r w:rsidRPr="004F5D2B">
              <w:rPr>
                <w:rFonts w:ascii="Arial" w:hAnsi="Arial" w:cs="Arial"/>
                <w:sz w:val="16"/>
                <w:szCs w:val="16"/>
              </w:rPr>
              <w:t xml:space="preserve"> entregó oficio número SEQ/DS/SSAF/0007/2021 de fecha</w:t>
            </w:r>
            <w:r w:rsidRPr="004F5D2B">
              <w:rPr>
                <w:rFonts w:ascii="Arial" w:hAnsi="Arial"/>
                <w:sz w:val="16"/>
                <w:szCs w:val="16"/>
              </w:rPr>
              <w:t xml:space="preserve"> 14 de enero de 2021, en el cual manifiesta y comprueba mediante </w:t>
            </w:r>
            <w:r w:rsidRPr="004F5D2B">
              <w:rPr>
                <w:rFonts w:ascii="Arial" w:hAnsi="Arial" w:cs="Arial"/>
                <w:color w:val="000000"/>
                <w:sz w:val="16"/>
                <w:szCs w:val="16"/>
                <w:lang w:eastAsia="es-MX"/>
              </w:rPr>
              <w:t>oficio No. 23.S.1/SEQ/OS/SSAF/DB/0049/2020 de fecha 23 de septiembre de 2020 que los equipos de cómputo fueron puestos a disposición de la Secretaría de Educación</w:t>
            </w:r>
          </w:p>
        </w:tc>
        <w:tc>
          <w:tcPr>
            <w:tcW w:w="10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40D874" w14:textId="21BC3F5A" w:rsidR="0027031A" w:rsidRDefault="004F5D2B" w:rsidP="00C722AB">
            <w:pPr>
              <w:spacing w:line="360" w:lineRule="auto"/>
              <w:jc w:val="center"/>
              <w:rPr>
                <w:rFonts w:ascii="Arial" w:hAnsi="Arial" w:cs="Arial"/>
                <w:color w:val="000000"/>
                <w:sz w:val="16"/>
                <w:szCs w:val="16"/>
              </w:rPr>
            </w:pPr>
            <w:r>
              <w:rPr>
                <w:rFonts w:ascii="Arial" w:hAnsi="Arial" w:cs="Arial"/>
                <w:color w:val="000000"/>
                <w:sz w:val="16"/>
                <w:szCs w:val="16"/>
              </w:rPr>
              <w:t>Solventada</w:t>
            </w:r>
          </w:p>
        </w:tc>
      </w:tr>
      <w:tr w:rsidR="00132CF3" w14:paraId="64B49FAA" w14:textId="77777777" w:rsidTr="00132CF3">
        <w:trPr>
          <w:trHeight w:val="888"/>
        </w:trPr>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2FFC78" w14:textId="77777777" w:rsidR="0027031A" w:rsidRDefault="0027031A" w:rsidP="00C722AB">
            <w:pPr>
              <w:spacing w:line="360" w:lineRule="auto"/>
              <w:jc w:val="center"/>
              <w:rPr>
                <w:rFonts w:ascii="Arial" w:hAnsi="Arial" w:cs="Arial"/>
                <w:sz w:val="16"/>
                <w:szCs w:val="16"/>
              </w:rPr>
            </w:pPr>
            <w:r>
              <w:rPr>
                <w:rFonts w:ascii="Arial" w:hAnsi="Arial" w:cs="Arial"/>
                <w:sz w:val="16"/>
                <w:szCs w:val="16"/>
              </w:rPr>
              <w:t>Resultado :3</w:t>
            </w:r>
          </w:p>
          <w:p w14:paraId="16F553A6" w14:textId="77777777" w:rsidR="0027031A" w:rsidRDefault="0027031A" w:rsidP="00C722AB">
            <w:pPr>
              <w:spacing w:line="360" w:lineRule="auto"/>
              <w:jc w:val="center"/>
              <w:rPr>
                <w:rFonts w:ascii="Arial" w:hAnsi="Arial" w:cs="Arial"/>
                <w:sz w:val="16"/>
                <w:szCs w:val="16"/>
              </w:rPr>
            </w:pPr>
            <w:r>
              <w:rPr>
                <w:rFonts w:ascii="Arial" w:hAnsi="Arial" w:cs="Arial"/>
                <w:sz w:val="16"/>
                <w:szCs w:val="16"/>
              </w:rPr>
              <w:t>Observación :3</w:t>
            </w:r>
          </w:p>
        </w:tc>
        <w:tc>
          <w:tcPr>
            <w:tcW w:w="15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96C8CA" w14:textId="21E22017" w:rsidR="0027031A" w:rsidRDefault="002757C7" w:rsidP="00C722AB">
            <w:pPr>
              <w:spacing w:line="360" w:lineRule="auto"/>
              <w:ind w:right="190"/>
              <w:jc w:val="both"/>
              <w:rPr>
                <w:rFonts w:ascii="Arial" w:hAnsi="Arial" w:cs="Arial"/>
                <w:sz w:val="16"/>
                <w:szCs w:val="16"/>
              </w:rPr>
            </w:pPr>
            <w:r>
              <w:rPr>
                <w:rFonts w:ascii="Arial" w:hAnsi="Arial" w:cs="Arial"/>
                <w:sz w:val="16"/>
                <w:szCs w:val="16"/>
              </w:rPr>
              <w:t>Omisiones o inconsistencias en la presentación de información financiera</w:t>
            </w:r>
          </w:p>
          <w:p w14:paraId="1FA1E425" w14:textId="77777777" w:rsidR="0027031A" w:rsidRDefault="0027031A" w:rsidP="00C722AB">
            <w:pPr>
              <w:spacing w:line="360" w:lineRule="auto"/>
              <w:ind w:right="190"/>
              <w:jc w:val="both"/>
              <w:rPr>
                <w:rFonts w:ascii="Arial" w:hAnsi="Arial" w:cs="Arial"/>
                <w:sz w:val="16"/>
                <w:szCs w:val="16"/>
              </w:rPr>
            </w:pPr>
          </w:p>
        </w:tc>
        <w:tc>
          <w:tcPr>
            <w:tcW w:w="1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A1B76D" w14:textId="54FA917F" w:rsidR="0027031A" w:rsidRPr="00A510A0" w:rsidRDefault="00A510A0" w:rsidP="00A510A0">
            <w:pPr>
              <w:spacing w:line="360" w:lineRule="auto"/>
              <w:ind w:right="190"/>
              <w:jc w:val="both"/>
              <w:rPr>
                <w:rFonts w:ascii="Arial" w:hAnsi="Arial" w:cs="Arial"/>
                <w:sz w:val="16"/>
                <w:szCs w:val="16"/>
              </w:rPr>
            </w:pPr>
            <w:r w:rsidRPr="00A510A0">
              <w:rPr>
                <w:rFonts w:ascii="Arial" w:hAnsi="Arial" w:cs="Arial"/>
                <w:sz w:val="16"/>
                <w:szCs w:val="16"/>
              </w:rPr>
              <w:t xml:space="preserve">El ente </w:t>
            </w:r>
            <w:proofErr w:type="spellStart"/>
            <w:r w:rsidRPr="00A510A0">
              <w:rPr>
                <w:rFonts w:ascii="Arial" w:hAnsi="Arial" w:cs="Arial"/>
                <w:sz w:val="16"/>
                <w:szCs w:val="16"/>
              </w:rPr>
              <w:t>fiscalizado</w:t>
            </w:r>
            <w:proofErr w:type="spellEnd"/>
            <w:r w:rsidRPr="00A510A0">
              <w:rPr>
                <w:rFonts w:ascii="Arial" w:hAnsi="Arial" w:cs="Arial"/>
                <w:sz w:val="16"/>
                <w:szCs w:val="16"/>
              </w:rPr>
              <w:t xml:space="preserve"> entregó oficio número SEQ/DS/SSAF/0007/2021 de fecha</w:t>
            </w:r>
            <w:r w:rsidRPr="00A510A0">
              <w:rPr>
                <w:rFonts w:ascii="Arial" w:hAnsi="Arial"/>
                <w:sz w:val="16"/>
                <w:szCs w:val="16"/>
              </w:rPr>
              <w:t xml:space="preserve"> 14 de enero de 2021, en el cual manifiesta y comprueba mediante documentos que </w:t>
            </w:r>
            <w:r w:rsidRPr="00A510A0">
              <w:rPr>
                <w:rFonts w:ascii="Arial" w:hAnsi="Arial" w:cs="Arial"/>
                <w:sz w:val="16"/>
                <w:szCs w:val="16"/>
              </w:rPr>
              <w:t xml:space="preserve">la elaboración y entrega del dictamen correspondiente, es del 17 de diciembre del 2018 al 17 de marzo </w:t>
            </w:r>
            <w:r w:rsidRPr="00A510A0">
              <w:rPr>
                <w:rFonts w:ascii="Arial" w:hAnsi="Arial" w:cs="Arial"/>
                <w:sz w:val="16"/>
                <w:szCs w:val="16"/>
              </w:rPr>
              <w:lastRenderedPageBreak/>
              <w:t>del 2019 y el pago se hará previa presen</w:t>
            </w:r>
            <w:r>
              <w:rPr>
                <w:rFonts w:ascii="Arial" w:hAnsi="Arial" w:cs="Arial"/>
                <w:sz w:val="16"/>
                <w:szCs w:val="16"/>
              </w:rPr>
              <w:t>tación de la factura</w:t>
            </w:r>
          </w:p>
        </w:tc>
        <w:tc>
          <w:tcPr>
            <w:tcW w:w="10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10695FC" w14:textId="191FEA30" w:rsidR="0027031A" w:rsidRDefault="00A510A0" w:rsidP="00C722AB">
            <w:pPr>
              <w:spacing w:line="360" w:lineRule="auto"/>
              <w:jc w:val="center"/>
              <w:rPr>
                <w:rFonts w:ascii="Arial" w:hAnsi="Arial" w:cs="Arial"/>
                <w:color w:val="000000"/>
                <w:sz w:val="16"/>
                <w:szCs w:val="16"/>
              </w:rPr>
            </w:pPr>
            <w:r>
              <w:rPr>
                <w:rFonts w:ascii="Arial" w:hAnsi="Arial" w:cs="Arial"/>
                <w:color w:val="000000"/>
                <w:sz w:val="16"/>
                <w:szCs w:val="16"/>
              </w:rPr>
              <w:lastRenderedPageBreak/>
              <w:t>Solventada</w:t>
            </w:r>
          </w:p>
        </w:tc>
      </w:tr>
    </w:tbl>
    <w:p w14:paraId="0EDB6CD2" w14:textId="28E0B30A" w:rsidR="0027031A" w:rsidRDefault="0027031A" w:rsidP="005853B0">
      <w:pPr>
        <w:tabs>
          <w:tab w:val="left" w:pos="426"/>
        </w:tabs>
        <w:spacing w:line="360" w:lineRule="auto"/>
        <w:rPr>
          <w:rFonts w:ascii="Arial" w:hAnsi="Arial" w:cs="Arial"/>
          <w:b/>
          <w:bCs/>
          <w:szCs w:val="28"/>
        </w:rPr>
      </w:pPr>
    </w:p>
    <w:bookmarkEnd w:id="13"/>
    <w:p w14:paraId="6424A28D" w14:textId="51509D6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231361">
        <w:rPr>
          <w:rFonts w:ascii="Arial" w:hAnsi="Arial" w:cs="Arial"/>
          <w:b/>
        </w:rPr>
        <w:t>I</w:t>
      </w:r>
      <w:r w:rsidR="00183532">
        <w:rPr>
          <w:rFonts w:ascii="Arial" w:hAnsi="Arial" w:cs="Arial"/>
          <w:b/>
        </w:rPr>
        <w:t xml:space="preserve">. </w:t>
      </w:r>
      <w:r w:rsidR="00C71ABB">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7B601BF5"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00D463B6" w:rsidRPr="001E10E9">
        <w:rPr>
          <w:rFonts w:ascii="Arial" w:hAnsi="Arial" w:cs="Arial"/>
        </w:rPr>
        <w:t xml:space="preserve">emite el </w:t>
      </w:r>
      <w:r w:rsidR="00651E28">
        <w:rPr>
          <w:rFonts w:ascii="Arial" w:hAnsi="Arial" w:cs="Arial"/>
        </w:rPr>
        <w:t>21</w:t>
      </w:r>
      <w:r w:rsidR="008E60F3">
        <w:rPr>
          <w:rFonts w:ascii="Arial" w:hAnsi="Arial" w:cs="Arial"/>
        </w:rPr>
        <w:t xml:space="preserve"> </w:t>
      </w:r>
      <w:r w:rsidR="00D463B6" w:rsidRPr="001E10E9">
        <w:rPr>
          <w:rFonts w:ascii="Arial" w:hAnsi="Arial" w:cs="Arial"/>
        </w:rPr>
        <w:t>de enero de 2021</w:t>
      </w:r>
      <w:r w:rsidRPr="001E10E9">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D463B6">
        <w:rPr>
          <w:rFonts w:ascii="Arial" w:hAnsi="Arial" w:cs="Arial"/>
          <w:bCs/>
        </w:rPr>
        <w:t>2019</w:t>
      </w:r>
      <w:r w:rsidRPr="00E024A3">
        <w:rPr>
          <w:rFonts w:ascii="Arial" w:hAnsi="Arial" w:cs="Arial"/>
        </w:rPr>
        <w:t>, formulados,</w:t>
      </w:r>
      <w:r w:rsidR="00D463B6">
        <w:rPr>
          <w:rFonts w:ascii="Arial" w:hAnsi="Arial" w:cs="Arial"/>
        </w:rPr>
        <w:t xml:space="preserve"> integrados y presentados por el</w:t>
      </w:r>
      <w:r w:rsidRPr="00E024A3">
        <w:rPr>
          <w:rFonts w:ascii="Arial" w:hAnsi="Arial" w:cs="Arial"/>
        </w:rPr>
        <w:t xml:space="preserve"> </w:t>
      </w:r>
      <w:r w:rsidR="00D463B6">
        <w:rPr>
          <w:rFonts w:ascii="Arial" w:hAnsi="Arial" w:cs="Arial"/>
          <w:b/>
          <w:bCs/>
        </w:rPr>
        <w:t>Fideicomiso</w:t>
      </w:r>
      <w:r w:rsidR="00D463B6">
        <w:rPr>
          <w:rFonts w:ascii="Arial" w:hAnsi="Arial" w:cs="Arial"/>
          <w:bCs/>
        </w:rPr>
        <w:t xml:space="preserve"> </w:t>
      </w:r>
      <w:r w:rsidR="00D463B6">
        <w:rPr>
          <w:rFonts w:ascii="Arial" w:hAnsi="Arial" w:cs="Arial"/>
          <w:b/>
          <w:bCs/>
        </w:rPr>
        <w:t>del</w:t>
      </w:r>
      <w:r w:rsidR="00D463B6">
        <w:rPr>
          <w:rFonts w:ascii="Arial" w:hAnsi="Arial" w:cs="Arial"/>
          <w:bCs/>
        </w:rPr>
        <w:t xml:space="preserve"> </w:t>
      </w:r>
      <w:r w:rsidR="00D463B6">
        <w:rPr>
          <w:rFonts w:ascii="Arial" w:hAnsi="Arial" w:cs="Arial"/>
          <w:b/>
          <w:bCs/>
        </w:rPr>
        <w:t>Programa Nacional de Becas de Educación Superior Manutención</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257D88B6" w14:textId="77BD5300" w:rsidR="008E60F3" w:rsidRDefault="008E60F3" w:rsidP="008E60F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A87C67">
        <w:rPr>
          <w:rFonts w:ascii="Arial" w:hAnsi="Arial" w:cs="Arial"/>
        </w:rPr>
        <w:t>base en</w:t>
      </w:r>
      <w:r w:rsidRPr="00E024A3">
        <w:rPr>
          <w:rFonts w:ascii="Arial" w:hAnsi="Arial" w:cs="Arial"/>
        </w:rPr>
        <w:t xml:space="preserve"> la normatividad de la materia y los </w:t>
      </w:r>
      <w:r w:rsidRPr="00E024A3">
        <w:rPr>
          <w:rFonts w:ascii="Arial" w:hAnsi="Arial" w:cs="Arial"/>
        </w:rPr>
        <w:lastRenderedPageBreak/>
        <w:t xml:space="preserve">Postulados Básicos de Contabilidad Gubernamental. </w:t>
      </w:r>
      <w:r w:rsidRPr="00B12E9D">
        <w:rPr>
          <w:rFonts w:ascii="Arial" w:hAnsi="Arial" w:cs="Arial"/>
        </w:rPr>
        <w:t>Al realizar sus auditorías el personal fiscalizador debe elegir y aplicar las acciones y procedimientos de fiscalización que, conforme a su competencia técnica y profesional sean apropiados para el encargo de auditor</w:t>
      </w:r>
      <w:r>
        <w:rPr>
          <w:rFonts w:ascii="Arial" w:hAnsi="Arial" w:cs="Arial"/>
        </w:rPr>
        <w:t>í</w:t>
      </w:r>
      <w:r w:rsidRPr="00B12E9D">
        <w:rPr>
          <w:rFonts w:ascii="Arial" w:hAnsi="Arial" w:cs="Arial"/>
        </w:rPr>
        <w:t>a, incluida la evaluación de los riesgos de irregularidad financiera y la materialidad en los estados contables y presupuestarios</w:t>
      </w:r>
      <w:r w:rsidRPr="00E024A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526179E" w14:textId="77777777" w:rsidR="008E60F3" w:rsidRPr="00E024A3" w:rsidRDefault="008E60F3" w:rsidP="008E60F3">
      <w:pPr>
        <w:spacing w:line="360" w:lineRule="auto"/>
        <w:ind w:right="190"/>
        <w:jc w:val="both"/>
        <w:rPr>
          <w:rFonts w:ascii="Arial" w:hAnsi="Arial" w:cs="Arial"/>
        </w:rPr>
      </w:pPr>
    </w:p>
    <w:p w14:paraId="50D89236" w14:textId="4A5CDCC9" w:rsidR="00E024A3" w:rsidRDefault="00E024A3" w:rsidP="00E024A3">
      <w:pPr>
        <w:spacing w:line="360" w:lineRule="auto"/>
        <w:ind w:right="190"/>
        <w:jc w:val="both"/>
        <w:rPr>
          <w:rFonts w:ascii="Arial" w:hAnsi="Arial" w:cs="Arial"/>
        </w:rPr>
      </w:pPr>
      <w:r w:rsidRPr="00E024A3">
        <w:rPr>
          <w:rFonts w:ascii="Arial" w:hAnsi="Arial" w:cs="Arial"/>
        </w:rPr>
        <w:t>Con base en los resultados obtenidos</w:t>
      </w:r>
      <w:r w:rsidR="00D463B6">
        <w:rPr>
          <w:rFonts w:ascii="Arial" w:hAnsi="Arial" w:cs="Arial"/>
        </w:rPr>
        <w:t xml:space="preserve"> en la auditoría practicada al </w:t>
      </w:r>
      <w:r w:rsidR="00D463B6">
        <w:rPr>
          <w:rFonts w:ascii="Arial" w:hAnsi="Arial" w:cs="Arial"/>
          <w:b/>
          <w:bCs/>
        </w:rPr>
        <w:t>Fideicomiso</w:t>
      </w:r>
      <w:r w:rsidR="00D463B6">
        <w:rPr>
          <w:rFonts w:ascii="Arial" w:hAnsi="Arial" w:cs="Arial"/>
          <w:bCs/>
        </w:rPr>
        <w:t xml:space="preserve"> </w:t>
      </w:r>
      <w:r w:rsidR="00D463B6">
        <w:rPr>
          <w:rFonts w:ascii="Arial" w:hAnsi="Arial" w:cs="Arial"/>
          <w:b/>
          <w:bCs/>
        </w:rPr>
        <w:t>del</w:t>
      </w:r>
      <w:r w:rsidR="00D463B6">
        <w:rPr>
          <w:rFonts w:ascii="Arial" w:hAnsi="Arial" w:cs="Arial"/>
          <w:bCs/>
        </w:rPr>
        <w:t xml:space="preserve"> </w:t>
      </w:r>
      <w:r w:rsidR="00D463B6">
        <w:rPr>
          <w:rFonts w:ascii="Arial" w:hAnsi="Arial" w:cs="Arial"/>
          <w:b/>
          <w:bCs/>
        </w:rPr>
        <w:t>Programa Nacional de Becas de Educación Superior Manutención</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D463B6" w:rsidRPr="00D463B6">
        <w:rPr>
          <w:rFonts w:ascii="Arial" w:hAnsi="Arial" w:cs="Arial"/>
          <w:b/>
        </w:rPr>
        <w:t>19-AEMF-D-GOB-108-127</w:t>
      </w:r>
      <w:r w:rsidR="00D463B6">
        <w:rPr>
          <w:rFonts w:ascii="Arial" w:hAnsi="Arial" w:cs="Arial"/>
        </w:rPr>
        <w:t xml:space="preserve">, </w:t>
      </w:r>
      <w:r w:rsidRPr="00E024A3">
        <w:rPr>
          <w:rFonts w:ascii="Arial" w:hAnsi="Arial" w:cs="Arial"/>
        </w:rPr>
        <w:t xml:space="preserve">denominada </w:t>
      </w:r>
      <w:r w:rsidR="00D463B6" w:rsidRPr="00D463B6">
        <w:rPr>
          <w:rFonts w:ascii="Arial" w:hAnsi="Arial" w:cs="Arial"/>
          <w:bCs/>
        </w:rPr>
        <w:t>“</w:t>
      </w:r>
      <w:r w:rsidR="00D463B6" w:rsidRPr="00D463B6">
        <w:rPr>
          <w:rFonts w:ascii="Arial" w:hAnsi="Arial" w:cs="Arial"/>
        </w:rPr>
        <w:t>Auditoría de Cumplimiento Financiero de Ingresos y Otros Beneficios; Gastos y Otras Pérdidas</w:t>
      </w:r>
      <w:r w:rsidR="00D463B6" w:rsidRPr="00D463B6">
        <w:rPr>
          <w:rFonts w:ascii="Arial" w:hAnsi="Arial" w:cs="Arial"/>
          <w:bCs/>
        </w:rPr>
        <w:t>”</w:t>
      </w:r>
      <w:r w:rsidRPr="00E024A3">
        <w:rPr>
          <w:rFonts w:ascii="Arial" w:hAnsi="Arial" w:cs="Arial"/>
        </w:rPr>
        <w:t xml:space="preserve"> cuyo objetivo fue </w:t>
      </w:r>
      <w:r w:rsidR="00753049">
        <w:rPr>
          <w:rFonts w:ascii="Arial" w:hAnsi="Arial" w:cs="Arial"/>
          <w:bCs/>
        </w:rPr>
        <w:t>f</w:t>
      </w:r>
      <w:r w:rsidR="00B0593F" w:rsidRPr="00277614">
        <w:rPr>
          <w:rFonts w:ascii="Arial" w:hAnsi="Arial" w:cs="Arial"/>
          <w:bCs/>
        </w:rPr>
        <w:t>iscalizar la gestión financiera para comprobar el cump</w:t>
      </w:r>
      <w:r w:rsidR="00753049">
        <w:rPr>
          <w:rFonts w:ascii="Arial" w:hAnsi="Arial" w:cs="Arial"/>
          <w:bCs/>
        </w:rPr>
        <w:t>limiento de lo dispuesto en la L</w:t>
      </w:r>
      <w:r w:rsidR="00B0593F" w:rsidRPr="00277614">
        <w:rPr>
          <w:rFonts w:ascii="Arial" w:hAnsi="Arial" w:cs="Arial"/>
          <w:bCs/>
        </w:rPr>
        <w:t>ey de Ingresos y el Presupuesto de Egresos, y demás disposiciones legales aplicables, en cuanto a los ingresos y gastos públicos, incluyendo la revisión del manejo, custodia y aplicación de los recursos públicos estatales, así como de las demás información financiera, contable, presupuestaria, patrimonial y programática, conforme a las disposiciones aplicables</w:t>
      </w:r>
      <w:r w:rsidR="00B0593F">
        <w:rPr>
          <w:rFonts w:ascii="Arial" w:hAnsi="Arial" w:cs="Arial"/>
          <w:bCs/>
        </w:rPr>
        <w:t xml:space="preserve"> </w:t>
      </w:r>
      <w:r w:rsidRPr="00E024A3">
        <w:rPr>
          <w:rFonts w:ascii="Arial" w:hAnsi="Arial" w:cs="Arial"/>
        </w:rPr>
        <w:t xml:space="preserve">para verificar </w:t>
      </w:r>
      <w:r w:rsidR="00B0593F">
        <w:rPr>
          <w:rFonts w:ascii="Arial" w:hAnsi="Arial" w:cs="Arial"/>
        </w:rPr>
        <w:t>que el presupuesto asignado</w:t>
      </w:r>
      <w:r w:rsidRPr="00E024A3">
        <w:rPr>
          <w:rFonts w:ascii="Arial" w:hAnsi="Arial" w:cs="Arial"/>
        </w:rPr>
        <w:t xml:space="preserve"> </w:t>
      </w:r>
      <w:r w:rsidR="00B0593F">
        <w:rPr>
          <w:rFonts w:ascii="Arial" w:hAnsi="Arial" w:cs="Arial"/>
        </w:rPr>
        <w:t xml:space="preserve">al </w:t>
      </w:r>
      <w:r w:rsidR="00B0593F">
        <w:rPr>
          <w:rFonts w:ascii="Arial" w:hAnsi="Arial" w:cs="Arial"/>
          <w:b/>
          <w:bCs/>
        </w:rPr>
        <w:t>Fideicomiso</w:t>
      </w:r>
      <w:r w:rsidR="00B0593F">
        <w:rPr>
          <w:rFonts w:ascii="Arial" w:hAnsi="Arial" w:cs="Arial"/>
          <w:bCs/>
        </w:rPr>
        <w:t xml:space="preserve"> </w:t>
      </w:r>
      <w:r w:rsidR="00B0593F">
        <w:rPr>
          <w:rFonts w:ascii="Arial" w:hAnsi="Arial" w:cs="Arial"/>
          <w:b/>
          <w:bCs/>
        </w:rPr>
        <w:t>del</w:t>
      </w:r>
      <w:r w:rsidR="00B0593F">
        <w:rPr>
          <w:rFonts w:ascii="Arial" w:hAnsi="Arial" w:cs="Arial"/>
          <w:bCs/>
        </w:rPr>
        <w:t xml:space="preserve"> </w:t>
      </w:r>
      <w:r w:rsidR="00B0593F">
        <w:rPr>
          <w:rFonts w:ascii="Arial" w:hAnsi="Arial" w:cs="Arial"/>
          <w:b/>
          <w:bCs/>
        </w:rPr>
        <w:t>Programa Nacional de Becas de Educación Superior Manutención</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B0593F">
        <w:rPr>
          <w:rFonts w:ascii="Arial" w:hAnsi="Arial" w:cs="Arial"/>
        </w:rPr>
        <w:lastRenderedPageBreak/>
        <w:t xml:space="preserve">el </w:t>
      </w:r>
      <w:r w:rsidR="00B0593F">
        <w:rPr>
          <w:rFonts w:ascii="Arial" w:hAnsi="Arial" w:cs="Arial"/>
          <w:b/>
          <w:bCs/>
        </w:rPr>
        <w:t>Fideicomiso</w:t>
      </w:r>
      <w:r w:rsidR="00B0593F">
        <w:rPr>
          <w:rFonts w:ascii="Arial" w:hAnsi="Arial" w:cs="Arial"/>
          <w:bCs/>
        </w:rPr>
        <w:t xml:space="preserve"> </w:t>
      </w:r>
      <w:r w:rsidR="00B0593F">
        <w:rPr>
          <w:rFonts w:ascii="Arial" w:hAnsi="Arial" w:cs="Arial"/>
          <w:b/>
          <w:bCs/>
        </w:rPr>
        <w:t>del</w:t>
      </w:r>
      <w:r w:rsidR="00B0593F">
        <w:rPr>
          <w:rFonts w:ascii="Arial" w:hAnsi="Arial" w:cs="Arial"/>
          <w:bCs/>
        </w:rPr>
        <w:t xml:space="preserve"> </w:t>
      </w:r>
      <w:r w:rsidR="00B0593F">
        <w:rPr>
          <w:rFonts w:ascii="Arial" w:hAnsi="Arial" w:cs="Arial"/>
          <w:b/>
          <w:bCs/>
        </w:rPr>
        <w:t>Programa Nacional de Becas de Educación Superior Manutención,</w:t>
      </w:r>
      <w:r w:rsidRPr="00E024A3">
        <w:rPr>
          <w:rFonts w:ascii="Arial" w:hAnsi="Arial" w:cs="Arial"/>
        </w:rPr>
        <w:t xml:space="preserve"> cumplió con las disposiciones legales y normativas que son aplicables en la materia</w:t>
      </w:r>
      <w:r w:rsidR="008E60F3">
        <w:rPr>
          <w:rFonts w:ascii="Arial" w:hAnsi="Arial" w:cs="Arial"/>
        </w:rPr>
        <w:t>.</w:t>
      </w:r>
    </w:p>
    <w:p w14:paraId="3086BE01" w14:textId="77777777" w:rsidR="008E60F3" w:rsidRPr="00E024A3" w:rsidRDefault="008E60F3" w:rsidP="00E024A3">
      <w:pPr>
        <w:spacing w:line="360" w:lineRule="auto"/>
        <w:ind w:right="190"/>
        <w:jc w:val="both"/>
        <w:rPr>
          <w:rFonts w:ascii="Arial" w:hAnsi="Arial" w:cs="Arial"/>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53B686DA" w14:textId="77777777" w:rsidR="00B0593F" w:rsidRDefault="00B0593F" w:rsidP="00B0593F">
      <w:pPr>
        <w:ind w:right="190"/>
        <w:jc w:val="center"/>
        <w:rPr>
          <w:rFonts w:ascii="Arial" w:hAnsi="Arial" w:cs="Arial"/>
          <w:b/>
        </w:rPr>
      </w:pPr>
      <w:r>
        <w:rPr>
          <w:rFonts w:ascii="Arial" w:hAnsi="Arial" w:cs="Arial"/>
          <w:b/>
        </w:rPr>
        <w:t>L.C.C. MANUEL PALACIOS HERRERA</w:t>
      </w:r>
    </w:p>
    <w:p w14:paraId="1C6046AB" w14:textId="77777777" w:rsidR="00B0593F" w:rsidRDefault="00B0593F" w:rsidP="00B0593F">
      <w:pPr>
        <w:ind w:right="190"/>
        <w:jc w:val="both"/>
        <w:rPr>
          <w:rFonts w:ascii="Arial" w:hAnsi="Arial" w:cs="Arial"/>
          <w:b/>
        </w:rPr>
      </w:pPr>
    </w:p>
    <w:p w14:paraId="3FD1A34B" w14:textId="35F9EFD6" w:rsidR="00B0593F" w:rsidRDefault="00B0593F" w:rsidP="00B0593F">
      <w:pPr>
        <w:rPr>
          <w:rFonts w:ascii="Arial" w:hAnsi="Arial" w:cs="Arial"/>
          <w:b/>
        </w:rPr>
      </w:pPr>
    </w:p>
    <w:p w14:paraId="5072A8B4" w14:textId="2ADC6574" w:rsidR="006817C6" w:rsidRDefault="006817C6" w:rsidP="00B0593F">
      <w:pPr>
        <w:rPr>
          <w:rFonts w:ascii="Arial" w:hAnsi="Arial" w:cs="Arial"/>
          <w:b/>
        </w:rPr>
      </w:pPr>
    </w:p>
    <w:p w14:paraId="642CE6AF" w14:textId="59435785" w:rsidR="006817C6" w:rsidRDefault="006817C6" w:rsidP="00B0593F">
      <w:pPr>
        <w:rPr>
          <w:rFonts w:ascii="Arial" w:hAnsi="Arial" w:cs="Arial"/>
          <w:b/>
        </w:rPr>
      </w:pPr>
    </w:p>
    <w:p w14:paraId="07816BB3" w14:textId="0C88367E" w:rsidR="006817C6" w:rsidRDefault="006817C6" w:rsidP="00B0593F">
      <w:pPr>
        <w:rPr>
          <w:rFonts w:ascii="Arial" w:hAnsi="Arial" w:cs="Arial"/>
          <w:b/>
        </w:rPr>
      </w:pPr>
    </w:p>
    <w:p w14:paraId="609F266F" w14:textId="2545BB1F" w:rsidR="006817C6" w:rsidRDefault="006817C6" w:rsidP="00B0593F">
      <w:pPr>
        <w:rPr>
          <w:rFonts w:ascii="Arial" w:hAnsi="Arial" w:cs="Arial"/>
          <w:b/>
        </w:rPr>
      </w:pPr>
    </w:p>
    <w:p w14:paraId="7F2867BA" w14:textId="3EDEB982" w:rsidR="006817C6" w:rsidRDefault="006817C6" w:rsidP="00B0593F">
      <w:pPr>
        <w:rPr>
          <w:rFonts w:ascii="Arial" w:hAnsi="Arial" w:cs="Arial"/>
          <w:b/>
        </w:rPr>
      </w:pPr>
    </w:p>
    <w:p w14:paraId="017F76AA" w14:textId="39282996" w:rsidR="006817C6" w:rsidRDefault="006817C6" w:rsidP="00B0593F">
      <w:pPr>
        <w:rPr>
          <w:rFonts w:ascii="Arial" w:hAnsi="Arial" w:cs="Arial"/>
          <w:b/>
        </w:rPr>
      </w:pPr>
    </w:p>
    <w:p w14:paraId="54D02374" w14:textId="255E1A69" w:rsidR="006817C6" w:rsidRDefault="006817C6" w:rsidP="00B0593F">
      <w:pPr>
        <w:rPr>
          <w:rFonts w:ascii="Arial" w:hAnsi="Arial" w:cs="Arial"/>
          <w:b/>
        </w:rPr>
      </w:pPr>
    </w:p>
    <w:p w14:paraId="26280776" w14:textId="3A3F7EC0" w:rsidR="006817C6" w:rsidRDefault="006817C6" w:rsidP="00B0593F">
      <w:pPr>
        <w:rPr>
          <w:rFonts w:ascii="Arial" w:hAnsi="Arial" w:cs="Arial"/>
          <w:b/>
        </w:rPr>
      </w:pPr>
    </w:p>
    <w:p w14:paraId="30EE5422" w14:textId="055DE9B2" w:rsidR="006817C6" w:rsidRDefault="006817C6" w:rsidP="00B0593F">
      <w:pPr>
        <w:rPr>
          <w:rFonts w:ascii="Arial" w:hAnsi="Arial" w:cs="Arial"/>
          <w:b/>
        </w:rPr>
      </w:pPr>
    </w:p>
    <w:p w14:paraId="7EDB16BF" w14:textId="77777777" w:rsidR="006817C6" w:rsidRDefault="006817C6" w:rsidP="00B0593F">
      <w:pPr>
        <w:rPr>
          <w:rFonts w:ascii="Arial" w:hAnsi="Arial" w:cs="Arial"/>
          <w:b/>
        </w:rPr>
      </w:pPr>
    </w:p>
    <w:sectPr w:rsidR="006817C6"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0123" w14:textId="77777777" w:rsidR="002A2363" w:rsidRDefault="002A2363">
      <w:r>
        <w:separator/>
      </w:r>
    </w:p>
  </w:endnote>
  <w:endnote w:type="continuationSeparator" w:id="0">
    <w:p w14:paraId="793BD549" w14:textId="77777777" w:rsidR="002A2363" w:rsidRDefault="002A2363">
      <w:r>
        <w:continuationSeparator/>
      </w:r>
    </w:p>
  </w:endnote>
  <w:endnote w:type="continuationNotice" w:id="1">
    <w:p w14:paraId="447CFCFF" w14:textId="77777777" w:rsidR="002A2363" w:rsidRDefault="002A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DBDF" w14:textId="1709EE08" w:rsidR="002A2363" w:rsidRDefault="002A2363">
    <w:pPr>
      <w:pStyle w:val="Piedepgina"/>
    </w:pPr>
  </w:p>
  <w:tbl>
    <w:tblPr>
      <w:tblW w:w="9360" w:type="dxa"/>
      <w:tblBorders>
        <w:bottom w:val="thickThinSmallGap" w:sz="24" w:space="0" w:color="auto"/>
      </w:tblBorders>
      <w:tblLook w:val="04A0" w:firstRow="1" w:lastRow="0" w:firstColumn="1" w:lastColumn="0" w:noHBand="0" w:noVBand="1"/>
    </w:tblPr>
    <w:tblGrid>
      <w:gridCol w:w="9360"/>
    </w:tblGrid>
    <w:tr w:rsidR="002A2363" w:rsidRPr="00D875E2" w14:paraId="2663F41C" w14:textId="77777777" w:rsidTr="00AA4EDF">
      <w:trPr>
        <w:trHeight w:val="344"/>
      </w:trPr>
      <w:tc>
        <w:tcPr>
          <w:tcW w:w="9360" w:type="dxa"/>
          <w:shd w:val="clear" w:color="auto" w:fill="auto"/>
        </w:tcPr>
        <w:p w14:paraId="2268B7E8" w14:textId="77777777" w:rsidR="002A2363" w:rsidRPr="00D875E2" w:rsidRDefault="002A2363" w:rsidP="00A40F40">
          <w:pPr>
            <w:rPr>
              <w:rStyle w:val="nfasis"/>
              <w:i w:val="0"/>
              <w:iCs w:val="0"/>
            </w:rPr>
          </w:pPr>
        </w:p>
      </w:tc>
    </w:tr>
  </w:tbl>
  <w:p w14:paraId="63988BD2" w14:textId="3F8D6AC9" w:rsidR="002A2363" w:rsidRPr="00880D13" w:rsidRDefault="002A2363" w:rsidP="00A40F40">
    <w:pPr>
      <w:pStyle w:val="Piedepgina"/>
      <w:jc w:val="center"/>
      <w:rPr>
        <w:rFonts w:ascii="Arial" w:hAnsi="Arial" w:cs="Arial"/>
        <w:b/>
        <w:sz w:val="18"/>
        <w:szCs w:val="18"/>
      </w:rPr>
    </w:pP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02793">
      <w:rPr>
        <w:rFonts w:ascii="Arial" w:hAnsi="Arial" w:cs="Arial"/>
        <w:b/>
        <w:bCs/>
        <w:noProof/>
        <w:sz w:val="18"/>
        <w:szCs w:val="18"/>
        <w:lang w:val="es-ES"/>
      </w:rPr>
      <w:t>11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02793">
      <w:rPr>
        <w:rFonts w:ascii="Arial" w:hAnsi="Arial" w:cs="Arial"/>
        <w:b/>
        <w:bCs/>
        <w:noProof/>
        <w:sz w:val="18"/>
        <w:szCs w:val="18"/>
        <w:lang w:val="es-ES"/>
      </w:rPr>
      <w:t>21</w:t>
    </w:r>
    <w:r>
      <w:rPr>
        <w:rFonts w:ascii="Arial" w:hAnsi="Arial" w:cs="Arial"/>
        <w:b/>
        <w:bCs/>
        <w:sz w:val="18"/>
        <w:szCs w:val="18"/>
        <w:lang w:val="es-ES"/>
      </w:rPr>
      <w:fldChar w:fldCharType="end"/>
    </w:r>
  </w:p>
  <w:p w14:paraId="71630208" w14:textId="6BB02F68" w:rsidR="002A2363" w:rsidRDefault="006817C6" w:rsidP="006817C6">
    <w:pPr>
      <w:pStyle w:val="Piedepgina"/>
      <w:tabs>
        <w:tab w:val="clear" w:pos="4419"/>
        <w:tab w:val="clear" w:pos="8838"/>
        <w:tab w:val="left" w:pos="7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1DBC" w14:textId="77777777" w:rsidR="002A2363" w:rsidRDefault="002A2363">
      <w:r>
        <w:separator/>
      </w:r>
    </w:p>
  </w:footnote>
  <w:footnote w:type="continuationSeparator" w:id="0">
    <w:p w14:paraId="451C2DDD" w14:textId="77777777" w:rsidR="002A2363" w:rsidRDefault="002A2363">
      <w:r>
        <w:continuationSeparator/>
      </w:r>
    </w:p>
  </w:footnote>
  <w:footnote w:type="continuationNotice" w:id="1">
    <w:p w14:paraId="6F23FEDB" w14:textId="77777777" w:rsidR="002A2363" w:rsidRDefault="002A23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BA26" w14:textId="111BCB30" w:rsidR="002A2363" w:rsidRDefault="002A2363">
    <w:pPr>
      <w:pStyle w:val="Encabezado"/>
    </w:pPr>
  </w:p>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A2363" w:rsidRPr="006F757C" w14:paraId="0DBDFB47" w14:textId="77777777" w:rsidTr="00AA4EDF">
      <w:tc>
        <w:tcPr>
          <w:tcW w:w="2055" w:type="dxa"/>
          <w:vAlign w:val="center"/>
        </w:tcPr>
        <w:p w14:paraId="0899309B" w14:textId="77777777" w:rsidR="002A2363" w:rsidRPr="00CF3DF4" w:rsidRDefault="002A2363" w:rsidP="00A40F40">
          <w:pPr>
            <w:tabs>
              <w:tab w:val="center" w:pos="4419"/>
              <w:tab w:val="right" w:pos="8838"/>
            </w:tabs>
            <w:jc w:val="center"/>
            <w:rPr>
              <w:rFonts w:ascii="Arial" w:hAnsi="Arial" w:cs="Arial"/>
              <w:noProof/>
              <w:sz w:val="18"/>
              <w:szCs w:val="18"/>
              <w:lang w:eastAsia="es-MX"/>
            </w:rPr>
          </w:pPr>
        </w:p>
      </w:tc>
      <w:tc>
        <w:tcPr>
          <w:tcW w:w="5457" w:type="dxa"/>
          <w:vAlign w:val="center"/>
        </w:tcPr>
        <w:p w14:paraId="77EA53E4" w14:textId="77777777" w:rsidR="002A2363" w:rsidRPr="00CF3DF4" w:rsidRDefault="002A2363" w:rsidP="00A40F40">
          <w:pPr>
            <w:tabs>
              <w:tab w:val="center" w:pos="4419"/>
              <w:tab w:val="right" w:pos="8838"/>
            </w:tabs>
            <w:jc w:val="center"/>
            <w:rPr>
              <w:rFonts w:ascii="Arial" w:hAnsi="Arial" w:cs="Arial"/>
              <w:sz w:val="18"/>
              <w:szCs w:val="18"/>
            </w:rPr>
          </w:pPr>
        </w:p>
      </w:tc>
      <w:tc>
        <w:tcPr>
          <w:tcW w:w="2030" w:type="dxa"/>
          <w:vAlign w:val="center"/>
        </w:tcPr>
        <w:p w14:paraId="73A14AC2" w14:textId="3C551FCA" w:rsidR="002A2363" w:rsidRPr="00207E4F" w:rsidRDefault="002A2363" w:rsidP="00A40F40">
          <w:pPr>
            <w:tabs>
              <w:tab w:val="center" w:pos="4419"/>
              <w:tab w:val="right" w:pos="8838"/>
            </w:tabs>
            <w:jc w:val="right"/>
            <w:rPr>
              <w:rFonts w:ascii="Arial" w:hAnsi="Arial" w:cs="Arial"/>
              <w:noProof/>
              <w:sz w:val="16"/>
              <w:szCs w:val="16"/>
              <w:highlight w:val="magenta"/>
              <w:lang w:eastAsia="es-MX"/>
            </w:rPr>
          </w:pPr>
        </w:p>
      </w:tc>
    </w:tr>
    <w:tr w:rsidR="002A2363" w:rsidRPr="003316E8" w14:paraId="7BF31939" w14:textId="77777777" w:rsidTr="00AA4EDF">
      <w:tc>
        <w:tcPr>
          <w:tcW w:w="2055" w:type="dxa"/>
          <w:vAlign w:val="center"/>
          <w:hideMark/>
        </w:tcPr>
        <w:p w14:paraId="4C5D7D94" w14:textId="77777777" w:rsidR="002A2363" w:rsidRPr="003316E8" w:rsidRDefault="002A2363" w:rsidP="00A40F40">
          <w:pPr>
            <w:tabs>
              <w:tab w:val="center" w:pos="4419"/>
              <w:tab w:val="right" w:pos="8838"/>
            </w:tabs>
            <w:jc w:val="center"/>
          </w:pPr>
          <w:r>
            <w:rPr>
              <w:noProof/>
              <w:lang w:eastAsia="es-MX"/>
            </w:rPr>
            <w:drawing>
              <wp:inline distT="0" distB="0" distL="0" distR="0" wp14:anchorId="1C38D5A1" wp14:editId="4B68362A">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9A765BE" w14:textId="77777777" w:rsidR="002A2363" w:rsidRDefault="002A2363" w:rsidP="00A40F40">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5F6EEBB" w14:textId="77777777" w:rsidR="002A2363" w:rsidRPr="003316E8" w:rsidRDefault="002A2363" w:rsidP="00A40F40">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4D316B6D" w14:textId="77777777" w:rsidR="002A2363" w:rsidRPr="003316E8" w:rsidRDefault="002A2363" w:rsidP="00A40F40">
          <w:pPr>
            <w:tabs>
              <w:tab w:val="center" w:pos="4419"/>
              <w:tab w:val="right" w:pos="8838"/>
            </w:tabs>
            <w:jc w:val="center"/>
          </w:pPr>
          <w:r w:rsidRPr="00004915">
            <w:rPr>
              <w:rFonts w:ascii="Algerian" w:hAnsi="Algerian"/>
              <w:noProof/>
              <w:sz w:val="40"/>
              <w:szCs w:val="40"/>
              <w:lang w:eastAsia="es-MX"/>
            </w:rPr>
            <w:drawing>
              <wp:inline distT="0" distB="0" distL="0" distR="0" wp14:anchorId="77F2B754" wp14:editId="35701C0F">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A2363" w:rsidRPr="003316E8" w14:paraId="3998210E" w14:textId="77777777" w:rsidTr="00AA4EDF">
      <w:tc>
        <w:tcPr>
          <w:tcW w:w="2055" w:type="dxa"/>
          <w:tcBorders>
            <w:top w:val="nil"/>
            <w:left w:val="nil"/>
            <w:bottom w:val="thinThickSmallGap" w:sz="24" w:space="0" w:color="auto"/>
            <w:right w:val="nil"/>
          </w:tcBorders>
        </w:tcPr>
        <w:p w14:paraId="381B9DBD" w14:textId="77777777" w:rsidR="002A2363" w:rsidRPr="003316E8" w:rsidRDefault="002A2363" w:rsidP="00A40F40">
          <w:pPr>
            <w:tabs>
              <w:tab w:val="center" w:pos="4419"/>
              <w:tab w:val="right" w:pos="8838"/>
            </w:tabs>
            <w:rPr>
              <w:sz w:val="10"/>
            </w:rPr>
          </w:pPr>
        </w:p>
      </w:tc>
      <w:tc>
        <w:tcPr>
          <w:tcW w:w="5457" w:type="dxa"/>
          <w:tcBorders>
            <w:top w:val="nil"/>
            <w:left w:val="nil"/>
            <w:bottom w:val="thinThickSmallGap" w:sz="24" w:space="0" w:color="auto"/>
            <w:right w:val="nil"/>
          </w:tcBorders>
        </w:tcPr>
        <w:p w14:paraId="167F2338" w14:textId="77777777" w:rsidR="002A2363" w:rsidRPr="003316E8" w:rsidRDefault="002A2363" w:rsidP="00A40F40">
          <w:pPr>
            <w:tabs>
              <w:tab w:val="center" w:pos="4419"/>
              <w:tab w:val="right" w:pos="8838"/>
            </w:tabs>
            <w:rPr>
              <w:sz w:val="10"/>
            </w:rPr>
          </w:pPr>
        </w:p>
      </w:tc>
      <w:tc>
        <w:tcPr>
          <w:tcW w:w="2030" w:type="dxa"/>
          <w:tcBorders>
            <w:top w:val="nil"/>
            <w:left w:val="nil"/>
            <w:bottom w:val="thinThickSmallGap" w:sz="24" w:space="0" w:color="auto"/>
            <w:right w:val="nil"/>
          </w:tcBorders>
        </w:tcPr>
        <w:p w14:paraId="2676E0BB" w14:textId="77777777" w:rsidR="002A2363" w:rsidRPr="003316E8" w:rsidRDefault="002A2363" w:rsidP="00A40F40">
          <w:pPr>
            <w:tabs>
              <w:tab w:val="center" w:pos="4419"/>
              <w:tab w:val="right" w:pos="8838"/>
            </w:tabs>
            <w:rPr>
              <w:sz w:val="10"/>
            </w:rPr>
          </w:pPr>
        </w:p>
      </w:tc>
    </w:tr>
  </w:tbl>
  <w:p w14:paraId="6624B9C8" w14:textId="77777777" w:rsidR="002A2363" w:rsidRDefault="002A2363" w:rsidP="00A40F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029"/>
    <w:rsid w:val="000013D6"/>
    <w:rsid w:val="00001B26"/>
    <w:rsid w:val="00002793"/>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83A"/>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B38"/>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76767"/>
    <w:rsid w:val="00076E9B"/>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110"/>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38"/>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B4D"/>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312"/>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2CF3"/>
    <w:rsid w:val="00133431"/>
    <w:rsid w:val="001337A2"/>
    <w:rsid w:val="001337C0"/>
    <w:rsid w:val="00134690"/>
    <w:rsid w:val="00134D2A"/>
    <w:rsid w:val="00134FD5"/>
    <w:rsid w:val="00135BFA"/>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84A"/>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752"/>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E08"/>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0E9"/>
    <w:rsid w:val="001E1110"/>
    <w:rsid w:val="001E14EB"/>
    <w:rsid w:val="001E1969"/>
    <w:rsid w:val="001E22C9"/>
    <w:rsid w:val="001E265B"/>
    <w:rsid w:val="001E2770"/>
    <w:rsid w:val="001E2A3B"/>
    <w:rsid w:val="001E3689"/>
    <w:rsid w:val="001E3738"/>
    <w:rsid w:val="001E37A3"/>
    <w:rsid w:val="001E3994"/>
    <w:rsid w:val="001E3B4F"/>
    <w:rsid w:val="001E4E41"/>
    <w:rsid w:val="001E4F01"/>
    <w:rsid w:val="001E5090"/>
    <w:rsid w:val="001E5C60"/>
    <w:rsid w:val="001E6721"/>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361"/>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05A"/>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6C7"/>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31A"/>
    <w:rsid w:val="002709E5"/>
    <w:rsid w:val="00270DA6"/>
    <w:rsid w:val="00270F70"/>
    <w:rsid w:val="0027217E"/>
    <w:rsid w:val="002726EA"/>
    <w:rsid w:val="00273381"/>
    <w:rsid w:val="00273ADE"/>
    <w:rsid w:val="00273FE0"/>
    <w:rsid w:val="00274721"/>
    <w:rsid w:val="00274B95"/>
    <w:rsid w:val="002757C7"/>
    <w:rsid w:val="0027585B"/>
    <w:rsid w:val="00276249"/>
    <w:rsid w:val="0027664F"/>
    <w:rsid w:val="0027694B"/>
    <w:rsid w:val="00277614"/>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363"/>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3CFF"/>
    <w:rsid w:val="002C436F"/>
    <w:rsid w:val="002C4539"/>
    <w:rsid w:val="002C4621"/>
    <w:rsid w:val="002C497B"/>
    <w:rsid w:val="002C4A4A"/>
    <w:rsid w:val="002C4A6E"/>
    <w:rsid w:val="002C4CC3"/>
    <w:rsid w:val="002C5103"/>
    <w:rsid w:val="002C51E0"/>
    <w:rsid w:val="002C589A"/>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FD2"/>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559"/>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BF9"/>
    <w:rsid w:val="003103D7"/>
    <w:rsid w:val="00310537"/>
    <w:rsid w:val="0031062A"/>
    <w:rsid w:val="00310E18"/>
    <w:rsid w:val="00311191"/>
    <w:rsid w:val="00311477"/>
    <w:rsid w:val="00311F6E"/>
    <w:rsid w:val="003123A5"/>
    <w:rsid w:val="00312F28"/>
    <w:rsid w:val="00313971"/>
    <w:rsid w:val="00313CE5"/>
    <w:rsid w:val="00313D64"/>
    <w:rsid w:val="00313DBE"/>
    <w:rsid w:val="00313F60"/>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6"/>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2795"/>
    <w:rsid w:val="003D2AE6"/>
    <w:rsid w:val="003D3CC6"/>
    <w:rsid w:val="003D3F0F"/>
    <w:rsid w:val="003D45FB"/>
    <w:rsid w:val="003D4F9C"/>
    <w:rsid w:val="003D5AE3"/>
    <w:rsid w:val="003D6FFF"/>
    <w:rsid w:val="003D707B"/>
    <w:rsid w:val="003D7DB9"/>
    <w:rsid w:val="003E04BC"/>
    <w:rsid w:val="003E13AB"/>
    <w:rsid w:val="003E1C25"/>
    <w:rsid w:val="003E21CF"/>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3D"/>
    <w:rsid w:val="00403D69"/>
    <w:rsid w:val="004043C5"/>
    <w:rsid w:val="00405378"/>
    <w:rsid w:val="00405F9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186"/>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4D0E"/>
    <w:rsid w:val="00425646"/>
    <w:rsid w:val="00426049"/>
    <w:rsid w:val="00426116"/>
    <w:rsid w:val="004264EA"/>
    <w:rsid w:val="00427CB5"/>
    <w:rsid w:val="00430423"/>
    <w:rsid w:val="004307A4"/>
    <w:rsid w:val="004309AE"/>
    <w:rsid w:val="0043136A"/>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1EF"/>
    <w:rsid w:val="00462880"/>
    <w:rsid w:val="00462D52"/>
    <w:rsid w:val="00463144"/>
    <w:rsid w:val="00463490"/>
    <w:rsid w:val="00463500"/>
    <w:rsid w:val="00465032"/>
    <w:rsid w:val="00465301"/>
    <w:rsid w:val="004659D2"/>
    <w:rsid w:val="00465C62"/>
    <w:rsid w:val="0046694F"/>
    <w:rsid w:val="0046696E"/>
    <w:rsid w:val="004669D7"/>
    <w:rsid w:val="00466B89"/>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26FF"/>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3CA"/>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B85"/>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2B"/>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3B0"/>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70C"/>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D33"/>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75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27E"/>
    <w:rsid w:val="005F0344"/>
    <w:rsid w:val="005F0750"/>
    <w:rsid w:val="005F0944"/>
    <w:rsid w:val="005F095C"/>
    <w:rsid w:val="005F0AE5"/>
    <w:rsid w:val="005F14C1"/>
    <w:rsid w:val="005F165E"/>
    <w:rsid w:val="005F2095"/>
    <w:rsid w:val="005F2252"/>
    <w:rsid w:val="005F25D1"/>
    <w:rsid w:val="005F2EF4"/>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5AD"/>
    <w:rsid w:val="00650C21"/>
    <w:rsid w:val="00650C5E"/>
    <w:rsid w:val="00651618"/>
    <w:rsid w:val="00651791"/>
    <w:rsid w:val="00651E28"/>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05B"/>
    <w:rsid w:val="006751C8"/>
    <w:rsid w:val="00675996"/>
    <w:rsid w:val="00675A34"/>
    <w:rsid w:val="00675F09"/>
    <w:rsid w:val="00676AAB"/>
    <w:rsid w:val="006771F3"/>
    <w:rsid w:val="006772F4"/>
    <w:rsid w:val="00677BD9"/>
    <w:rsid w:val="0068044E"/>
    <w:rsid w:val="00680478"/>
    <w:rsid w:val="00680DD8"/>
    <w:rsid w:val="00680EAC"/>
    <w:rsid w:val="006817C6"/>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CC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29FD"/>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5C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4C7"/>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049"/>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77F76"/>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7B8"/>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1B9"/>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2DD"/>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5E6"/>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338"/>
    <w:rsid w:val="008C4B28"/>
    <w:rsid w:val="008C4CC3"/>
    <w:rsid w:val="008C4F37"/>
    <w:rsid w:val="008C51DB"/>
    <w:rsid w:val="008C537B"/>
    <w:rsid w:val="008C5C98"/>
    <w:rsid w:val="008C6AF0"/>
    <w:rsid w:val="008C6C5D"/>
    <w:rsid w:val="008C74BC"/>
    <w:rsid w:val="008C7630"/>
    <w:rsid w:val="008C76D7"/>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469"/>
    <w:rsid w:val="008E55C9"/>
    <w:rsid w:val="008E5C54"/>
    <w:rsid w:val="008E60F3"/>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3C9D"/>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2342"/>
    <w:rsid w:val="009B3D00"/>
    <w:rsid w:val="009B4893"/>
    <w:rsid w:val="009B4E4E"/>
    <w:rsid w:val="009B53F9"/>
    <w:rsid w:val="009B5637"/>
    <w:rsid w:val="009B5E10"/>
    <w:rsid w:val="009B5F73"/>
    <w:rsid w:val="009B6450"/>
    <w:rsid w:val="009B6B3E"/>
    <w:rsid w:val="009B6D92"/>
    <w:rsid w:val="009B7120"/>
    <w:rsid w:val="009B7613"/>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BF8"/>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7F7"/>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CF4"/>
    <w:rsid w:val="00A4088B"/>
    <w:rsid w:val="00A4090A"/>
    <w:rsid w:val="00A409D1"/>
    <w:rsid w:val="00A40CA8"/>
    <w:rsid w:val="00A40F40"/>
    <w:rsid w:val="00A40F4D"/>
    <w:rsid w:val="00A42B82"/>
    <w:rsid w:val="00A432D5"/>
    <w:rsid w:val="00A44215"/>
    <w:rsid w:val="00A44295"/>
    <w:rsid w:val="00A44365"/>
    <w:rsid w:val="00A447B9"/>
    <w:rsid w:val="00A447CD"/>
    <w:rsid w:val="00A44A21"/>
    <w:rsid w:val="00A4502F"/>
    <w:rsid w:val="00A450E9"/>
    <w:rsid w:val="00A46B73"/>
    <w:rsid w:val="00A46D62"/>
    <w:rsid w:val="00A477C4"/>
    <w:rsid w:val="00A47A75"/>
    <w:rsid w:val="00A47BDC"/>
    <w:rsid w:val="00A5017C"/>
    <w:rsid w:val="00A50216"/>
    <w:rsid w:val="00A510A0"/>
    <w:rsid w:val="00A513F7"/>
    <w:rsid w:val="00A520CE"/>
    <w:rsid w:val="00A52C15"/>
    <w:rsid w:val="00A52C74"/>
    <w:rsid w:val="00A538FE"/>
    <w:rsid w:val="00A53A90"/>
    <w:rsid w:val="00A53C0E"/>
    <w:rsid w:val="00A5438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A85"/>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785"/>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4EDF"/>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43E"/>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87B"/>
    <w:rsid w:val="00B04B6A"/>
    <w:rsid w:val="00B04ED4"/>
    <w:rsid w:val="00B051D4"/>
    <w:rsid w:val="00B0530F"/>
    <w:rsid w:val="00B0575C"/>
    <w:rsid w:val="00B0593F"/>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4EE"/>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E8"/>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1F9C"/>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15"/>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717"/>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090"/>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ABB"/>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43A"/>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B52"/>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A39"/>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FA2"/>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3C1"/>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532"/>
    <w:rsid w:val="00D44E12"/>
    <w:rsid w:val="00D451E0"/>
    <w:rsid w:val="00D45542"/>
    <w:rsid w:val="00D456E7"/>
    <w:rsid w:val="00D45D2E"/>
    <w:rsid w:val="00D45FF0"/>
    <w:rsid w:val="00D463B6"/>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49A1"/>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F8A"/>
    <w:rsid w:val="00DA59EA"/>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35D"/>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B8D"/>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5011"/>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1BC"/>
    <w:rsid w:val="00E85B2C"/>
    <w:rsid w:val="00E85BBE"/>
    <w:rsid w:val="00E85E3C"/>
    <w:rsid w:val="00E8600B"/>
    <w:rsid w:val="00E86611"/>
    <w:rsid w:val="00E86B0E"/>
    <w:rsid w:val="00E86BF0"/>
    <w:rsid w:val="00E86EE6"/>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0B5"/>
    <w:rsid w:val="00EA7189"/>
    <w:rsid w:val="00EB0A02"/>
    <w:rsid w:val="00EB1EA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15EC"/>
    <w:rsid w:val="00ED21E2"/>
    <w:rsid w:val="00ED3242"/>
    <w:rsid w:val="00ED34E7"/>
    <w:rsid w:val="00ED355F"/>
    <w:rsid w:val="00ED3979"/>
    <w:rsid w:val="00ED3ECF"/>
    <w:rsid w:val="00ED49FB"/>
    <w:rsid w:val="00ED4BBA"/>
    <w:rsid w:val="00ED6C3F"/>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3CDA"/>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47DD3"/>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57AD9"/>
    <w:rsid w:val="00F60012"/>
    <w:rsid w:val="00F60AD9"/>
    <w:rsid w:val="00F60C47"/>
    <w:rsid w:val="00F61162"/>
    <w:rsid w:val="00F61D19"/>
    <w:rsid w:val="00F6281B"/>
    <w:rsid w:val="00F62DDE"/>
    <w:rsid w:val="00F630A7"/>
    <w:rsid w:val="00F63175"/>
    <w:rsid w:val="00F64487"/>
    <w:rsid w:val="00F644C7"/>
    <w:rsid w:val="00F64CF8"/>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EC3"/>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2ED"/>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877"/>
    <w:rsid w:val="00FD6A30"/>
    <w:rsid w:val="00FD6C06"/>
    <w:rsid w:val="00FD707A"/>
    <w:rsid w:val="00FD7788"/>
    <w:rsid w:val="00FD7F6A"/>
    <w:rsid w:val="00FE0310"/>
    <w:rsid w:val="00FE0933"/>
    <w:rsid w:val="00FE165F"/>
    <w:rsid w:val="00FE1C80"/>
    <w:rsid w:val="00FE1FBB"/>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A40F4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5799433">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7714735">
      <w:bodyDiv w:val="1"/>
      <w:marLeft w:val="0"/>
      <w:marRight w:val="0"/>
      <w:marTop w:val="0"/>
      <w:marBottom w:val="0"/>
      <w:divBdr>
        <w:top w:val="none" w:sz="0" w:space="0" w:color="auto"/>
        <w:left w:val="none" w:sz="0" w:space="0" w:color="auto"/>
        <w:bottom w:val="none" w:sz="0" w:space="0" w:color="auto"/>
        <w:right w:val="none" w:sz="0" w:space="0" w:color="auto"/>
      </w:divBdr>
    </w:div>
    <w:div w:id="284890447">
      <w:bodyDiv w:val="1"/>
      <w:marLeft w:val="0"/>
      <w:marRight w:val="0"/>
      <w:marTop w:val="0"/>
      <w:marBottom w:val="0"/>
      <w:divBdr>
        <w:top w:val="none" w:sz="0" w:space="0" w:color="auto"/>
        <w:left w:val="none" w:sz="0" w:space="0" w:color="auto"/>
        <w:bottom w:val="none" w:sz="0" w:space="0" w:color="auto"/>
        <w:right w:val="none" w:sz="0" w:space="0" w:color="auto"/>
      </w:divBdr>
    </w:div>
    <w:div w:id="33576791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076441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09839753">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469300">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4444257">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495767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5408502">
      <w:bodyDiv w:val="1"/>
      <w:marLeft w:val="0"/>
      <w:marRight w:val="0"/>
      <w:marTop w:val="0"/>
      <w:marBottom w:val="0"/>
      <w:divBdr>
        <w:top w:val="none" w:sz="0" w:space="0" w:color="auto"/>
        <w:left w:val="none" w:sz="0" w:space="0" w:color="auto"/>
        <w:bottom w:val="none" w:sz="0" w:space="0" w:color="auto"/>
        <w:right w:val="none" w:sz="0" w:space="0" w:color="auto"/>
      </w:divBdr>
    </w:div>
    <w:div w:id="920022491">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064952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8870485">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1632804">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3757085">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90715728">
      <w:bodyDiv w:val="1"/>
      <w:marLeft w:val="0"/>
      <w:marRight w:val="0"/>
      <w:marTop w:val="0"/>
      <w:marBottom w:val="0"/>
      <w:divBdr>
        <w:top w:val="none" w:sz="0" w:space="0" w:color="auto"/>
        <w:left w:val="none" w:sz="0" w:space="0" w:color="auto"/>
        <w:bottom w:val="none" w:sz="0" w:space="0" w:color="auto"/>
        <w:right w:val="none" w:sz="0" w:space="0" w:color="auto"/>
      </w:divBdr>
    </w:div>
    <w:div w:id="171535235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4051431">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1511579">
      <w:bodyDiv w:val="1"/>
      <w:marLeft w:val="0"/>
      <w:marRight w:val="0"/>
      <w:marTop w:val="0"/>
      <w:marBottom w:val="0"/>
      <w:divBdr>
        <w:top w:val="none" w:sz="0" w:space="0" w:color="auto"/>
        <w:left w:val="none" w:sz="0" w:space="0" w:color="auto"/>
        <w:bottom w:val="none" w:sz="0" w:space="0" w:color="auto"/>
        <w:right w:val="none" w:sz="0" w:space="0" w:color="auto"/>
      </w:divBdr>
    </w:div>
    <w:div w:id="207789582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459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04EE-2267-4FD0-A954-60E3ECE4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3938</Words>
  <Characters>23119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23</cp:revision>
  <cp:lastPrinted>2021-02-17T17:31:00Z</cp:lastPrinted>
  <dcterms:created xsi:type="dcterms:W3CDTF">2021-02-08T20:04:00Z</dcterms:created>
  <dcterms:modified xsi:type="dcterms:W3CDTF">2021-02-23T14:36:00Z</dcterms:modified>
</cp:coreProperties>
</file>