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1C34620F" w:rsidR="003F1CB6" w:rsidRPr="00403D69" w:rsidRDefault="002D5B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D192F0D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A50F5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502203C2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535E44">
              <w:rPr>
                <w:rFonts w:ascii="Arial" w:hAnsi="Arial" w:cs="Arial"/>
                <w:b/>
                <w:bCs/>
              </w:rPr>
              <w:t xml:space="preserve"> Y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4EBF6058" w:rsidR="003F1CB6" w:rsidRPr="00403D69" w:rsidRDefault="002D5B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886656B" w:rsidR="003F1CB6" w:rsidRPr="00403D69" w:rsidRDefault="002D5B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4F025FF5" w:rsidR="003F1CB6" w:rsidRPr="00403D69" w:rsidRDefault="002D5B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3D651715" w:rsidR="003F1CB6" w:rsidRPr="00403D69" w:rsidRDefault="002D5B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CC4C527" w:rsidR="003F1CB6" w:rsidRPr="00403D69" w:rsidRDefault="00DA5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7A021DEA" w:rsidR="003F1CB6" w:rsidRPr="00403D69" w:rsidRDefault="00DA5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39CD0D3A" w:rsidR="003F1CB6" w:rsidRPr="00403D69" w:rsidRDefault="00DA5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D0E6019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835CB2" w:rsidRPr="00835CB2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F235A52" w:rsidR="003F1CB6" w:rsidRDefault="00DA527C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D4FC382" w:rsidR="003F1CB6" w:rsidRPr="00403D69" w:rsidRDefault="00DA527C" w:rsidP="00A462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1AACB02C" w:rsidR="003F1CB6" w:rsidRPr="00403D69" w:rsidRDefault="00DA52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6F0D1A1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D5BB6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118B4BBF" w:rsidR="003F1CB6" w:rsidRPr="00403D69" w:rsidRDefault="00DA527C" w:rsidP="00A462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ED12E44" w:rsidR="003F1CB6" w:rsidRPr="001B3167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B44FA6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115C42F3" w:rsidR="003F1CB6" w:rsidRPr="00403D69" w:rsidRDefault="00DA527C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A409D1" w:rsidRPr="00403D69" w14:paraId="0AB47640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7152E724" w:rsidR="00A409D1" w:rsidRDefault="00A409D1" w:rsidP="00A409D1">
            <w:r>
              <w:rPr>
                <w:rFonts w:ascii="Arial" w:hAnsi="Arial" w:cs="Arial"/>
                <w:b/>
                <w:bCs/>
              </w:rPr>
              <w:t>I</w:t>
            </w:r>
            <w:r w:rsidR="00D52740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B74C201" w:rsidR="00A409D1" w:rsidRPr="00BF5F84" w:rsidRDefault="00DA527C" w:rsidP="00C54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bookmarkStart w:id="0" w:name="_GoBack"/>
            <w:bookmarkEnd w:id="0"/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17187A23" w14:textId="77777777" w:rsidR="003E2273" w:rsidRDefault="003E2273">
      <w:pPr>
        <w:rPr>
          <w:rFonts w:ascii="Arial" w:hAnsi="Arial" w:cs="Arial"/>
          <w:b/>
          <w:bCs/>
        </w:rPr>
      </w:pPr>
    </w:p>
    <w:p w14:paraId="6FC12595" w14:textId="0E75C770" w:rsidR="001077FF" w:rsidRDefault="001077FF">
      <w:pPr>
        <w:rPr>
          <w:rFonts w:ascii="Arial" w:hAnsi="Arial" w:cs="Arial"/>
          <w:b/>
          <w:bCs/>
        </w:rPr>
      </w:pPr>
    </w:p>
    <w:p w14:paraId="5770D493" w14:textId="4C7B2142" w:rsidR="00535E44" w:rsidRDefault="00535E44">
      <w:pPr>
        <w:rPr>
          <w:rFonts w:ascii="Arial" w:hAnsi="Arial" w:cs="Arial"/>
          <w:b/>
          <w:bCs/>
        </w:rPr>
      </w:pPr>
    </w:p>
    <w:p w14:paraId="2AB7C9A7" w14:textId="377F77D4" w:rsidR="00535E44" w:rsidRDefault="00535E44">
      <w:pPr>
        <w:rPr>
          <w:rFonts w:ascii="Arial" w:hAnsi="Arial" w:cs="Arial"/>
          <w:b/>
          <w:bCs/>
        </w:rPr>
      </w:pPr>
    </w:p>
    <w:p w14:paraId="3024CD6B" w14:textId="7F4745D3" w:rsidR="00535E44" w:rsidRDefault="00535E44">
      <w:pPr>
        <w:rPr>
          <w:rFonts w:ascii="Arial" w:hAnsi="Arial" w:cs="Arial"/>
          <w:b/>
          <w:bCs/>
        </w:rPr>
      </w:pPr>
    </w:p>
    <w:p w14:paraId="6C4E99AC" w14:textId="29549814" w:rsidR="00535E44" w:rsidRDefault="00535E44">
      <w:pPr>
        <w:rPr>
          <w:rFonts w:ascii="Arial" w:hAnsi="Arial" w:cs="Arial"/>
          <w:b/>
          <w:bCs/>
        </w:rPr>
      </w:pPr>
    </w:p>
    <w:p w14:paraId="2D5AEEB7" w14:textId="3B541640" w:rsidR="00535E44" w:rsidRDefault="00535E44">
      <w:pPr>
        <w:rPr>
          <w:rFonts w:ascii="Arial" w:hAnsi="Arial" w:cs="Arial"/>
          <w:b/>
          <w:bCs/>
        </w:rPr>
      </w:pPr>
    </w:p>
    <w:p w14:paraId="23E676CF" w14:textId="51815979" w:rsidR="00535E44" w:rsidRDefault="00535E44">
      <w:pPr>
        <w:rPr>
          <w:rFonts w:ascii="Arial" w:hAnsi="Arial" w:cs="Arial"/>
          <w:b/>
          <w:bCs/>
        </w:rPr>
      </w:pPr>
    </w:p>
    <w:p w14:paraId="6A525CEF" w14:textId="603DF477" w:rsidR="00535E44" w:rsidRDefault="00535E44">
      <w:pPr>
        <w:rPr>
          <w:rFonts w:ascii="Arial" w:hAnsi="Arial" w:cs="Arial"/>
          <w:b/>
          <w:bCs/>
        </w:rPr>
      </w:pPr>
    </w:p>
    <w:p w14:paraId="43D85D69" w14:textId="751D78A5" w:rsidR="00535E44" w:rsidRDefault="00535E44">
      <w:pPr>
        <w:rPr>
          <w:rFonts w:ascii="Arial" w:hAnsi="Arial" w:cs="Arial"/>
          <w:b/>
          <w:bCs/>
        </w:rPr>
      </w:pPr>
    </w:p>
    <w:p w14:paraId="06AA5525" w14:textId="39B9BBA5" w:rsidR="00535E44" w:rsidRDefault="00535E44">
      <w:pPr>
        <w:rPr>
          <w:rFonts w:ascii="Arial" w:hAnsi="Arial" w:cs="Arial"/>
          <w:b/>
          <w:bCs/>
        </w:rPr>
      </w:pPr>
    </w:p>
    <w:p w14:paraId="25607080" w14:textId="49762561" w:rsidR="00535E44" w:rsidRDefault="00535E44">
      <w:pPr>
        <w:rPr>
          <w:rFonts w:ascii="Arial" w:hAnsi="Arial" w:cs="Arial"/>
          <w:b/>
          <w:bCs/>
        </w:rPr>
      </w:pPr>
    </w:p>
    <w:p w14:paraId="5484D799" w14:textId="181E209C" w:rsidR="00535E44" w:rsidRDefault="00535E44">
      <w:pPr>
        <w:rPr>
          <w:rFonts w:ascii="Arial" w:hAnsi="Arial" w:cs="Arial"/>
          <w:b/>
          <w:bCs/>
        </w:rPr>
      </w:pPr>
    </w:p>
    <w:p w14:paraId="56D5B100" w14:textId="78D252BF" w:rsidR="00535E44" w:rsidRDefault="00535E44">
      <w:pPr>
        <w:rPr>
          <w:rFonts w:ascii="Arial" w:hAnsi="Arial" w:cs="Arial"/>
          <w:b/>
          <w:bCs/>
        </w:rPr>
      </w:pPr>
    </w:p>
    <w:p w14:paraId="37BD635F" w14:textId="4300324B" w:rsidR="00535E44" w:rsidRDefault="00535E44">
      <w:pPr>
        <w:rPr>
          <w:rFonts w:ascii="Arial" w:hAnsi="Arial" w:cs="Arial"/>
          <w:b/>
          <w:bCs/>
        </w:rPr>
      </w:pPr>
    </w:p>
    <w:p w14:paraId="799650AB" w14:textId="3455056B" w:rsidR="00535E44" w:rsidRDefault="00535E44">
      <w:pPr>
        <w:rPr>
          <w:rFonts w:ascii="Arial" w:hAnsi="Arial" w:cs="Arial"/>
          <w:b/>
          <w:bCs/>
        </w:rPr>
      </w:pPr>
    </w:p>
    <w:p w14:paraId="3CBDB92E" w14:textId="1E872D8C" w:rsidR="00535E44" w:rsidRDefault="00535E44">
      <w:pPr>
        <w:rPr>
          <w:rFonts w:ascii="Arial" w:hAnsi="Arial" w:cs="Arial"/>
          <w:b/>
          <w:bCs/>
        </w:rPr>
      </w:pPr>
    </w:p>
    <w:p w14:paraId="42EB0EFA" w14:textId="65A4165A" w:rsidR="00535E44" w:rsidRDefault="00535E44">
      <w:pPr>
        <w:rPr>
          <w:rFonts w:ascii="Arial" w:hAnsi="Arial" w:cs="Arial"/>
          <w:b/>
          <w:bCs/>
        </w:rPr>
      </w:pPr>
    </w:p>
    <w:p w14:paraId="62FA5535" w14:textId="7D556879" w:rsidR="00535E44" w:rsidRDefault="00535E44">
      <w:pPr>
        <w:rPr>
          <w:rFonts w:ascii="Arial" w:hAnsi="Arial" w:cs="Arial"/>
          <w:b/>
          <w:bCs/>
        </w:rPr>
      </w:pPr>
    </w:p>
    <w:p w14:paraId="5095E36A" w14:textId="26C4C0E4" w:rsidR="00535E44" w:rsidRDefault="00535E44">
      <w:pPr>
        <w:rPr>
          <w:rFonts w:ascii="Arial" w:hAnsi="Arial" w:cs="Arial"/>
          <w:b/>
          <w:bCs/>
        </w:rPr>
      </w:pPr>
    </w:p>
    <w:p w14:paraId="6528C2CB" w14:textId="052B0FC0" w:rsidR="00535E44" w:rsidRDefault="00535E44">
      <w:pPr>
        <w:rPr>
          <w:rFonts w:ascii="Arial" w:hAnsi="Arial" w:cs="Arial"/>
          <w:b/>
          <w:bCs/>
        </w:rPr>
      </w:pPr>
    </w:p>
    <w:p w14:paraId="6007E628" w14:textId="5386BD64" w:rsidR="00535E44" w:rsidRDefault="00535E44">
      <w:pPr>
        <w:rPr>
          <w:rFonts w:ascii="Arial" w:hAnsi="Arial" w:cs="Arial"/>
          <w:b/>
          <w:bCs/>
        </w:rPr>
      </w:pPr>
    </w:p>
    <w:p w14:paraId="731C8F59" w14:textId="45655E17" w:rsidR="00535E44" w:rsidRDefault="00535E44">
      <w:pPr>
        <w:rPr>
          <w:rFonts w:ascii="Arial" w:hAnsi="Arial" w:cs="Arial"/>
          <w:b/>
          <w:bCs/>
        </w:rPr>
      </w:pPr>
    </w:p>
    <w:p w14:paraId="5CD76874" w14:textId="777CC9E8" w:rsidR="00535E44" w:rsidRDefault="00535E44" w:rsidP="00575A92">
      <w:pPr>
        <w:tabs>
          <w:tab w:val="left" w:pos="9498"/>
        </w:tabs>
        <w:rPr>
          <w:rFonts w:ascii="Arial" w:hAnsi="Arial" w:cs="Arial"/>
          <w:b/>
          <w:bCs/>
        </w:rPr>
      </w:pPr>
    </w:p>
    <w:p w14:paraId="095AC2E5" w14:textId="0E596959" w:rsidR="00535E44" w:rsidRDefault="00535E44">
      <w:pPr>
        <w:rPr>
          <w:rFonts w:ascii="Arial" w:hAnsi="Arial" w:cs="Arial"/>
          <w:b/>
          <w:bCs/>
        </w:rPr>
      </w:pPr>
    </w:p>
    <w:p w14:paraId="172B2AD7" w14:textId="5AFDF317" w:rsidR="00535E44" w:rsidRDefault="00535E44">
      <w:pPr>
        <w:rPr>
          <w:rFonts w:ascii="Arial" w:hAnsi="Arial" w:cs="Arial"/>
          <w:b/>
          <w:bCs/>
        </w:rPr>
      </w:pPr>
    </w:p>
    <w:p w14:paraId="5B639C7C" w14:textId="404B807A" w:rsidR="00535E44" w:rsidRDefault="00535E44">
      <w:pPr>
        <w:rPr>
          <w:rFonts w:ascii="Arial" w:hAnsi="Arial" w:cs="Arial"/>
          <w:b/>
          <w:bCs/>
        </w:rPr>
      </w:pPr>
    </w:p>
    <w:p w14:paraId="2B8CAE60" w14:textId="74310B4B" w:rsidR="00535E44" w:rsidRDefault="00535E44">
      <w:pPr>
        <w:rPr>
          <w:rFonts w:ascii="Arial" w:hAnsi="Arial" w:cs="Arial"/>
          <w:b/>
          <w:bCs/>
        </w:rPr>
      </w:pPr>
    </w:p>
    <w:p w14:paraId="188B290B" w14:textId="7A3A3DCC" w:rsidR="00535E44" w:rsidRDefault="00535E44">
      <w:pPr>
        <w:rPr>
          <w:rFonts w:ascii="Arial" w:hAnsi="Arial" w:cs="Arial"/>
          <w:b/>
          <w:bCs/>
        </w:rPr>
      </w:pPr>
    </w:p>
    <w:p w14:paraId="2761AB81" w14:textId="36F43A20" w:rsidR="00535E44" w:rsidRDefault="00535E44">
      <w:pPr>
        <w:rPr>
          <w:rFonts w:ascii="Arial" w:hAnsi="Arial" w:cs="Arial"/>
          <w:b/>
          <w:bCs/>
        </w:rPr>
      </w:pPr>
    </w:p>
    <w:p w14:paraId="5266B058" w14:textId="64D60EB0" w:rsidR="00535E44" w:rsidRDefault="00535E44">
      <w:pPr>
        <w:rPr>
          <w:rFonts w:ascii="Arial" w:hAnsi="Arial" w:cs="Arial"/>
          <w:b/>
          <w:bCs/>
        </w:rPr>
      </w:pPr>
    </w:p>
    <w:p w14:paraId="02FE59F9" w14:textId="0AC20161" w:rsidR="00535E44" w:rsidRDefault="00535E44">
      <w:pPr>
        <w:rPr>
          <w:rFonts w:ascii="Arial" w:hAnsi="Arial" w:cs="Arial"/>
          <w:b/>
          <w:bCs/>
        </w:rPr>
      </w:pPr>
    </w:p>
    <w:p w14:paraId="4FBB9897" w14:textId="77777777" w:rsidR="00F868B1" w:rsidRDefault="00F868B1">
      <w:pPr>
        <w:rPr>
          <w:rFonts w:ascii="Arial" w:hAnsi="Arial" w:cs="Arial"/>
          <w:b/>
          <w:bCs/>
        </w:rPr>
      </w:pPr>
    </w:p>
    <w:p w14:paraId="26109E96" w14:textId="77777777" w:rsidR="00D758CB" w:rsidRDefault="00D758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650B3CB5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B3593F">
        <w:rPr>
          <w:rFonts w:ascii="Arial" w:hAnsi="Arial" w:cs="Arial"/>
        </w:rPr>
        <w:t>Organismo Paramunicipal</w:t>
      </w:r>
      <w:r w:rsidR="00A40B45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99FFBE8" w14:textId="77777777" w:rsidR="002F60E3" w:rsidRPr="002013D4" w:rsidRDefault="002F60E3" w:rsidP="002F60E3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3FB7D47E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AA19BD">
        <w:rPr>
          <w:rFonts w:ascii="Arial" w:hAnsi="Arial" w:cs="Arial"/>
          <w:bCs/>
        </w:rPr>
        <w:t>l</w:t>
      </w:r>
      <w:r w:rsidR="00982A2D" w:rsidRPr="002013D4">
        <w:rPr>
          <w:rFonts w:ascii="Arial" w:hAnsi="Arial" w:cs="Arial"/>
          <w:bCs/>
        </w:rPr>
        <w:t xml:space="preserve">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7AB2BAC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A19BD">
        <w:rPr>
          <w:rFonts w:ascii="Arial" w:hAnsi="Arial" w:cs="Arial"/>
          <w:bCs/>
        </w:rPr>
        <w:t>e</w:t>
      </w:r>
      <w:r w:rsidR="001075DF" w:rsidRPr="000E7791">
        <w:rPr>
          <w:rFonts w:ascii="Arial" w:hAnsi="Arial" w:cs="Arial"/>
          <w:bCs/>
        </w:rPr>
        <w:t>l</w:t>
      </w:r>
      <w:r w:rsidR="00982A2D" w:rsidRPr="009879F6">
        <w:rPr>
          <w:rFonts w:ascii="Arial" w:hAnsi="Arial" w:cs="Arial"/>
          <w:b/>
          <w:bCs/>
        </w:rPr>
        <w:t xml:space="preserve">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737E9B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737E9B" w:rsidRPr="00AC5853">
        <w:rPr>
          <w:rFonts w:ascii="Arial" w:hAnsi="Arial" w:cs="Arial"/>
          <w:bCs/>
        </w:rPr>
        <w:t>ingresos</w:t>
      </w:r>
      <w:r w:rsidR="00737E9B">
        <w:rPr>
          <w:rFonts w:ascii="Arial" w:hAnsi="Arial" w:cs="Arial"/>
          <w:bCs/>
        </w:rPr>
        <w:t xml:space="preserve"> obtenidos</w:t>
      </w:r>
      <w:r w:rsidR="00737E9B" w:rsidRPr="00AC5853">
        <w:rPr>
          <w:rFonts w:ascii="Arial" w:hAnsi="Arial" w:cs="Arial"/>
          <w:bCs/>
        </w:rPr>
        <w:t xml:space="preserve"> y de los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28FE53FD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</w:t>
      </w:r>
      <w:r w:rsidR="00DD4279">
        <w:rPr>
          <w:rFonts w:ascii="Arial" w:hAnsi="Arial" w:cs="Arial"/>
          <w:bCs/>
        </w:rPr>
        <w:t xml:space="preserve"> los ingresos y gastos públicos</w:t>
      </w:r>
      <w:r w:rsidR="0031062A" w:rsidRPr="002B3A76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35E31">
        <w:rPr>
          <w:rFonts w:ascii="Arial" w:hAnsi="Arial" w:cs="Arial"/>
          <w:bCs/>
        </w:rPr>
        <w:t>l</w:t>
      </w:r>
      <w:r w:rsidR="0031062A" w:rsidRPr="009879F6">
        <w:rPr>
          <w:rFonts w:ascii="Arial" w:hAnsi="Arial" w:cs="Arial"/>
          <w:bCs/>
        </w:rPr>
        <w:t xml:space="preserve">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9533AA2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C35E31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9F5C38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535E44" w:rsidRPr="004C23D5">
        <w:rPr>
          <w:rFonts w:ascii="Arial" w:hAnsi="Arial" w:cs="Arial"/>
          <w:bCs/>
        </w:rPr>
        <w:t>obtención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535E44" w:rsidRPr="00535E44">
        <w:rPr>
          <w:rFonts w:ascii="Arial" w:hAnsi="Arial" w:cs="Arial"/>
        </w:rPr>
        <w:t>municipales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D232F0" w:rsidRPr="00B87902">
        <w:rPr>
          <w:rFonts w:ascii="Arial" w:hAnsi="Arial" w:cs="Arial"/>
        </w:rPr>
        <w:t>24 junio del 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D232F0" w:rsidRPr="00B87902">
        <w:rPr>
          <w:rFonts w:ascii="Arial" w:hAnsi="Arial" w:cs="Arial"/>
        </w:rPr>
        <w:t>MBJ/IMJ/DG/421/2020</w:t>
      </w:r>
      <w:r w:rsidR="00452078" w:rsidRPr="009879F6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17F04F47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D232F0">
        <w:rPr>
          <w:rFonts w:ascii="Arial" w:hAnsi="Arial" w:cs="Arial"/>
          <w:bCs/>
        </w:rPr>
        <w:t>30</w:t>
      </w:r>
      <w:r w:rsidR="008509AF">
        <w:rPr>
          <w:rFonts w:ascii="Arial" w:hAnsi="Arial" w:cs="Arial"/>
          <w:bCs/>
        </w:rPr>
        <w:t xml:space="preserve"> de </w:t>
      </w:r>
      <w:r w:rsidR="00D232F0">
        <w:rPr>
          <w:rFonts w:ascii="Arial" w:hAnsi="Arial" w:cs="Arial"/>
          <w:bCs/>
        </w:rPr>
        <w:t>juni</w:t>
      </w:r>
      <w:r w:rsidR="008509AF">
        <w:rPr>
          <w:rFonts w:ascii="Arial" w:hAnsi="Arial" w:cs="Arial"/>
          <w:bCs/>
        </w:rPr>
        <w:t>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8509AF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8509A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0F041AD4" w:rsidR="00345C1A" w:rsidRPr="00A05588" w:rsidRDefault="00345C1A" w:rsidP="00AF27E7">
      <w:pPr>
        <w:spacing w:line="360" w:lineRule="auto"/>
        <w:ind w:right="193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7DCD" w:rsidRPr="00997DCD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C35E31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8509A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1F5DE1B" w14:textId="77777777" w:rsidR="00BA2606" w:rsidRDefault="00BA260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228DCCB" w14:textId="77777777" w:rsidR="00BA2606" w:rsidRDefault="00BA260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2214650" w14:textId="77777777" w:rsidR="00BA2606" w:rsidRDefault="00BA260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4D279238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3B124BEF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47F7EC5C" w14:textId="77777777" w:rsidR="00EE0B21" w:rsidRPr="00A05588" w:rsidRDefault="00EE0B2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C50D2E2" w14:textId="14439D0C" w:rsidR="00535E44" w:rsidRPr="00E520E7" w:rsidRDefault="00535E44" w:rsidP="00AF27E7">
      <w:pPr>
        <w:spacing w:line="360" w:lineRule="auto"/>
        <w:ind w:right="193"/>
        <w:jc w:val="both"/>
        <w:rPr>
          <w:rFonts w:ascii="Arial" w:hAnsi="Arial"/>
          <w:bCs/>
        </w:rPr>
      </w:pPr>
      <w:r w:rsidRPr="00B0105A">
        <w:rPr>
          <w:rFonts w:ascii="Arial" w:hAnsi="Arial"/>
          <w:bCs/>
        </w:rPr>
        <w:t>El</w:t>
      </w:r>
      <w:r w:rsidRPr="00E520E7">
        <w:rPr>
          <w:rFonts w:ascii="Arial" w:hAnsi="Arial"/>
          <w:b/>
          <w:bCs/>
        </w:rPr>
        <w:t xml:space="preserve"> </w:t>
      </w:r>
      <w:r w:rsidR="00D83E5E">
        <w:rPr>
          <w:rFonts w:ascii="Arial" w:hAnsi="Arial"/>
          <w:b/>
          <w:bCs/>
        </w:rPr>
        <w:t>Instituto Municipal de la Juventud de Benito Juárez</w:t>
      </w:r>
      <w:r w:rsidRPr="00E520E7">
        <w:rPr>
          <w:rFonts w:ascii="Arial" w:hAnsi="Arial"/>
          <w:b/>
          <w:bCs/>
        </w:rPr>
        <w:t xml:space="preserve"> </w:t>
      </w:r>
      <w:r w:rsidRPr="00E520E7">
        <w:rPr>
          <w:rFonts w:ascii="Arial" w:hAnsi="Arial"/>
          <w:bCs/>
        </w:rPr>
        <w:t xml:space="preserve">se creó el </w:t>
      </w:r>
      <w:r w:rsidR="00036532">
        <w:rPr>
          <w:rFonts w:ascii="Arial" w:hAnsi="Arial"/>
          <w:bCs/>
        </w:rPr>
        <w:t>28</w:t>
      </w:r>
      <w:r w:rsidRPr="00E520E7">
        <w:rPr>
          <w:rFonts w:ascii="Arial" w:hAnsi="Arial"/>
          <w:bCs/>
        </w:rPr>
        <w:t xml:space="preserve"> de </w:t>
      </w:r>
      <w:r w:rsidR="00036532">
        <w:rPr>
          <w:rFonts w:ascii="Arial" w:hAnsi="Arial"/>
          <w:bCs/>
        </w:rPr>
        <w:t>abril</w:t>
      </w:r>
      <w:r w:rsidRPr="00E520E7">
        <w:rPr>
          <w:rFonts w:ascii="Arial" w:hAnsi="Arial"/>
          <w:bCs/>
        </w:rPr>
        <w:t xml:space="preserve"> de 20</w:t>
      </w:r>
      <w:r w:rsidR="00036532">
        <w:rPr>
          <w:rFonts w:ascii="Arial" w:hAnsi="Arial"/>
          <w:bCs/>
        </w:rPr>
        <w:t>1</w:t>
      </w:r>
      <w:r w:rsidRPr="00E520E7">
        <w:rPr>
          <w:rFonts w:ascii="Arial" w:hAnsi="Arial"/>
          <w:bCs/>
        </w:rPr>
        <w:t>7 según el Decreto número 0</w:t>
      </w:r>
      <w:r w:rsidR="00342D89">
        <w:rPr>
          <w:rFonts w:ascii="Arial" w:hAnsi="Arial"/>
          <w:bCs/>
        </w:rPr>
        <w:t>8</w:t>
      </w:r>
      <w:r w:rsidRPr="00E520E7">
        <w:rPr>
          <w:rFonts w:ascii="Arial" w:hAnsi="Arial"/>
          <w:bCs/>
        </w:rPr>
        <w:t xml:space="preserve"> </w:t>
      </w:r>
      <w:r w:rsidR="00342D89">
        <w:rPr>
          <w:rFonts w:ascii="Arial" w:hAnsi="Arial"/>
          <w:bCs/>
        </w:rPr>
        <w:t>O</w:t>
      </w:r>
      <w:r w:rsidRPr="00E520E7">
        <w:rPr>
          <w:rFonts w:ascii="Arial" w:hAnsi="Arial"/>
          <w:bCs/>
        </w:rPr>
        <w:t>rdinario por acuerdo del H</w:t>
      </w:r>
      <w:r w:rsidR="00342D89">
        <w:rPr>
          <w:rFonts w:ascii="Arial" w:hAnsi="Arial"/>
          <w:bCs/>
        </w:rPr>
        <w:t>onorable</w:t>
      </w:r>
      <w:r w:rsidRPr="00E520E7">
        <w:rPr>
          <w:rFonts w:ascii="Arial" w:hAnsi="Arial"/>
          <w:bCs/>
        </w:rPr>
        <w:t xml:space="preserve"> Ayuntamiento del Municipio de </w:t>
      </w:r>
      <w:r w:rsidR="00342D89">
        <w:rPr>
          <w:rFonts w:ascii="Arial" w:hAnsi="Arial"/>
          <w:bCs/>
        </w:rPr>
        <w:t>Benito Juárez</w:t>
      </w:r>
      <w:r w:rsidRPr="00E520E7">
        <w:rPr>
          <w:rFonts w:ascii="Arial" w:hAnsi="Arial"/>
          <w:bCs/>
        </w:rPr>
        <w:t xml:space="preserve">, aprobado en la </w:t>
      </w:r>
      <w:r w:rsidR="00036532">
        <w:rPr>
          <w:rFonts w:ascii="Arial" w:hAnsi="Arial"/>
          <w:bCs/>
        </w:rPr>
        <w:t>décimo primera</w:t>
      </w:r>
      <w:r w:rsidRPr="00E520E7">
        <w:rPr>
          <w:rFonts w:ascii="Arial" w:hAnsi="Arial"/>
          <w:bCs/>
        </w:rPr>
        <w:t xml:space="preserve"> sesión ordinaria de Cabildo de fecha 2</w:t>
      </w:r>
      <w:r w:rsidR="00036532">
        <w:rPr>
          <w:rFonts w:ascii="Arial" w:hAnsi="Arial"/>
          <w:bCs/>
        </w:rPr>
        <w:t>2</w:t>
      </w:r>
      <w:r w:rsidRPr="00E520E7">
        <w:rPr>
          <w:rFonts w:ascii="Arial" w:hAnsi="Arial"/>
          <w:bCs/>
        </w:rPr>
        <w:t xml:space="preserve"> de </w:t>
      </w:r>
      <w:r w:rsidR="00036532">
        <w:rPr>
          <w:rFonts w:ascii="Arial" w:hAnsi="Arial"/>
          <w:bCs/>
        </w:rPr>
        <w:t>febrero</w:t>
      </w:r>
      <w:r w:rsidRPr="00E520E7">
        <w:rPr>
          <w:rFonts w:ascii="Arial" w:hAnsi="Arial"/>
          <w:bCs/>
        </w:rPr>
        <w:t xml:space="preserve"> de 20</w:t>
      </w:r>
      <w:r w:rsidR="00036532">
        <w:rPr>
          <w:rFonts w:ascii="Arial" w:hAnsi="Arial"/>
          <w:bCs/>
        </w:rPr>
        <w:t>1</w:t>
      </w:r>
      <w:r w:rsidRPr="00E520E7">
        <w:rPr>
          <w:rFonts w:ascii="Arial" w:hAnsi="Arial"/>
          <w:bCs/>
        </w:rPr>
        <w:t>7, como Organismo Público Descentralizado de la Administración Pública Municipal, con personalidad jurídica y Patrimonio propios</w:t>
      </w:r>
      <w:r>
        <w:rPr>
          <w:rFonts w:ascii="Arial" w:hAnsi="Arial"/>
          <w:bCs/>
        </w:rPr>
        <w:t>.</w:t>
      </w:r>
    </w:p>
    <w:p w14:paraId="53B6FB1F" w14:textId="77777777" w:rsidR="00535E44" w:rsidRPr="00E520E7" w:rsidRDefault="00535E44" w:rsidP="00535E44">
      <w:pPr>
        <w:spacing w:line="360" w:lineRule="auto"/>
        <w:jc w:val="both"/>
        <w:rPr>
          <w:rFonts w:ascii="Arial" w:hAnsi="Arial"/>
          <w:b/>
          <w:bCs/>
        </w:rPr>
      </w:pPr>
    </w:p>
    <w:p w14:paraId="1C2BAF1F" w14:textId="4D4552DE" w:rsidR="00C47B98" w:rsidRPr="009879F6" w:rsidRDefault="00C47B98" w:rsidP="00D232F0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FA5CF8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55D3F08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4CC0A287" w:rsidR="00AA50F2" w:rsidRPr="009879F6" w:rsidRDefault="0069067B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69067B">
              <w:rPr>
                <w:rFonts w:ascii="Arial" w:hAnsi="Arial" w:cs="Arial"/>
                <w:b/>
                <w:bCs/>
              </w:rPr>
              <w:t>19-AEMF-A-GOB-0</w:t>
            </w:r>
            <w:r w:rsidR="00036532">
              <w:rPr>
                <w:rFonts w:ascii="Arial" w:hAnsi="Arial" w:cs="Arial"/>
                <w:b/>
                <w:bCs/>
              </w:rPr>
              <w:t>92</w:t>
            </w:r>
            <w:r w:rsidRPr="0069067B">
              <w:rPr>
                <w:rFonts w:ascii="Arial" w:hAnsi="Arial" w:cs="Arial"/>
                <w:b/>
                <w:bCs/>
              </w:rPr>
              <w:t>-2</w:t>
            </w:r>
            <w:r w:rsidR="00036532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713" w:type="pct"/>
            <w:shd w:val="clear" w:color="auto" w:fill="auto"/>
          </w:tcPr>
          <w:p w14:paraId="409DA764" w14:textId="3CCC2AA2" w:rsidR="00AA50F2" w:rsidRPr="009879F6" w:rsidRDefault="00F81F59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C2F87" w:rsidRPr="008C2F87">
              <w:rPr>
                <w:rFonts w:ascii="Arial" w:hAnsi="Arial" w:cs="Arial"/>
                <w:bCs/>
              </w:rPr>
              <w:t>Auditoría de Cumplimiento Financiero de Ingresos y Otros Beneficios; Gastos y Otras Pérdidas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  <w:r w:rsidR="008C2F87">
              <w:rPr>
                <w:rFonts w:ascii="Arial" w:hAnsi="Arial" w:cs="Arial"/>
                <w:bCs/>
              </w:rPr>
              <w:t>.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B097EE7" w14:textId="1D898653" w:rsidR="00D31ADC" w:rsidRDefault="00D31ADC" w:rsidP="00AF27E7">
      <w:pPr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Comprobar el c</w:t>
      </w:r>
      <w:r w:rsidRPr="0061141A">
        <w:rPr>
          <w:rFonts w:ascii="Arial" w:hAnsi="Arial" w:cs="Arial"/>
        </w:rPr>
        <w:t>umplimiento de lo dispuesto en la</w:t>
      </w:r>
      <w:r>
        <w:rPr>
          <w:rFonts w:ascii="Arial" w:hAnsi="Arial" w:cs="Arial"/>
        </w:rPr>
        <w:t xml:space="preserve"> </w:t>
      </w:r>
      <w:r w:rsidR="00B3593F">
        <w:rPr>
          <w:rFonts w:ascii="Arial" w:hAnsi="Arial" w:cs="Arial"/>
        </w:rPr>
        <w:t>normatividad</w:t>
      </w:r>
      <w:r>
        <w:rPr>
          <w:rFonts w:ascii="Arial" w:hAnsi="Arial" w:cs="Arial"/>
        </w:rPr>
        <w:t xml:space="preserve"> aplicables en la obtención de ingresos</w:t>
      </w:r>
      <w:r w:rsidRPr="0061141A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en </w:t>
      </w:r>
      <w:r w:rsidRPr="0061141A">
        <w:rPr>
          <w:rFonts w:ascii="Arial" w:hAnsi="Arial" w:cs="Arial"/>
        </w:rPr>
        <w:t xml:space="preserve">el Presupuesto de Egresos y demás disposiciones legales aplicables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  <w:bCs/>
        </w:rPr>
        <w:lastRenderedPageBreak/>
        <w:t>Instituto Municipal de la Juventud de Benito Juárez</w:t>
      </w:r>
      <w:r w:rsidRPr="0061141A">
        <w:rPr>
          <w:rFonts w:ascii="Arial" w:hAnsi="Arial" w:cs="Arial"/>
        </w:rPr>
        <w:t>, en cuanto a los ingresos y gastos públicos, incluyendo la revisión del manejo, la custodia y la aplicación de recursos públicos estatales, así como la demás información financiera</w:t>
      </w:r>
      <w:r w:rsidR="00B3593F">
        <w:rPr>
          <w:rFonts w:ascii="Arial" w:hAnsi="Arial" w:cs="Arial"/>
        </w:rPr>
        <w:t xml:space="preserve"> (</w:t>
      </w:r>
      <w:r w:rsidRPr="0061141A">
        <w:rPr>
          <w:rFonts w:ascii="Arial" w:hAnsi="Arial" w:cs="Arial"/>
        </w:rPr>
        <w:t xml:space="preserve">contable, </w:t>
      </w:r>
      <w:r w:rsidR="00B3593F">
        <w:rPr>
          <w:rFonts w:ascii="Arial" w:hAnsi="Arial" w:cs="Arial"/>
        </w:rPr>
        <w:t xml:space="preserve">presupuestal, </w:t>
      </w:r>
      <w:r w:rsidRPr="0061141A">
        <w:rPr>
          <w:rFonts w:ascii="Arial" w:hAnsi="Arial" w:cs="Arial"/>
        </w:rPr>
        <w:t>programática</w:t>
      </w:r>
      <w:r w:rsidR="00B3593F">
        <w:rPr>
          <w:rFonts w:ascii="Arial" w:hAnsi="Arial" w:cs="Arial"/>
        </w:rPr>
        <w:t xml:space="preserve"> y complementaria)</w:t>
      </w:r>
      <w:r>
        <w:rPr>
          <w:rFonts w:ascii="Arial" w:hAnsi="Arial" w:cs="Arial"/>
        </w:rPr>
        <w:t>.</w:t>
      </w:r>
    </w:p>
    <w:p w14:paraId="35D5D3E6" w14:textId="77777777" w:rsidR="00BA2606" w:rsidRDefault="00BA2606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0E1A12" w14:textId="371EDB74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66BB8EF0" w14:textId="1236D710" w:rsidR="008627DB" w:rsidRDefault="008627DB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44C7811" w14:textId="77777777" w:rsidR="008627DB" w:rsidRPr="00AC764E" w:rsidRDefault="008627DB" w:rsidP="008627D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y Otros Beneficios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7CAE7628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>:</w:t>
      </w:r>
      <w:r w:rsidR="00E77AB0">
        <w:rPr>
          <w:rFonts w:ascii="Arial" w:hAnsi="Arial" w:cs="Arial"/>
          <w:b/>
        </w:rPr>
        <w:t xml:space="preserve"> </w:t>
      </w:r>
      <w:r w:rsidR="00AA50F2" w:rsidRPr="009879F6">
        <w:rPr>
          <w:rFonts w:ascii="Arial" w:hAnsi="Arial" w:cs="Arial"/>
        </w:rPr>
        <w:t>$</w:t>
      </w:r>
      <w:r w:rsidR="00A6466C" w:rsidRPr="00A6466C">
        <w:rPr>
          <w:rFonts w:ascii="Arial" w:hAnsi="Arial" w:cs="Arial"/>
        </w:rPr>
        <w:t>5,200,000.00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7800EC00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A6466C" w:rsidRPr="00A6466C">
        <w:rPr>
          <w:rFonts w:ascii="Arial" w:hAnsi="Arial" w:cs="Arial"/>
        </w:rPr>
        <w:t>5,200,000.00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695292B8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A6466C" w:rsidRPr="00A6466C">
        <w:rPr>
          <w:rFonts w:ascii="Arial" w:hAnsi="Arial" w:cs="Arial"/>
        </w:rPr>
        <w:t>5,200,000.00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6D5D2457" w:rsidR="00AA50F2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E77AB0">
        <w:rPr>
          <w:rFonts w:ascii="Arial" w:hAnsi="Arial" w:cs="Arial"/>
        </w:rPr>
        <w:t>100.00</w:t>
      </w:r>
      <w:r w:rsidR="00AA50F2" w:rsidRPr="009879F6">
        <w:rPr>
          <w:rFonts w:ascii="Arial" w:hAnsi="Arial" w:cs="Arial"/>
        </w:rPr>
        <w:t>%</w:t>
      </w:r>
    </w:p>
    <w:p w14:paraId="51F8DE42" w14:textId="77777777" w:rsidR="005B0A6C" w:rsidRDefault="005B0A6C" w:rsidP="005B0A6C">
      <w:pPr>
        <w:spacing w:line="360" w:lineRule="auto"/>
        <w:ind w:right="190"/>
        <w:jc w:val="both"/>
        <w:rPr>
          <w:rFonts w:ascii="Arial" w:hAnsi="Arial" w:cs="Arial"/>
        </w:rPr>
      </w:pPr>
    </w:p>
    <w:p w14:paraId="6A868ECF" w14:textId="17E1F175" w:rsidR="005B0A6C" w:rsidRDefault="005B0A6C" w:rsidP="005B0A6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total del Universo no se obtuvieron ingresos por recursos federales, quedando integrada l</w:t>
      </w:r>
      <w:r w:rsidRPr="009879F6">
        <w:rPr>
          <w:rFonts w:ascii="Arial" w:hAnsi="Arial" w:cs="Arial"/>
        </w:rPr>
        <w:t xml:space="preserve">a población objetivo </w:t>
      </w:r>
      <w:r>
        <w:rPr>
          <w:rFonts w:ascii="Arial" w:hAnsi="Arial" w:cs="Arial"/>
        </w:rPr>
        <w:t xml:space="preserve">únicamente por recursos municipales. </w:t>
      </w:r>
    </w:p>
    <w:p w14:paraId="47218599" w14:textId="77777777" w:rsidR="005B0A6C" w:rsidRDefault="005B0A6C" w:rsidP="005B0A6C">
      <w:pPr>
        <w:spacing w:line="360" w:lineRule="auto"/>
        <w:ind w:right="190"/>
        <w:jc w:val="both"/>
        <w:rPr>
          <w:rFonts w:ascii="Arial" w:hAnsi="Arial" w:cs="Arial"/>
        </w:rPr>
      </w:pPr>
    </w:p>
    <w:p w14:paraId="2947FC8B" w14:textId="1A9AE9A2" w:rsidR="003C702D" w:rsidRDefault="005B0A6C" w:rsidP="00545B1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La población objetivo se determinó sobre la base de los ingresos y otros beneficios que forman parte del 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545B1C">
        <w:rPr>
          <w:rFonts w:ascii="Arial" w:hAnsi="Arial" w:cs="Arial"/>
          <w:bCs/>
        </w:rPr>
        <w:t>.</w:t>
      </w:r>
    </w:p>
    <w:p w14:paraId="6621F72B" w14:textId="77777777" w:rsidR="00DC17B4" w:rsidRDefault="00DC17B4" w:rsidP="00DC17B4">
      <w:pPr>
        <w:jc w:val="both"/>
        <w:rPr>
          <w:rFonts w:ascii="Arial" w:hAnsi="Arial" w:cs="Arial"/>
          <w:b/>
          <w:bCs/>
        </w:rPr>
      </w:pPr>
    </w:p>
    <w:p w14:paraId="762ED9CF" w14:textId="77777777" w:rsidR="00B3593F" w:rsidRDefault="00B3593F" w:rsidP="00B359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Gastos y Otras pérdidas</w:t>
      </w:r>
    </w:p>
    <w:p w14:paraId="7E66C199" w14:textId="77777777" w:rsidR="00B3593F" w:rsidRDefault="00B3593F" w:rsidP="00B3593F">
      <w:pPr>
        <w:spacing w:line="360" w:lineRule="auto"/>
        <w:rPr>
          <w:rFonts w:ascii="Arial" w:hAnsi="Arial" w:cs="Arial"/>
        </w:rPr>
      </w:pPr>
    </w:p>
    <w:p w14:paraId="471DFDE6" w14:textId="398C36E1" w:rsidR="00B3593F" w:rsidRDefault="00B3593F" w:rsidP="00B3593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Universo:</w:t>
      </w:r>
      <w:r>
        <w:rPr>
          <w:rFonts w:ascii="Arial" w:hAnsi="Arial" w:cs="Arial"/>
          <w:b/>
        </w:rPr>
        <w:t xml:space="preserve"> </w:t>
      </w:r>
      <w:r w:rsidRPr="009879F6">
        <w:rPr>
          <w:rFonts w:ascii="Arial" w:hAnsi="Arial" w:cs="Arial"/>
        </w:rPr>
        <w:t>$</w:t>
      </w:r>
      <w:r w:rsidRPr="00A6466C">
        <w:rPr>
          <w:rFonts w:ascii="Arial" w:hAnsi="Arial" w:cs="Arial"/>
        </w:rPr>
        <w:t>3,684,252.89</w:t>
      </w:r>
    </w:p>
    <w:p w14:paraId="532220F7" w14:textId="77777777" w:rsidR="00BA2606" w:rsidRPr="009879F6" w:rsidRDefault="00BA2606" w:rsidP="00B3593F">
      <w:pPr>
        <w:spacing w:line="360" w:lineRule="auto"/>
        <w:jc w:val="both"/>
        <w:rPr>
          <w:rFonts w:ascii="Arial" w:hAnsi="Arial" w:cs="Arial"/>
        </w:rPr>
      </w:pPr>
    </w:p>
    <w:p w14:paraId="3C0C245E" w14:textId="77777777" w:rsidR="00B3593F" w:rsidRPr="009879F6" w:rsidRDefault="00B3593F" w:rsidP="00B3593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lastRenderedPageBreak/>
        <w:t xml:space="preserve">Población Objetivo: </w:t>
      </w:r>
      <w:r w:rsidRPr="009879F6">
        <w:rPr>
          <w:rFonts w:ascii="Arial" w:hAnsi="Arial" w:cs="Arial"/>
        </w:rPr>
        <w:t>$</w:t>
      </w:r>
      <w:r w:rsidRPr="00A6466C">
        <w:rPr>
          <w:rFonts w:ascii="Arial" w:hAnsi="Arial" w:cs="Arial"/>
        </w:rPr>
        <w:t>3,684,252.89</w:t>
      </w:r>
    </w:p>
    <w:p w14:paraId="38DC008B" w14:textId="77777777" w:rsidR="00B3593F" w:rsidRPr="009879F6" w:rsidRDefault="00B3593F" w:rsidP="00B3593F">
      <w:pPr>
        <w:spacing w:line="360" w:lineRule="auto"/>
        <w:rPr>
          <w:rFonts w:ascii="Arial" w:hAnsi="Arial" w:cs="Arial"/>
        </w:rPr>
      </w:pPr>
    </w:p>
    <w:p w14:paraId="6B0D9887" w14:textId="77777777" w:rsidR="00B3593F" w:rsidRPr="009879F6" w:rsidRDefault="00B3593F" w:rsidP="00B3593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Pr="00A6466C">
        <w:rPr>
          <w:rFonts w:ascii="Arial" w:hAnsi="Arial" w:cs="Arial"/>
        </w:rPr>
        <w:t>2,</w:t>
      </w:r>
      <w:r>
        <w:rPr>
          <w:rFonts w:ascii="Arial" w:hAnsi="Arial" w:cs="Arial"/>
        </w:rPr>
        <w:t>848,908.01</w:t>
      </w:r>
    </w:p>
    <w:p w14:paraId="03A1708D" w14:textId="77777777" w:rsidR="00B3593F" w:rsidRPr="009879F6" w:rsidRDefault="00B3593F" w:rsidP="00B3593F">
      <w:pPr>
        <w:spacing w:line="360" w:lineRule="auto"/>
        <w:rPr>
          <w:rFonts w:ascii="Arial" w:hAnsi="Arial" w:cs="Arial"/>
        </w:rPr>
      </w:pPr>
    </w:p>
    <w:p w14:paraId="63678E4A" w14:textId="77777777" w:rsidR="00B3593F" w:rsidRDefault="00B3593F" w:rsidP="00B3593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77.33</w:t>
      </w:r>
      <w:r w:rsidRPr="009879F6">
        <w:rPr>
          <w:rFonts w:ascii="Arial" w:hAnsi="Arial" w:cs="Arial"/>
        </w:rPr>
        <w:t>%</w:t>
      </w:r>
    </w:p>
    <w:p w14:paraId="6FA1ACC3" w14:textId="77777777" w:rsidR="00B3593F" w:rsidRDefault="00B3593F" w:rsidP="00DC17B4">
      <w:pPr>
        <w:jc w:val="both"/>
        <w:rPr>
          <w:rFonts w:ascii="Arial" w:hAnsi="Arial" w:cs="Arial"/>
          <w:b/>
          <w:bCs/>
        </w:rPr>
      </w:pPr>
    </w:p>
    <w:p w14:paraId="46921478" w14:textId="791DD341" w:rsidR="00B3593F" w:rsidRDefault="001C4100" w:rsidP="00B3593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total del Universo no están</w:t>
      </w:r>
      <w:r w:rsidR="00B3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considerados los </w:t>
      </w:r>
      <w:r w:rsidR="00B3593F">
        <w:rPr>
          <w:rFonts w:ascii="Arial" w:hAnsi="Arial" w:cs="Arial"/>
        </w:rPr>
        <w:t>recursos federales, quedando integrada l</w:t>
      </w:r>
      <w:r w:rsidR="00B3593F" w:rsidRPr="009879F6">
        <w:rPr>
          <w:rFonts w:ascii="Arial" w:hAnsi="Arial" w:cs="Arial"/>
        </w:rPr>
        <w:t xml:space="preserve">a población objetivo </w:t>
      </w:r>
      <w:r w:rsidR="00B3593F">
        <w:rPr>
          <w:rFonts w:ascii="Arial" w:hAnsi="Arial" w:cs="Arial"/>
        </w:rPr>
        <w:t xml:space="preserve">únicamente por recursos municipales. </w:t>
      </w:r>
    </w:p>
    <w:p w14:paraId="6D280905" w14:textId="77777777" w:rsidR="00B3593F" w:rsidRDefault="00B3593F" w:rsidP="00B3593F">
      <w:pPr>
        <w:spacing w:line="360" w:lineRule="auto"/>
        <w:ind w:right="190"/>
        <w:jc w:val="both"/>
        <w:rPr>
          <w:rFonts w:ascii="Arial" w:hAnsi="Arial" w:cs="Arial"/>
        </w:rPr>
      </w:pPr>
    </w:p>
    <w:p w14:paraId="33EF0552" w14:textId="16E788E0" w:rsidR="00B3593F" w:rsidRDefault="00B3593F" w:rsidP="00B3593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La población objetivo se determinó sobre la base de los gastos y otras pérdidas que forman parte del 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5B0A6C">
        <w:rPr>
          <w:rFonts w:ascii="Arial" w:hAnsi="Arial" w:cs="Arial"/>
          <w:bCs/>
        </w:rPr>
        <w:t>.</w:t>
      </w:r>
    </w:p>
    <w:p w14:paraId="1BCA3205" w14:textId="77777777" w:rsidR="00B3593F" w:rsidRDefault="00B3593F" w:rsidP="00DC17B4">
      <w:pPr>
        <w:jc w:val="both"/>
        <w:rPr>
          <w:rFonts w:ascii="Arial" w:hAnsi="Arial" w:cs="Arial"/>
          <w:b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6548C142" w:rsidR="002E1AEF" w:rsidRPr="009879F6" w:rsidRDefault="00035255" w:rsidP="00DF2D3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>de los</w:t>
      </w:r>
      <w:r w:rsidR="00FA5CF8">
        <w:rPr>
          <w:rFonts w:ascii="Arial" w:hAnsi="Arial" w:cs="Arial"/>
          <w:bCs/>
        </w:rPr>
        <w:t xml:space="preserve"> </w:t>
      </w:r>
      <w:r w:rsidR="00E04B74" w:rsidRPr="00330BE8">
        <w:rPr>
          <w:rFonts w:ascii="Arial" w:hAnsi="Arial" w:cs="Arial"/>
          <w:bCs/>
        </w:rPr>
        <w:t>Ingresos y Otros Beneficios;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E04B74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2DCCF80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 xml:space="preserve">criterios </w:t>
      </w:r>
      <w:r w:rsidRPr="00D80054">
        <w:rPr>
          <w:rFonts w:ascii="Arial" w:hAnsi="Arial" w:cs="Arial"/>
          <w:bCs/>
        </w:rPr>
        <w:lastRenderedPageBreak/>
        <w:t>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AD0509">
        <w:rPr>
          <w:rFonts w:ascii="Arial" w:hAnsi="Arial" w:cs="Arial"/>
          <w:bCs/>
        </w:rPr>
        <w:t>requerida</w:t>
      </w:r>
      <w:r w:rsidR="005274CB" w:rsidRPr="00DC0B53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73E08FA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</w:t>
      </w:r>
      <w:r w:rsidR="00D31ADC">
        <w:rPr>
          <w:rFonts w:ascii="Arial" w:hAnsi="Arial" w:cs="Arial"/>
          <w:bCs/>
        </w:rPr>
        <w:t xml:space="preserve"> </w:t>
      </w:r>
      <w:r w:rsidRPr="00A05588">
        <w:rPr>
          <w:rFonts w:ascii="Arial" w:hAnsi="Arial" w:cs="Arial"/>
          <w:bCs/>
        </w:rPr>
        <w:t xml:space="preserve">mediante </w:t>
      </w:r>
      <w:r w:rsidR="00835CB2" w:rsidRPr="00835CB2">
        <w:rPr>
          <w:rFonts w:ascii="Arial" w:hAnsi="Arial" w:cs="Arial"/>
          <w:bCs/>
        </w:rPr>
        <w:t xml:space="preserve">la competencia técnica y profesional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835CB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35CB2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1EB4015" w14:textId="77777777" w:rsidR="00BA2606" w:rsidRDefault="00BA2606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145EEE30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0D312ED7" w:rsidR="008D4630" w:rsidRPr="008D4630" w:rsidRDefault="00234CE3" w:rsidP="00AF27E7">
      <w:pPr>
        <w:spacing w:line="360" w:lineRule="auto"/>
        <w:ind w:right="193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revisaron la</w:t>
      </w:r>
      <w:r w:rsidR="004B191E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1C4100">
        <w:rPr>
          <w:rFonts w:ascii="Arial" w:hAnsi="Arial" w:cs="Arial"/>
          <w:bCs/>
        </w:rPr>
        <w:t>áreas de la Coordinación Administrativa y la de C</w:t>
      </w:r>
      <w:r w:rsidR="004B191E">
        <w:rPr>
          <w:rFonts w:ascii="Arial" w:hAnsi="Arial" w:cs="Arial"/>
          <w:bCs/>
        </w:rPr>
        <w:t xml:space="preserve">ontabilidad </w:t>
      </w:r>
      <w:r w:rsidR="008D4630" w:rsidRPr="009879F6">
        <w:rPr>
          <w:rFonts w:ascii="Arial" w:hAnsi="Arial" w:cs="Arial"/>
        </w:rPr>
        <w:t xml:space="preserve">del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 xml:space="preserve">toda vez </w:t>
      </w:r>
      <w:r w:rsidR="007D13C9">
        <w:rPr>
          <w:rFonts w:ascii="Arial" w:hAnsi="Arial" w:cs="Arial"/>
          <w:bCs/>
        </w:rPr>
        <w:lastRenderedPageBreak/>
        <w:t>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ADE115E" w14:textId="77777777" w:rsidR="004B191E" w:rsidRPr="000F50CA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F50CA">
        <w:rPr>
          <w:rFonts w:ascii="Arial" w:hAnsi="Arial" w:cs="Arial"/>
          <w:bCs/>
        </w:rPr>
        <w:lastRenderedPageBreak/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544D078F" w14:textId="77777777" w:rsidR="004B191E" w:rsidRPr="000F50CA" w:rsidRDefault="004B191E" w:rsidP="004B191E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2A27CC92" w14:textId="77777777" w:rsidR="004B191E" w:rsidRPr="000F50CA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F50CA">
        <w:rPr>
          <w:rFonts w:ascii="Arial" w:hAnsi="Arial" w:cs="Arial"/>
          <w:bCs/>
        </w:rPr>
        <w:t>2. Verificar que los Ingresos que se reflejan en el Estado de Actividades representen operaciones efectivamente realizadas, y que todos los ingresos hayan sido registrados contablemente, de acuerdo a la Ley General de Contabilidad Gubernamental.</w:t>
      </w:r>
    </w:p>
    <w:p w14:paraId="53DFCBCA" w14:textId="77777777" w:rsidR="004B191E" w:rsidRPr="000F50CA" w:rsidRDefault="004B191E" w:rsidP="004B191E">
      <w:pPr>
        <w:ind w:right="190"/>
        <w:rPr>
          <w:rFonts w:ascii="Arial" w:hAnsi="Arial" w:cs="Arial"/>
          <w:bCs/>
        </w:rPr>
      </w:pPr>
    </w:p>
    <w:p w14:paraId="4B99DA8D" w14:textId="77777777" w:rsidR="004B191E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0F50CA">
        <w:rPr>
          <w:rFonts w:ascii="Arial" w:hAnsi="Arial" w:cs="Arial"/>
          <w:bCs/>
        </w:rPr>
        <w:t xml:space="preserve">. Conciliar las ministraciones registradas por el </w:t>
      </w:r>
      <w:r>
        <w:rPr>
          <w:rFonts w:ascii="Arial" w:hAnsi="Arial" w:cs="Arial"/>
          <w:bCs/>
        </w:rPr>
        <w:t>Instituto Municipal de la Juventud</w:t>
      </w:r>
      <w:r w:rsidRPr="000F50CA">
        <w:rPr>
          <w:rFonts w:ascii="Arial" w:hAnsi="Arial" w:cs="Arial"/>
          <w:bCs/>
        </w:rPr>
        <w:t xml:space="preserve"> de Benito Juárez con las transferencias realizadas por el Municipio de Benito Juárez y en su caso, realizar las aclaraciones correspondientes.</w:t>
      </w:r>
    </w:p>
    <w:p w14:paraId="686228B7" w14:textId="77777777" w:rsidR="004B191E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8C0D7FD" w14:textId="77777777" w:rsidR="004B191E" w:rsidRPr="000F50CA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0F50CA">
        <w:rPr>
          <w:rFonts w:ascii="Arial" w:hAnsi="Arial" w:cs="Arial"/>
          <w:bCs/>
        </w:rPr>
        <w:t>. Verificar si los estados financieros e informes contables, presupuestarios y programáticos se realizaron de conformidad con la Ley General de Contabilidad Gubernamental y demás normativa aplicable.</w:t>
      </w:r>
    </w:p>
    <w:p w14:paraId="392AC0C7" w14:textId="77777777" w:rsidR="004B191E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8327127" w14:textId="77777777" w:rsidR="004B191E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0F50CA">
        <w:rPr>
          <w:rFonts w:ascii="Arial" w:hAnsi="Arial" w:cs="Arial"/>
          <w:bCs/>
        </w:rPr>
        <w:t>. Verificar el apego a las normas y al presupuesto de egresos en la contratación de servicios, y si estos se ajustan o corresponden a los conceptos y a las partidas respectivas.</w:t>
      </w:r>
    </w:p>
    <w:p w14:paraId="630C443E" w14:textId="77777777" w:rsidR="004B191E" w:rsidRPr="000F50CA" w:rsidRDefault="004B191E" w:rsidP="004B19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Verificar que las contrataciones del personal por servicios de honorarios asimilables a salarios se llevaron de acorde a las leyes pertinente y las retenciones correspondientes.</w:t>
      </w:r>
    </w:p>
    <w:p w14:paraId="0C55D0EF" w14:textId="66E0A748" w:rsidR="006F7F81" w:rsidRPr="002B6B1E" w:rsidRDefault="006F7F81" w:rsidP="00200839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7777777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FA4D20" w:rsidRPr="002E2A36">
        <w:rPr>
          <w:rFonts w:ascii="Arial" w:hAnsi="Arial" w:cs="Arial"/>
          <w:b/>
        </w:rPr>
        <w:t>R</w:t>
      </w:r>
      <w:r w:rsidR="00E43850" w:rsidRPr="002E2A36">
        <w:rPr>
          <w:rFonts w:ascii="Arial" w:hAnsi="Arial" w:cs="Arial"/>
          <w:b/>
        </w:rPr>
        <w:t xml:space="preserve">esponsables de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1B6B5141" w:rsidR="00855650" w:rsidRDefault="00855650" w:rsidP="00E833D6">
      <w:pPr>
        <w:widowControl w:val="0"/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 xml:space="preserve">Auditoría Superior del Estado, que actuó en el desarrollo y ejecución de la auditoría, visita e inspección en forma conjunta o separada, </w:t>
      </w:r>
      <w:r w:rsidR="001C4100">
        <w:rPr>
          <w:rFonts w:ascii="Arial" w:hAnsi="Arial" w:cs="Arial"/>
          <w:bCs/>
        </w:rPr>
        <w:t xml:space="preserve">misma que se </w:t>
      </w:r>
      <w:r w:rsidR="009D1459" w:rsidRPr="009000E9">
        <w:rPr>
          <w:rFonts w:ascii="Arial" w:hAnsi="Arial" w:cs="Arial"/>
          <w:bCs/>
        </w:rPr>
        <w:t>acreditó</w:t>
      </w:r>
      <w:r w:rsidR="009D14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como personal de este Órgano Técnico de Fiscalización, </w:t>
      </w:r>
      <w:r w:rsidR="00835CB2" w:rsidRPr="00835CB2">
        <w:rPr>
          <w:rFonts w:ascii="Arial" w:hAnsi="Arial" w:cs="Arial"/>
          <w:bCs/>
        </w:rPr>
        <w:t>se encuentra referido en la orden emitida con oficio número ASEQROO/ASE/AEMF/04</w:t>
      </w:r>
      <w:r w:rsidR="00835CB2">
        <w:rPr>
          <w:rFonts w:ascii="Arial" w:hAnsi="Arial" w:cs="Arial"/>
          <w:bCs/>
        </w:rPr>
        <w:t>78</w:t>
      </w:r>
      <w:r w:rsidR="00835CB2" w:rsidRPr="00835CB2">
        <w:rPr>
          <w:rFonts w:ascii="Arial" w:hAnsi="Arial" w:cs="Arial"/>
          <w:bCs/>
        </w:rPr>
        <w:t>/08/2020, siendo los servidores públicos a cargo de coordinar y supervisar la auditoría, los siguientes:</w:t>
      </w:r>
    </w:p>
    <w:p w14:paraId="27C8C58A" w14:textId="77777777" w:rsidR="00855650" w:rsidRDefault="00855650" w:rsidP="00E833D6">
      <w:pPr>
        <w:widowControl w:val="0"/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855650" w:rsidRPr="00845B1A" w14:paraId="34A271CE" w14:textId="77777777" w:rsidTr="00E833D6">
        <w:trPr>
          <w:tblHeader/>
          <w:jc w:val="center"/>
        </w:trPr>
        <w:tc>
          <w:tcPr>
            <w:tcW w:w="6521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E833D6">
        <w:trPr>
          <w:jc w:val="center"/>
        </w:trPr>
        <w:tc>
          <w:tcPr>
            <w:tcW w:w="6521" w:type="dxa"/>
            <w:shd w:val="clear" w:color="auto" w:fill="auto"/>
          </w:tcPr>
          <w:p w14:paraId="56F4CBBE" w14:textId="131D0B50" w:rsidR="00855650" w:rsidRPr="00845B1A" w:rsidRDefault="00021FFC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E833D6">
        <w:trPr>
          <w:jc w:val="center"/>
        </w:trPr>
        <w:tc>
          <w:tcPr>
            <w:tcW w:w="6521" w:type="dxa"/>
            <w:shd w:val="clear" w:color="auto" w:fill="auto"/>
          </w:tcPr>
          <w:p w14:paraId="5820A067" w14:textId="4C7175BD" w:rsidR="00855650" w:rsidRPr="00845B1A" w:rsidRDefault="00021FFC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 </w:t>
            </w:r>
            <w:r w:rsidR="00A6466C">
              <w:rPr>
                <w:rFonts w:ascii="Arial" w:hAnsi="Arial" w:cs="Arial"/>
                <w:bCs/>
              </w:rPr>
              <w:t xml:space="preserve">Marcial Misael Estrella </w:t>
            </w:r>
            <w:proofErr w:type="spellStart"/>
            <w:r w:rsidR="00A6466C">
              <w:rPr>
                <w:rFonts w:ascii="Arial" w:hAnsi="Arial" w:cs="Arial"/>
                <w:bCs/>
              </w:rPr>
              <w:t>Cobarrubias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2740EEEC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0E9F6199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</w:t>
      </w:r>
      <w:r w:rsidR="009D1459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la Ley General de Contabilidad Gubernamental, </w:t>
      </w:r>
      <w:bookmarkStart w:id="8" w:name="_Hlk38631651"/>
      <w:r w:rsidR="009D1459" w:rsidRPr="009D1459">
        <w:rPr>
          <w:rFonts w:ascii="Arial" w:hAnsi="Arial" w:cs="Arial"/>
        </w:rPr>
        <w:t>a la Ley de Ingresos,</w:t>
      </w:r>
      <w:r w:rsidR="009D1459">
        <w:rPr>
          <w:rFonts w:ascii="Arial" w:hAnsi="Arial" w:cs="Arial"/>
          <w:color w:val="FF0000"/>
        </w:rPr>
        <w:t xml:space="preserve"> </w:t>
      </w:r>
      <w:r w:rsidR="00FA5CF8">
        <w:rPr>
          <w:rFonts w:ascii="Arial" w:hAnsi="Arial" w:cs="Arial"/>
        </w:rPr>
        <w:t>a</w:t>
      </w:r>
      <w:r w:rsidR="00D232F0">
        <w:rPr>
          <w:rFonts w:ascii="Arial" w:hAnsi="Arial" w:cs="Arial"/>
        </w:rPr>
        <w:t>l</w:t>
      </w:r>
      <w:r w:rsidR="00FA5CF8">
        <w:rPr>
          <w:rFonts w:ascii="Arial" w:hAnsi="Arial" w:cs="Arial"/>
        </w:rPr>
        <w:t xml:space="preserve"> Presupuesto de Egresos</w:t>
      </w:r>
      <w:bookmarkEnd w:id="8"/>
      <w:r w:rsidR="009D1459">
        <w:rPr>
          <w:rFonts w:ascii="Arial" w:hAnsi="Arial" w:cs="Arial"/>
        </w:rPr>
        <w:t>, Código Fiscal de</w:t>
      </w:r>
      <w:r w:rsidR="00267CCB">
        <w:rPr>
          <w:rFonts w:ascii="Arial" w:hAnsi="Arial" w:cs="Arial"/>
        </w:rPr>
        <w:t>l Estado de Quintana Roo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</w:t>
      </w:r>
      <w:r w:rsidR="009D1459">
        <w:rPr>
          <w:rFonts w:ascii="Arial" w:hAnsi="Arial" w:cs="Arial"/>
        </w:rPr>
        <w:t xml:space="preserve"> </w:t>
      </w:r>
      <w:r w:rsidR="009D1459" w:rsidRPr="009000E9">
        <w:rPr>
          <w:rFonts w:ascii="Arial" w:hAnsi="Arial" w:cs="Arial"/>
        </w:rPr>
        <w:t>además</w:t>
      </w:r>
      <w:r w:rsidR="009D1459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 xml:space="preserve">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23633B0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70D4E7C" w14:textId="5B37CAF8" w:rsidR="00FA5CF8" w:rsidRPr="00845B1A" w:rsidRDefault="00FA5CF8" w:rsidP="00DF2D3D">
      <w:pPr>
        <w:spacing w:line="360" w:lineRule="auto"/>
        <w:ind w:right="193"/>
        <w:jc w:val="both"/>
        <w:rPr>
          <w:rFonts w:ascii="Arial" w:hAnsi="Arial" w:cs="Arial"/>
          <w:bCs/>
          <w:u w:val="single"/>
        </w:rPr>
      </w:pPr>
      <w:r w:rsidRPr="004C23D5">
        <w:rPr>
          <w:rFonts w:ascii="Arial" w:hAnsi="Arial" w:cs="Arial"/>
        </w:rPr>
        <w:t>Se constató el cumplimiento de la Ley General de Contabilidad Gubernamental</w:t>
      </w:r>
      <w:r w:rsidR="009D1459">
        <w:rPr>
          <w:rFonts w:ascii="Arial" w:hAnsi="Arial" w:cs="Arial"/>
        </w:rPr>
        <w:t>, de la Ley de Ingresos,</w:t>
      </w:r>
      <w:r w:rsidRPr="004C23D5">
        <w:rPr>
          <w:rFonts w:ascii="Arial" w:hAnsi="Arial" w:cs="Arial"/>
        </w:rPr>
        <w:t xml:space="preserve"> de</w:t>
      </w:r>
      <w:r w:rsidR="009D1459">
        <w:rPr>
          <w:rFonts w:ascii="Arial" w:hAnsi="Arial" w:cs="Arial"/>
        </w:rPr>
        <w:t>l</w:t>
      </w:r>
      <w:bookmarkStart w:id="9" w:name="_Hlk38631769"/>
      <w:r w:rsidR="009000E9">
        <w:rPr>
          <w:rFonts w:ascii="Arial" w:hAnsi="Arial" w:cs="Arial"/>
        </w:rPr>
        <w:t xml:space="preserve"> </w:t>
      </w:r>
      <w:r w:rsidRPr="009311AC">
        <w:rPr>
          <w:rFonts w:ascii="Arial" w:hAnsi="Arial" w:cs="Arial"/>
        </w:rPr>
        <w:t>Presupuesto de Egresos</w:t>
      </w:r>
      <w:bookmarkEnd w:id="9"/>
      <w:r w:rsidRPr="009311AC">
        <w:rPr>
          <w:rFonts w:ascii="Arial" w:hAnsi="Arial" w:cs="Arial"/>
        </w:rPr>
        <w:t xml:space="preserve">, así como de lo emitido por el Consejo Nacional </w:t>
      </w:r>
      <w:r w:rsidRPr="009311AC">
        <w:rPr>
          <w:rFonts w:ascii="Arial" w:hAnsi="Arial" w:cs="Arial"/>
        </w:rPr>
        <w:lastRenderedPageBreak/>
        <w:t>de Armonización Contable (CONAC),</w:t>
      </w:r>
      <w:r w:rsidR="009D1459">
        <w:rPr>
          <w:rFonts w:ascii="Arial" w:hAnsi="Arial" w:cs="Arial"/>
        </w:rPr>
        <w:t xml:space="preserve"> del Código Fiscal de</w:t>
      </w:r>
      <w:r w:rsidR="00267CCB">
        <w:rPr>
          <w:rFonts w:ascii="Arial" w:hAnsi="Arial" w:cs="Arial"/>
        </w:rPr>
        <w:t>l Estado de Quintana Roo</w:t>
      </w:r>
      <w:r w:rsidR="009D1459">
        <w:rPr>
          <w:rFonts w:ascii="Arial" w:hAnsi="Arial" w:cs="Arial"/>
        </w:rPr>
        <w:t xml:space="preserve"> </w:t>
      </w:r>
      <w:r w:rsidR="009D1459" w:rsidRPr="009311AC">
        <w:rPr>
          <w:rFonts w:ascii="Arial" w:hAnsi="Arial" w:cs="Arial"/>
        </w:rPr>
        <w:t>y</w:t>
      </w:r>
      <w:r w:rsidRPr="009311AC">
        <w:rPr>
          <w:rFonts w:ascii="Arial" w:hAnsi="Arial" w:cs="Arial"/>
        </w:rPr>
        <w:t xml:space="preserve"> demás disposiciones legales y normativas aplicables.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63700713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10" w:name="_Hlk11408938"/>
      <w:r w:rsidR="00AC1182" w:rsidRPr="00925461">
        <w:rPr>
          <w:rFonts w:ascii="Arial" w:hAnsi="Arial" w:cs="Arial"/>
        </w:rPr>
        <w:t xml:space="preserve">se presentaron </w:t>
      </w:r>
      <w:bookmarkStart w:id="11" w:name="_Hlk11408885"/>
      <w:r w:rsidR="00A233F0">
        <w:rPr>
          <w:rFonts w:ascii="Arial" w:hAnsi="Arial" w:cs="Arial"/>
          <w:b/>
        </w:rPr>
        <w:t>6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12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12"/>
      <w:r w:rsidR="00AC1182" w:rsidRPr="00845B1A">
        <w:rPr>
          <w:rFonts w:ascii="Arial" w:hAnsi="Arial" w:cs="Arial"/>
        </w:rPr>
        <w:t xml:space="preserve">y se determinaron </w:t>
      </w:r>
      <w:r w:rsidR="00A233F0">
        <w:rPr>
          <w:rFonts w:ascii="Arial" w:hAnsi="Arial" w:cs="Arial"/>
          <w:b/>
        </w:rPr>
        <w:t>6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observaciones, </w:t>
      </w:r>
      <w:r w:rsidR="00AC1182" w:rsidRPr="00845B1A">
        <w:rPr>
          <w:rFonts w:ascii="Arial" w:hAnsi="Arial" w:cs="Arial"/>
        </w:rPr>
        <w:t>las cuales fueron</w:t>
      </w:r>
      <w:r w:rsidR="00B03571" w:rsidRPr="00845B1A">
        <w:rPr>
          <w:rFonts w:ascii="Arial" w:hAnsi="Arial" w:cs="Arial"/>
        </w:rPr>
        <w:t xml:space="preserve"> solventadas</w:t>
      </w:r>
      <w:r w:rsidR="00553881">
        <w:rPr>
          <w:rFonts w:ascii="Arial" w:hAnsi="Arial" w:cs="Arial"/>
        </w:rPr>
        <w:t>.</w:t>
      </w:r>
      <w:r w:rsidR="00AC1182" w:rsidRPr="006222F6">
        <w:rPr>
          <w:rFonts w:ascii="Arial" w:hAnsi="Arial" w:cs="Arial"/>
        </w:rPr>
        <w:t xml:space="preserve"> </w:t>
      </w:r>
    </w:p>
    <w:p w14:paraId="5BCC5AE4" w14:textId="77777777" w:rsidR="00BA2606" w:rsidRDefault="00BA2606" w:rsidP="002367AD">
      <w:pPr>
        <w:spacing w:line="360" w:lineRule="auto"/>
        <w:ind w:right="190"/>
        <w:jc w:val="both"/>
        <w:rPr>
          <w:rFonts w:ascii="Arial" w:hAnsi="Arial" w:cs="Arial"/>
        </w:rPr>
      </w:pPr>
    </w:p>
    <w:p w14:paraId="48F04B82" w14:textId="3C591038" w:rsidR="002F7D2D" w:rsidRPr="00C404BF" w:rsidRDefault="002F7D2D" w:rsidP="006241D4">
      <w:pPr>
        <w:spacing w:line="360" w:lineRule="auto"/>
        <w:ind w:right="193"/>
        <w:jc w:val="both"/>
        <w:rPr>
          <w:rFonts w:ascii="Arial" w:hAnsi="Arial" w:cs="Arial"/>
          <w:b/>
        </w:rPr>
      </w:pPr>
      <w:bookmarkStart w:id="13" w:name="_Hlk53071263"/>
      <w:bookmarkEnd w:id="10"/>
      <w:bookmarkEnd w:id="11"/>
      <w:r w:rsidRPr="00147304">
        <w:rPr>
          <w:rFonts w:ascii="Arial" w:hAnsi="Arial" w:cs="Arial"/>
          <w:b/>
        </w:rPr>
        <w:t xml:space="preserve">A. </w:t>
      </w:r>
      <w:bookmarkStart w:id="14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4"/>
    </w:p>
    <w:bookmarkEnd w:id="13"/>
    <w:p w14:paraId="458D97BD" w14:textId="77777777" w:rsidR="00A93AE5" w:rsidRDefault="00A93AE5" w:rsidP="006241D4">
      <w:pPr>
        <w:spacing w:line="360" w:lineRule="auto"/>
        <w:ind w:right="193"/>
        <w:jc w:val="both"/>
        <w:rPr>
          <w:rFonts w:ascii="Arial" w:hAnsi="Arial" w:cs="Arial"/>
        </w:rPr>
      </w:pPr>
    </w:p>
    <w:p w14:paraId="6402FB82" w14:textId="788A783F" w:rsidR="00640CCA" w:rsidRDefault="00640CCA" w:rsidP="006241D4">
      <w:pPr>
        <w:spacing w:line="360" w:lineRule="auto"/>
        <w:ind w:right="193"/>
        <w:jc w:val="both"/>
        <w:rPr>
          <w:rFonts w:ascii="Arial" w:hAnsi="Arial" w:cs="Arial"/>
        </w:rPr>
      </w:pPr>
      <w:bookmarkStart w:id="15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>se determin</w:t>
      </w:r>
      <w:r w:rsidR="00230A11" w:rsidRPr="00A233F0">
        <w:rPr>
          <w:rFonts w:ascii="Arial" w:hAnsi="Arial" w:cs="Arial"/>
        </w:rPr>
        <w:t>aron</w:t>
      </w:r>
      <w:r w:rsidR="00230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</w:t>
      </w:r>
      <w:r w:rsidRPr="00A233F0">
        <w:rPr>
          <w:rFonts w:ascii="Arial" w:hAnsi="Arial" w:cs="Arial"/>
        </w:rPr>
        <w:t>s</w:t>
      </w:r>
      <w:r w:rsidR="005C04C4">
        <w:rPr>
          <w:rFonts w:ascii="Arial" w:hAnsi="Arial" w:cs="Arial"/>
        </w:rPr>
        <w:t xml:space="preserve"> final</w:t>
      </w:r>
      <w:r w:rsidR="005C04C4" w:rsidRPr="00A233F0">
        <w:rPr>
          <w:rFonts w:ascii="Arial" w:hAnsi="Arial" w:cs="Arial"/>
        </w:rPr>
        <w:t>es</w:t>
      </w:r>
      <w:r w:rsidR="005C04C4">
        <w:rPr>
          <w:rFonts w:ascii="Arial" w:hAnsi="Arial" w:cs="Arial"/>
        </w:rPr>
        <w:t xml:space="preserve">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7333F9BA" w14:textId="0BEF671B" w:rsidR="00987435" w:rsidRDefault="00987435" w:rsidP="006241D4">
      <w:pPr>
        <w:spacing w:line="360" w:lineRule="auto"/>
        <w:ind w:right="193"/>
        <w:jc w:val="both"/>
        <w:rPr>
          <w:rFonts w:ascii="Arial" w:hAnsi="Arial" w:cs="Arial"/>
        </w:rPr>
      </w:pPr>
    </w:p>
    <w:p w14:paraId="7A534029" w14:textId="43FF4FFC" w:rsidR="00987435" w:rsidRPr="00987435" w:rsidRDefault="00987435" w:rsidP="006241D4">
      <w:pPr>
        <w:spacing w:line="360" w:lineRule="auto"/>
        <w:ind w:right="193"/>
        <w:jc w:val="both"/>
        <w:rPr>
          <w:rFonts w:ascii="Arial" w:hAnsi="Arial" w:cs="Arial"/>
          <w:b/>
          <w:bCs/>
        </w:rPr>
      </w:pPr>
      <w:r w:rsidRPr="00987435">
        <w:rPr>
          <w:rFonts w:ascii="Arial" w:hAnsi="Arial" w:cs="Arial"/>
          <w:b/>
          <w:bCs/>
        </w:rPr>
        <w:t>Egresos</w:t>
      </w:r>
    </w:p>
    <w:bookmarkEnd w:id="15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992"/>
        <w:gridCol w:w="3261"/>
        <w:gridCol w:w="1699"/>
      </w:tblGrid>
      <w:tr w:rsidR="00A233F0" w:rsidRPr="00B732FF" w14:paraId="3B520BB1" w14:textId="77777777" w:rsidTr="006241D4">
        <w:trPr>
          <w:tblHeader/>
        </w:trPr>
        <w:tc>
          <w:tcPr>
            <w:tcW w:w="811" w:type="pct"/>
            <w:shd w:val="clear" w:color="auto" w:fill="D0CECE"/>
            <w:vAlign w:val="center"/>
          </w:tcPr>
          <w:p w14:paraId="7CA0BB61" w14:textId="77777777" w:rsidR="00A233F0" w:rsidRPr="00B732FF" w:rsidRDefault="00A233F0" w:rsidP="00A233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576" w:type="pct"/>
            <w:shd w:val="clear" w:color="auto" w:fill="D0CECE"/>
            <w:vAlign w:val="center"/>
          </w:tcPr>
          <w:p w14:paraId="3D416542" w14:textId="77777777" w:rsidR="00A233F0" w:rsidRPr="00B732FF" w:rsidRDefault="00A233F0" w:rsidP="00A233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718" w:type="pct"/>
            <w:shd w:val="clear" w:color="auto" w:fill="D0CECE"/>
            <w:vAlign w:val="center"/>
          </w:tcPr>
          <w:p w14:paraId="10D679E8" w14:textId="77777777" w:rsidR="00A233F0" w:rsidRPr="00B732FF" w:rsidRDefault="00A233F0" w:rsidP="00A233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95" w:type="pct"/>
            <w:shd w:val="clear" w:color="auto" w:fill="D0CECE"/>
            <w:vAlign w:val="center"/>
          </w:tcPr>
          <w:p w14:paraId="0F0F8676" w14:textId="77777777" w:rsidR="00A233F0" w:rsidRPr="00B732FF" w:rsidRDefault="00A233F0" w:rsidP="00A233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61A613CA" w14:textId="77777777" w:rsidR="00A233F0" w:rsidRPr="00B732FF" w:rsidRDefault="00A233F0" w:rsidP="00A233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A233F0" w:rsidRPr="00B732FF" w14:paraId="5C6BBF16" w14:textId="77777777" w:rsidTr="006241D4">
        <w:tc>
          <w:tcPr>
            <w:tcW w:w="811" w:type="pct"/>
            <w:shd w:val="clear" w:color="auto" w:fill="auto"/>
          </w:tcPr>
          <w:p w14:paraId="559760F0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B6EB6A6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6" w:type="pct"/>
            <w:shd w:val="clear" w:color="auto" w:fill="auto"/>
          </w:tcPr>
          <w:p w14:paraId="5161C184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3B9">
              <w:rPr>
                <w:rFonts w:ascii="Arial" w:hAnsi="Arial" w:cs="Arial"/>
                <w:sz w:val="16"/>
                <w:szCs w:val="16"/>
              </w:rPr>
              <w:t>Devolución de Nómina</w:t>
            </w:r>
          </w:p>
        </w:tc>
        <w:tc>
          <w:tcPr>
            <w:tcW w:w="1718" w:type="pct"/>
            <w:shd w:val="clear" w:color="auto" w:fill="auto"/>
          </w:tcPr>
          <w:p w14:paraId="2E49BC2C" w14:textId="45199F67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1B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050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="00A233F0" w:rsidRPr="0005020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895" w:type="pct"/>
            <w:shd w:val="clear" w:color="auto" w:fill="auto"/>
          </w:tcPr>
          <w:p w14:paraId="4FC6E38D" w14:textId="0D3F5D35" w:rsidR="00A233F0" w:rsidRDefault="00987435" w:rsidP="00A2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  <w:p w14:paraId="5DC4A7F1" w14:textId="5B685571" w:rsidR="008C2D63" w:rsidRPr="00B732FF" w:rsidRDefault="008C2D63" w:rsidP="00A2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F0" w:rsidRPr="00B732FF" w14:paraId="468D090F" w14:textId="77777777" w:rsidTr="006241D4">
        <w:tc>
          <w:tcPr>
            <w:tcW w:w="811" w:type="pct"/>
            <w:shd w:val="clear" w:color="auto" w:fill="auto"/>
          </w:tcPr>
          <w:p w14:paraId="2C8E9678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752F4D83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6" w:type="pct"/>
            <w:shd w:val="clear" w:color="auto" w:fill="auto"/>
          </w:tcPr>
          <w:p w14:paraId="32BD8537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3B9">
              <w:rPr>
                <w:rFonts w:ascii="Arial" w:hAnsi="Arial" w:cs="Arial"/>
                <w:sz w:val="16"/>
                <w:szCs w:val="16"/>
              </w:rPr>
              <w:t>Pago de Nómina</w:t>
            </w:r>
          </w:p>
        </w:tc>
        <w:tc>
          <w:tcPr>
            <w:tcW w:w="1718" w:type="pct"/>
            <w:shd w:val="clear" w:color="auto" w:fill="auto"/>
          </w:tcPr>
          <w:p w14:paraId="2BAC54BE" w14:textId="68DD48EA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1B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050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="00A233F0" w:rsidRPr="0005020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895" w:type="pct"/>
            <w:shd w:val="clear" w:color="auto" w:fill="auto"/>
          </w:tcPr>
          <w:p w14:paraId="7AAA6E7C" w14:textId="770D3F7B" w:rsidR="00A233F0" w:rsidRDefault="00987435" w:rsidP="00A233F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Aspectos de Control Interno</w:t>
            </w:r>
          </w:p>
          <w:p w14:paraId="0D3BB4A0" w14:textId="6E4F9851" w:rsidR="008C2D63" w:rsidRPr="00B732FF" w:rsidRDefault="008C2D63" w:rsidP="00A2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F0" w:rsidRPr="00B732FF" w14:paraId="3BAB4EAD" w14:textId="77777777" w:rsidTr="000C19BF">
        <w:tc>
          <w:tcPr>
            <w:tcW w:w="811" w:type="pct"/>
            <w:shd w:val="clear" w:color="auto" w:fill="auto"/>
          </w:tcPr>
          <w:p w14:paraId="2BA1615D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 :3</w:t>
            </w:r>
          </w:p>
          <w:p w14:paraId="6920E940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6" w:type="pct"/>
            <w:shd w:val="clear" w:color="auto" w:fill="auto"/>
          </w:tcPr>
          <w:p w14:paraId="2EA12C7E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Pago de Retroactivo</w:t>
            </w:r>
          </w:p>
        </w:tc>
        <w:tc>
          <w:tcPr>
            <w:tcW w:w="1718" w:type="pct"/>
            <w:shd w:val="clear" w:color="auto" w:fill="auto"/>
          </w:tcPr>
          <w:p w14:paraId="7834BB5B" w14:textId="06CE8CFA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1B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050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="00A233F0" w:rsidRPr="0005020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895" w:type="pct"/>
            <w:shd w:val="clear" w:color="auto" w:fill="auto"/>
          </w:tcPr>
          <w:p w14:paraId="1A048D3E" w14:textId="05CFF3C9" w:rsidR="00A233F0" w:rsidRPr="00B732FF" w:rsidRDefault="002B7C34" w:rsidP="000C1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$216,154.56</w:t>
            </w:r>
          </w:p>
        </w:tc>
      </w:tr>
      <w:tr w:rsidR="00A233F0" w:rsidRPr="00B732FF" w14:paraId="1CD8980E" w14:textId="77777777" w:rsidTr="000C19BF">
        <w:tc>
          <w:tcPr>
            <w:tcW w:w="811" w:type="pct"/>
            <w:shd w:val="clear" w:color="auto" w:fill="auto"/>
          </w:tcPr>
          <w:p w14:paraId="35F623CE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3EC87153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6" w:type="pct"/>
            <w:shd w:val="clear" w:color="auto" w:fill="auto"/>
          </w:tcPr>
          <w:p w14:paraId="2AB04EAD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3B9">
              <w:rPr>
                <w:rFonts w:ascii="Arial" w:hAnsi="Arial" w:cs="Arial"/>
                <w:sz w:val="16"/>
                <w:szCs w:val="16"/>
              </w:rPr>
              <w:t>Incumplimiento a la Normativa Aplicable</w:t>
            </w:r>
          </w:p>
        </w:tc>
        <w:tc>
          <w:tcPr>
            <w:tcW w:w="1718" w:type="pct"/>
            <w:shd w:val="clear" w:color="auto" w:fill="auto"/>
          </w:tcPr>
          <w:p w14:paraId="48C70E4D" w14:textId="33549800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5D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 w:rsidRPr="003863B9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3863B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95" w:type="pct"/>
            <w:shd w:val="clear" w:color="auto" w:fill="auto"/>
          </w:tcPr>
          <w:p w14:paraId="177C7671" w14:textId="0D09A92C" w:rsidR="00A233F0" w:rsidRPr="00B732FF" w:rsidRDefault="002B7C34" w:rsidP="000C1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1,984,201.34</w:t>
            </w:r>
          </w:p>
        </w:tc>
      </w:tr>
      <w:tr w:rsidR="00A233F0" w:rsidRPr="00B732FF" w14:paraId="36FBF5EE" w14:textId="77777777" w:rsidTr="000C19BF">
        <w:tc>
          <w:tcPr>
            <w:tcW w:w="811" w:type="pct"/>
            <w:shd w:val="clear" w:color="auto" w:fill="auto"/>
          </w:tcPr>
          <w:p w14:paraId="3C4E241B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:5</w:t>
            </w:r>
          </w:p>
          <w:p w14:paraId="1CCC038A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6" w:type="pct"/>
            <w:shd w:val="clear" w:color="auto" w:fill="auto"/>
          </w:tcPr>
          <w:p w14:paraId="59B095E7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Bono Adicional</w:t>
            </w:r>
          </w:p>
        </w:tc>
        <w:tc>
          <w:tcPr>
            <w:tcW w:w="1718" w:type="pct"/>
            <w:shd w:val="clear" w:color="auto" w:fill="auto"/>
          </w:tcPr>
          <w:p w14:paraId="6673B7C6" w14:textId="7A5BB228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5D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 w:rsidRPr="003863B9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3863B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895" w:type="pct"/>
            <w:shd w:val="clear" w:color="auto" w:fill="auto"/>
          </w:tcPr>
          <w:p w14:paraId="005E269D" w14:textId="425A2DC7" w:rsidR="00A233F0" w:rsidRPr="00B732FF" w:rsidRDefault="002B7C34" w:rsidP="000C1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241,130.67</w:t>
            </w:r>
          </w:p>
        </w:tc>
      </w:tr>
      <w:tr w:rsidR="00A233F0" w:rsidRPr="00B732FF" w14:paraId="613CFDC8" w14:textId="77777777" w:rsidTr="006241D4">
        <w:tc>
          <w:tcPr>
            <w:tcW w:w="811" w:type="pct"/>
            <w:shd w:val="clear" w:color="auto" w:fill="auto"/>
          </w:tcPr>
          <w:p w14:paraId="7B167B55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:6</w:t>
            </w:r>
          </w:p>
          <w:p w14:paraId="28866C3C" w14:textId="77777777" w:rsidR="00A233F0" w:rsidRPr="0035469A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6" w:type="pct"/>
            <w:shd w:val="clear" w:color="auto" w:fill="auto"/>
          </w:tcPr>
          <w:p w14:paraId="47F2F31E" w14:textId="77777777" w:rsidR="00A233F0" w:rsidRPr="00B732FF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Talleres de Capacitación</w:t>
            </w:r>
          </w:p>
        </w:tc>
        <w:tc>
          <w:tcPr>
            <w:tcW w:w="1718" w:type="pct"/>
            <w:shd w:val="clear" w:color="auto" w:fill="auto"/>
          </w:tcPr>
          <w:p w14:paraId="4E659E03" w14:textId="1082837E" w:rsidR="00A233F0" w:rsidRPr="00050202" w:rsidRDefault="008F2875" w:rsidP="00A233F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A233F0"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3D</w:t>
            </w: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  <w:r w:rsidR="00A233F0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233F0" w:rsidRPr="00426A6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inadecuada formalización de contratos, convenios o pedidos</w:t>
            </w:r>
          </w:p>
        </w:tc>
        <w:tc>
          <w:tcPr>
            <w:tcW w:w="895" w:type="pct"/>
            <w:shd w:val="clear" w:color="auto" w:fill="auto"/>
          </w:tcPr>
          <w:p w14:paraId="2B6BCA4F" w14:textId="35DD13A5" w:rsidR="00A233F0" w:rsidRPr="00B732FF" w:rsidRDefault="00987435" w:rsidP="00A2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A233F0" w:rsidRPr="00B732FF" w14:paraId="09ABF18D" w14:textId="77777777" w:rsidTr="006241D4">
        <w:tc>
          <w:tcPr>
            <w:tcW w:w="811" w:type="pct"/>
            <w:shd w:val="clear" w:color="auto" w:fill="auto"/>
          </w:tcPr>
          <w:p w14:paraId="7BE0CDA0" w14:textId="77777777" w:rsidR="00A233F0" w:rsidRDefault="00A233F0" w:rsidP="00A233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7A3D6982" w14:textId="77777777" w:rsidR="00A233F0" w:rsidRPr="003863B9" w:rsidRDefault="00A233F0" w:rsidP="00A233F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shd w:val="clear" w:color="auto" w:fill="auto"/>
          </w:tcPr>
          <w:p w14:paraId="2105A022" w14:textId="77777777" w:rsidR="00A233F0" w:rsidRPr="00050202" w:rsidRDefault="00A233F0" w:rsidP="00A233F0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95" w:type="pct"/>
            <w:shd w:val="clear" w:color="auto" w:fill="auto"/>
          </w:tcPr>
          <w:p w14:paraId="6FDCEE39" w14:textId="77777777" w:rsidR="00A233F0" w:rsidRPr="00770F8F" w:rsidRDefault="00A233F0" w:rsidP="00A233F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</w:t>
            </w:r>
            <w:r w:rsidRPr="00426A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441</w:t>
            </w:r>
            <w:r w:rsidRPr="00426A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486</w:t>
            </w:r>
            <w:r w:rsidRPr="00426A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</w:tbl>
    <w:p w14:paraId="139A4DA3" w14:textId="4C85C48F" w:rsidR="005B4384" w:rsidRDefault="005B4384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BCBF1CF" w14:textId="613411CD" w:rsidR="00183532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bookmarkStart w:id="16" w:name="_Hlk53071321"/>
      <w:bookmarkStart w:id="17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 xml:space="preserve">eterminadas </w:t>
      </w:r>
      <w:r w:rsidR="00B44FA6" w:rsidRPr="00B44FA6">
        <w:rPr>
          <w:rFonts w:ascii="Arial" w:hAnsi="Arial" w:cs="Arial"/>
          <w:b/>
          <w:bCs/>
        </w:rPr>
        <w:t>por Auditoría en Materia Financiera</w:t>
      </w:r>
      <w:r w:rsidR="00B44FA6">
        <w:rPr>
          <w:rFonts w:ascii="Arial" w:hAnsi="Arial" w:cs="Arial"/>
          <w:b/>
          <w:bCs/>
        </w:rPr>
        <w:t xml:space="preserve">, </w:t>
      </w:r>
      <w:r w:rsidR="000A472A" w:rsidRPr="00E3352A">
        <w:rPr>
          <w:rFonts w:ascii="Arial" w:hAnsi="Arial" w:cs="Arial"/>
          <w:b/>
          <w:bCs/>
        </w:rPr>
        <w:t>Justificaciones y Aclaraciones de la Entidad Fiscalizada</w:t>
      </w:r>
      <w:r w:rsidR="008C2D63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 </w:t>
      </w:r>
      <w:r w:rsidR="008C2D63">
        <w:rPr>
          <w:rFonts w:ascii="Arial" w:hAnsi="Arial" w:cs="Arial"/>
          <w:b/>
          <w:bCs/>
        </w:rPr>
        <w:t xml:space="preserve">y Recomendaciones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325FBF3E" w14:textId="35277732" w:rsidR="008F2875" w:rsidRDefault="008F2875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B8BF440" w14:textId="2E90D946" w:rsidR="008F2875" w:rsidRDefault="008F2875" w:rsidP="008F2875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05EC302B" w14:textId="77777777" w:rsidR="00B76C01" w:rsidRPr="00541C99" w:rsidRDefault="00B76C01" w:rsidP="008F2875">
      <w:pPr>
        <w:spacing w:line="360" w:lineRule="auto"/>
        <w:ind w:right="190"/>
        <w:jc w:val="both"/>
        <w:rPr>
          <w:rFonts w:ascii="Arial" w:hAnsi="Arial" w:cs="Arial"/>
        </w:rPr>
      </w:pPr>
    </w:p>
    <w:p w14:paraId="46149ACC" w14:textId="69B4EDEB" w:rsidR="008F2875" w:rsidRDefault="008F2875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Egresos</w:t>
      </w:r>
    </w:p>
    <w:p w14:paraId="04AF9B89" w14:textId="77777777" w:rsidR="002A4B49" w:rsidRDefault="002A4B49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053"/>
        <w:gridCol w:w="1701"/>
        <w:gridCol w:w="1559"/>
        <w:gridCol w:w="1775"/>
      </w:tblGrid>
      <w:tr w:rsidR="008F2875" w:rsidRPr="009658B6" w14:paraId="443E67E6" w14:textId="77777777" w:rsidTr="00E833D6">
        <w:trPr>
          <w:trHeight w:val="397"/>
          <w:tblHeader/>
          <w:jc w:val="center"/>
        </w:trPr>
        <w:tc>
          <w:tcPr>
            <w:tcW w:w="964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5EA2FF3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8F2875" w:rsidRPr="009658B6" w14:paraId="00EB2EE6" w14:textId="77777777" w:rsidTr="00E833D6">
        <w:trPr>
          <w:tblHeader/>
          <w:jc w:val="center"/>
        </w:trPr>
        <w:tc>
          <w:tcPr>
            <w:tcW w:w="255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924CE9A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416C0F1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7F48C9A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C2F2D7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8F2875" w:rsidRPr="009658B6" w14:paraId="1C54DDD7" w14:textId="77777777" w:rsidTr="00E833D6">
        <w:trPr>
          <w:tblHeader/>
          <w:jc w:val="center"/>
        </w:trPr>
        <w:tc>
          <w:tcPr>
            <w:tcW w:w="255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972ECB8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F02D68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10AB691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30A8C9A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6C0C511" w14:textId="77777777" w:rsidR="008F2875" w:rsidRPr="009658B6" w:rsidRDefault="008F2875" w:rsidP="00B359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19BF" w:rsidRPr="009658B6" w14:paraId="49B4A1D3" w14:textId="77777777" w:rsidTr="00E833D6">
        <w:trPr>
          <w:jc w:val="center"/>
        </w:trPr>
        <w:tc>
          <w:tcPr>
            <w:tcW w:w="2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FF3310" w14:textId="0F5A2570" w:rsidR="000C19BF" w:rsidRPr="009658B6" w:rsidRDefault="000C19BF" w:rsidP="007257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(1B)</w:t>
            </w:r>
            <w:r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50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05020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56C634" w14:textId="6B98D4E2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$216,154.56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FE871E" w14:textId="1050827B" w:rsidR="000C19BF" w:rsidRPr="000C19BF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9BF">
              <w:rPr>
                <w:rFonts w:ascii="Arial" w:hAnsi="Arial" w:cs="Arial"/>
                <w:sz w:val="16"/>
                <w:szCs w:val="16"/>
              </w:rPr>
              <w:t>$216,154.56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9255A6" w14:textId="478625AB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ECB3A6" w14:textId="76F3854B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C19BF" w:rsidRPr="009658B6" w14:paraId="744C0813" w14:textId="77777777" w:rsidTr="00E833D6">
        <w:trPr>
          <w:jc w:val="center"/>
        </w:trPr>
        <w:tc>
          <w:tcPr>
            <w:tcW w:w="2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1B0F02C" w14:textId="105AF004" w:rsidR="000C19BF" w:rsidRPr="009658B6" w:rsidRDefault="000C19BF" w:rsidP="007257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(5D)</w:t>
            </w:r>
            <w:r w:rsidRPr="003863B9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863B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FA9DA0" w14:textId="612BE4ED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1,984,201.34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7DF492" w14:textId="7808B6C3" w:rsidR="000C19BF" w:rsidRPr="000C19BF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9BF">
              <w:rPr>
                <w:rFonts w:ascii="Arial" w:hAnsi="Arial" w:cs="Arial"/>
                <w:sz w:val="16"/>
                <w:szCs w:val="16"/>
              </w:rPr>
              <w:t>1,984,201.34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1C38D0" w14:textId="794F099F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BC711B" w14:textId="4846C6EF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C19BF" w:rsidRPr="009658B6" w14:paraId="15D146A2" w14:textId="77777777" w:rsidTr="00E833D6">
        <w:trPr>
          <w:jc w:val="center"/>
        </w:trPr>
        <w:tc>
          <w:tcPr>
            <w:tcW w:w="2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DEB6FE" w14:textId="0BB67105" w:rsidR="000C19BF" w:rsidRPr="009658B6" w:rsidRDefault="000C19BF" w:rsidP="0072577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87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(5D)</w:t>
            </w:r>
            <w:r w:rsidRPr="003863B9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863B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1EEBF1" w14:textId="6BFA37A1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241,130.67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4E42D5" w14:textId="23FE237A" w:rsidR="000C19BF" w:rsidRPr="000C19BF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9BF">
              <w:rPr>
                <w:rFonts w:ascii="Arial" w:hAnsi="Arial" w:cs="Arial"/>
                <w:sz w:val="16"/>
                <w:szCs w:val="16"/>
              </w:rPr>
              <w:t>241,130.67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66CDC1" w14:textId="3A06A615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2F03FED" w14:textId="3D2AC1F7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C19BF" w:rsidRPr="009658B6" w14:paraId="72248F9E" w14:textId="77777777" w:rsidTr="00E833D6">
        <w:trPr>
          <w:jc w:val="center"/>
        </w:trPr>
        <w:tc>
          <w:tcPr>
            <w:tcW w:w="2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125124" w14:textId="77777777" w:rsidR="000C19BF" w:rsidRPr="009658B6" w:rsidRDefault="000C19BF" w:rsidP="000C19B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BFA434" w14:textId="77777777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0B155D" w14:textId="77777777" w:rsidR="000C19BF" w:rsidRPr="000C19BF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3F6CA5" w14:textId="77777777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37EA4D" w14:textId="77777777" w:rsidR="000C19BF" w:rsidRPr="009658B6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9BF" w:rsidRPr="009658B6" w14:paraId="22B83A4D" w14:textId="77777777" w:rsidTr="00E833D6">
        <w:trPr>
          <w:trHeight w:val="255"/>
          <w:jc w:val="center"/>
        </w:trPr>
        <w:tc>
          <w:tcPr>
            <w:tcW w:w="2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A6A624" w14:textId="77777777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6C01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40BC1F" w14:textId="6E9B69AC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6C01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B76C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2,441,486.57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97DD3A4" w14:textId="43042339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b/>
                <w:sz w:val="16"/>
                <w:szCs w:val="16"/>
              </w:rPr>
              <w:t>$2,441,486.57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2D275F" w14:textId="332BE88C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4C5DD4" w14:textId="3D19992A" w:rsidR="000C19BF" w:rsidRPr="00B76C01" w:rsidRDefault="000C19BF" w:rsidP="000C19B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C01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</w:tbl>
    <w:p w14:paraId="34BEABFA" w14:textId="77777777" w:rsidR="008F2875" w:rsidRPr="00761FA3" w:rsidRDefault="008F2875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11201E8" w14:textId="0A45B28B" w:rsidR="00F16F5B" w:rsidRDefault="008F2875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bookmarkStart w:id="18" w:name="_Hlk53071339"/>
      <w:bookmarkStart w:id="19" w:name="_Hlk11419841"/>
      <w:bookmarkEnd w:id="16"/>
      <w:bookmarkEnd w:id="17"/>
      <w:r>
        <w:rPr>
          <w:rFonts w:ascii="Arial" w:hAnsi="Arial" w:cs="Arial"/>
          <w:szCs w:val="28"/>
        </w:rPr>
        <w:lastRenderedPageBreak/>
        <w:t>Asimismo, l</w:t>
      </w:r>
      <w:r w:rsidR="00F16F5B" w:rsidRPr="000E7791">
        <w:rPr>
          <w:rFonts w:ascii="Arial" w:hAnsi="Arial" w:cs="Arial"/>
          <w:szCs w:val="28"/>
        </w:rPr>
        <w:t>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545B1C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2443BD3" w14:textId="34731EF3" w:rsidR="00D024A8" w:rsidRDefault="00D024A8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3"/>
        <w:gridCol w:w="2588"/>
        <w:gridCol w:w="1841"/>
      </w:tblGrid>
      <w:tr w:rsidR="00D024A8" w14:paraId="7C61E8E1" w14:textId="77777777" w:rsidTr="00DF2D3D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18E9FDC" w14:textId="77777777" w:rsidR="00D024A8" w:rsidRPr="00F01AC8" w:rsidRDefault="00D024A8" w:rsidP="00D024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7978553" w14:textId="77777777" w:rsidR="00D024A8" w:rsidRDefault="00D024A8" w:rsidP="00D024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AE2A928" w14:textId="77777777" w:rsidR="00D024A8" w:rsidRPr="00F01AC8" w:rsidRDefault="00D024A8" w:rsidP="00D024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4801B82" w14:textId="77777777" w:rsidR="00D024A8" w:rsidRPr="00F01AC8" w:rsidRDefault="00D024A8" w:rsidP="00D024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41ABF1A4" w14:textId="77777777" w:rsidR="00D024A8" w:rsidRPr="00F01AC8" w:rsidRDefault="00D024A8" w:rsidP="00D024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D024A8" w:rsidRPr="003160F9" w14:paraId="26079C56" w14:textId="77777777" w:rsidTr="00DF2D3D">
        <w:tc>
          <w:tcPr>
            <w:tcW w:w="811" w:type="pct"/>
            <w:shd w:val="clear" w:color="auto" w:fill="auto"/>
          </w:tcPr>
          <w:p w14:paraId="53300ACE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751B5F78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6" w:type="pct"/>
            <w:shd w:val="clear" w:color="auto" w:fill="auto"/>
          </w:tcPr>
          <w:p w14:paraId="362A683E" w14:textId="77777777" w:rsidR="00D024A8" w:rsidRPr="00467F99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Falta de documentación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comprobatoria de las erogaciones o que no reúne requisitos fiscales.</w:t>
            </w:r>
          </w:p>
        </w:tc>
        <w:tc>
          <w:tcPr>
            <w:tcW w:w="1363" w:type="pct"/>
            <w:shd w:val="clear" w:color="auto" w:fill="auto"/>
          </w:tcPr>
          <w:p w14:paraId="13EDF0DC" w14:textId="77777777" w:rsidR="00D024A8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A3DF5B3" w14:textId="77777777" w:rsidR="00D024A8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024A8" w:rsidRPr="003160F9" w14:paraId="5B35BEC8" w14:textId="77777777" w:rsidTr="00DF2D3D">
        <w:tc>
          <w:tcPr>
            <w:tcW w:w="811" w:type="pct"/>
            <w:shd w:val="clear" w:color="auto" w:fill="auto"/>
          </w:tcPr>
          <w:p w14:paraId="0D054D96" w14:textId="2753B800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F7E2BC4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56" w:type="pct"/>
            <w:shd w:val="clear" w:color="auto" w:fill="auto"/>
          </w:tcPr>
          <w:p w14:paraId="4661C17D" w14:textId="77777777" w:rsidR="00D024A8" w:rsidRPr="00AB7533" w:rsidRDefault="00D024A8" w:rsidP="00D024A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AB753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3" w:type="pct"/>
            <w:shd w:val="clear" w:color="auto" w:fill="auto"/>
          </w:tcPr>
          <w:p w14:paraId="2F48B699" w14:textId="77777777" w:rsidR="00D024A8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391CB6D" w14:textId="77777777" w:rsidR="00D024A8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024A8" w:rsidRPr="003160F9" w14:paraId="3E74EEF3" w14:textId="77777777" w:rsidTr="00DF2D3D">
        <w:tc>
          <w:tcPr>
            <w:tcW w:w="811" w:type="pct"/>
            <w:shd w:val="clear" w:color="auto" w:fill="auto"/>
          </w:tcPr>
          <w:p w14:paraId="37E4E29D" w14:textId="6D9B9801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2D66059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856" w:type="pct"/>
            <w:shd w:val="clear" w:color="auto" w:fill="auto"/>
          </w:tcPr>
          <w:p w14:paraId="553B22D4" w14:textId="77777777" w:rsidR="00D024A8" w:rsidRPr="00AB7533" w:rsidRDefault="00D024A8" w:rsidP="00D024A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AB753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3" w:type="pct"/>
            <w:shd w:val="clear" w:color="auto" w:fill="auto"/>
          </w:tcPr>
          <w:p w14:paraId="58B3F974" w14:textId="77777777" w:rsidR="00D024A8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B75BA33" w14:textId="77777777" w:rsidR="00D024A8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024A8" w:rsidRPr="003160F9" w14:paraId="5D3D3C89" w14:textId="77777777" w:rsidTr="00DF2D3D">
        <w:tc>
          <w:tcPr>
            <w:tcW w:w="811" w:type="pct"/>
            <w:shd w:val="clear" w:color="auto" w:fill="auto"/>
          </w:tcPr>
          <w:p w14:paraId="26FFB180" w14:textId="766BF9D2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495172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856" w:type="pct"/>
            <w:shd w:val="clear" w:color="auto" w:fill="auto"/>
          </w:tcPr>
          <w:p w14:paraId="29C64301" w14:textId="44FB6715" w:rsidR="00D024A8" w:rsidRPr="00AB7533" w:rsidRDefault="00D024A8" w:rsidP="00D024A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autorización o justificación de las erogaciones</w:t>
            </w:r>
          </w:p>
        </w:tc>
        <w:tc>
          <w:tcPr>
            <w:tcW w:w="1363" w:type="pct"/>
            <w:shd w:val="clear" w:color="auto" w:fill="auto"/>
          </w:tcPr>
          <w:p w14:paraId="360546DE" w14:textId="77777777" w:rsidR="00D024A8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37C93C2" w14:textId="77777777" w:rsidR="00D024A8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024A8" w:rsidRPr="003160F9" w14:paraId="46F2CC33" w14:textId="77777777" w:rsidTr="00DF2D3D">
        <w:tc>
          <w:tcPr>
            <w:tcW w:w="811" w:type="pct"/>
            <w:shd w:val="clear" w:color="auto" w:fill="auto"/>
          </w:tcPr>
          <w:p w14:paraId="1148436A" w14:textId="365BB259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C4F05B6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856" w:type="pct"/>
            <w:shd w:val="clear" w:color="auto" w:fill="auto"/>
          </w:tcPr>
          <w:p w14:paraId="1E9AE68B" w14:textId="6D29A23F" w:rsidR="00D024A8" w:rsidRPr="00AB7533" w:rsidRDefault="00D024A8" w:rsidP="00D024A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autorización o justificación de las erogaciones</w:t>
            </w:r>
          </w:p>
        </w:tc>
        <w:tc>
          <w:tcPr>
            <w:tcW w:w="1363" w:type="pct"/>
            <w:shd w:val="clear" w:color="auto" w:fill="auto"/>
          </w:tcPr>
          <w:p w14:paraId="378B2AA7" w14:textId="3A4A400E" w:rsidR="00D024A8" w:rsidRDefault="00BA2606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0F01F6F" w14:textId="0275EFCA" w:rsidR="00D024A8" w:rsidRDefault="00BA2606" w:rsidP="00D024A8">
            <w:pPr>
              <w:ind w:left="-28" w:right="-10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024A8" w:rsidRPr="003160F9" w14:paraId="0E2CB122" w14:textId="77777777" w:rsidTr="00DF2D3D">
        <w:tc>
          <w:tcPr>
            <w:tcW w:w="811" w:type="pct"/>
            <w:shd w:val="clear" w:color="auto" w:fill="auto"/>
          </w:tcPr>
          <w:p w14:paraId="6B90A980" w14:textId="369AABB6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7C37FB3" w14:textId="77777777" w:rsidR="00D024A8" w:rsidRPr="003160F9" w:rsidRDefault="00D024A8" w:rsidP="00D024A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:6</w:t>
            </w:r>
          </w:p>
        </w:tc>
        <w:tc>
          <w:tcPr>
            <w:tcW w:w="1856" w:type="pct"/>
            <w:shd w:val="clear" w:color="auto" w:fill="auto"/>
          </w:tcPr>
          <w:p w14:paraId="1206B498" w14:textId="6FBF5D4E" w:rsidR="00D024A8" w:rsidRPr="00AB7533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inadecuada formalización de contratos, convenios o pedidos</w:t>
            </w:r>
          </w:p>
        </w:tc>
        <w:tc>
          <w:tcPr>
            <w:tcW w:w="1363" w:type="pct"/>
            <w:shd w:val="clear" w:color="auto" w:fill="auto"/>
          </w:tcPr>
          <w:p w14:paraId="264AF866" w14:textId="3031685F" w:rsidR="00D024A8" w:rsidRDefault="00D024A8" w:rsidP="00D024A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entidad </w:t>
            </w:r>
            <w:r w:rsidR="00BA2606">
              <w:rPr>
                <w:rFonts w:ascii="Arial" w:hAnsi="Arial" w:cs="Arial"/>
                <w:sz w:val="16"/>
                <w:szCs w:val="16"/>
              </w:rPr>
              <w:t xml:space="preserve">presentó </w:t>
            </w:r>
            <w:r>
              <w:rPr>
                <w:rFonts w:ascii="Arial" w:hAnsi="Arial" w:cs="Arial"/>
                <w:sz w:val="16"/>
                <w:szCs w:val="16"/>
              </w:rPr>
              <w:t>información que desvirtú</w:t>
            </w:r>
            <w:r w:rsidR="00BA260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la observación realizada</w:t>
            </w:r>
          </w:p>
        </w:tc>
        <w:tc>
          <w:tcPr>
            <w:tcW w:w="970" w:type="pct"/>
            <w:shd w:val="clear" w:color="auto" w:fill="auto"/>
          </w:tcPr>
          <w:p w14:paraId="252817FB" w14:textId="323AC3CC" w:rsidR="00D024A8" w:rsidRDefault="00BA2606" w:rsidP="00D024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3F772A31" w14:textId="77777777" w:rsidR="00D024A8" w:rsidRPr="00845B1A" w:rsidRDefault="00D024A8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bookmarkEnd w:id="18"/>
    <w:bookmarkEnd w:id="19"/>
    <w:p w14:paraId="6424A28D" w14:textId="26FFFC78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8528D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7CDD60" w14:textId="77777777" w:rsidR="00BE445E" w:rsidRPr="00FE49A7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3AC06E62" w14:textId="169B5496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BA4391">
        <w:rPr>
          <w:rFonts w:ascii="Arial" w:hAnsi="Arial" w:cs="Arial"/>
        </w:rPr>
        <w:t>08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6B14BE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6B14BE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FE49A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FE49A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F3BABC6" w14:textId="5B29769D" w:rsidR="00E024A3" w:rsidRPr="00E024A3" w:rsidRDefault="00E024A3" w:rsidP="00DF2D3D">
      <w:pPr>
        <w:tabs>
          <w:tab w:val="left" w:pos="9356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BA4391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835CB2" w:rsidRPr="00835CB2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</w:t>
      </w:r>
      <w:r w:rsidRPr="004B191E">
        <w:rPr>
          <w:rFonts w:ascii="Arial" w:hAnsi="Arial" w:cs="Arial"/>
        </w:rPr>
        <w:t>siguiente</w:t>
      </w:r>
      <w:r w:rsidRPr="00E024A3">
        <w:rPr>
          <w:rFonts w:ascii="Arial" w:hAnsi="Arial" w:cs="Arial"/>
        </w:rPr>
        <w:t xml:space="preserve"> dictamen de auditoría que se refiere a la muestra de los rubros revisados:</w:t>
      </w:r>
    </w:p>
    <w:p w14:paraId="3F39B507" w14:textId="77777777" w:rsidR="00E024A3" w:rsidRPr="00FE49A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A671ED3" w14:textId="75B816F2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6B14BE" w:rsidRPr="006B14BE">
        <w:rPr>
          <w:rFonts w:ascii="Arial" w:hAnsi="Arial" w:cs="Arial"/>
          <w:b/>
        </w:rPr>
        <w:t>19-AEMF-A-GOB-0</w:t>
      </w:r>
      <w:r w:rsidR="00B471DC">
        <w:rPr>
          <w:rFonts w:ascii="Arial" w:hAnsi="Arial" w:cs="Arial"/>
          <w:b/>
        </w:rPr>
        <w:t>92</w:t>
      </w:r>
      <w:r w:rsidR="006B14BE" w:rsidRPr="006B14BE">
        <w:rPr>
          <w:rFonts w:ascii="Arial" w:hAnsi="Arial" w:cs="Arial"/>
          <w:b/>
        </w:rPr>
        <w:t>-2</w:t>
      </w:r>
      <w:r w:rsidR="00B471DC">
        <w:rPr>
          <w:rFonts w:ascii="Arial" w:hAnsi="Arial" w:cs="Arial"/>
          <w:b/>
        </w:rPr>
        <w:t>24</w:t>
      </w:r>
      <w:r w:rsidRPr="00E024A3">
        <w:rPr>
          <w:rFonts w:ascii="Arial" w:hAnsi="Arial" w:cs="Arial"/>
        </w:rPr>
        <w:t>, denominada “</w:t>
      </w:r>
      <w:r w:rsidR="006B14BE" w:rsidRPr="002657D9">
        <w:rPr>
          <w:rFonts w:ascii="Arial" w:hAnsi="Arial" w:cs="Arial"/>
        </w:rPr>
        <w:t>Auditoría de Cumplimiento Financiero de Ingresos y Otros Beneficios; Gastos y Otras Pérdidas</w:t>
      </w:r>
      <w:r w:rsidRPr="00E024A3">
        <w:rPr>
          <w:rFonts w:ascii="Arial" w:hAnsi="Arial" w:cs="Arial"/>
        </w:rPr>
        <w:t xml:space="preserve">”, cuyo objetivo fue </w:t>
      </w:r>
      <w:r w:rsidR="00486D01">
        <w:rPr>
          <w:rFonts w:ascii="Arial" w:hAnsi="Arial" w:cs="Arial"/>
        </w:rPr>
        <w:t xml:space="preserve">comprobar el cumplimiento de lo dispuesto en las disposiciones legales aplicables en la obtención de los ingresos y en el presupuesto de </w:t>
      </w:r>
      <w:r w:rsidR="00486D01">
        <w:rPr>
          <w:rFonts w:ascii="Arial" w:hAnsi="Arial" w:cs="Arial"/>
        </w:rPr>
        <w:lastRenderedPageBreak/>
        <w:t>egresos</w:t>
      </w:r>
      <w:r w:rsidR="00486D01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</w:t>
      </w:r>
      <w:r w:rsidR="00D50191">
        <w:rPr>
          <w:rFonts w:ascii="Arial" w:hAnsi="Arial" w:cs="Arial"/>
        </w:rPr>
        <w:t>,</w:t>
      </w:r>
      <w:r w:rsidR="0035615A">
        <w:rPr>
          <w:rFonts w:ascii="Arial" w:hAnsi="Arial" w:cs="Arial"/>
        </w:rPr>
        <w:t xml:space="preserve"> </w:t>
      </w:r>
      <w:r w:rsidR="0035615A" w:rsidRPr="0068294D">
        <w:rPr>
          <w:rFonts w:ascii="Arial" w:hAnsi="Arial" w:cs="Arial"/>
        </w:rPr>
        <w:t xml:space="preserve">y </w:t>
      </w:r>
      <w:r w:rsidRPr="00E024A3">
        <w:rPr>
          <w:rFonts w:ascii="Arial" w:hAnsi="Arial" w:cs="Arial"/>
        </w:rPr>
        <w:t xml:space="preserve">específicamente, respecto de la muestra auditada señalada en el apartado relativo al alcance, en nuestra opinión se concluye que en términos generales, </w:t>
      </w:r>
      <w:r w:rsidR="0035615A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D83E5E">
        <w:rPr>
          <w:rFonts w:ascii="Arial" w:hAnsi="Arial" w:cs="Arial"/>
          <w:b/>
          <w:bCs/>
        </w:rPr>
        <w:t>Instituto Municipal de la Juventud de Benito Juárez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BA4391">
        <w:rPr>
          <w:rFonts w:ascii="Arial" w:hAnsi="Arial" w:cs="Arial"/>
        </w:rPr>
        <w:t>.</w:t>
      </w:r>
    </w:p>
    <w:p w14:paraId="71165772" w14:textId="77777777" w:rsidR="00E024A3" w:rsidRPr="00FE49A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1DDFA31" w14:textId="7F3E8F3C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E09E3D0" w14:textId="77777777" w:rsidR="00E833D6" w:rsidRPr="00E024A3" w:rsidRDefault="00E833D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69B4C6F" w14:textId="77777777" w:rsidR="00900565" w:rsidRDefault="00AF0D43" w:rsidP="00900565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L.C.C. </w:t>
      </w:r>
      <w:r w:rsidR="00C279EB">
        <w:rPr>
          <w:rFonts w:ascii="Arial" w:hAnsi="Arial" w:cs="Arial"/>
          <w:b/>
        </w:rPr>
        <w:t>MANUEL PALACIOS HERRER</w:t>
      </w:r>
      <w:r w:rsidR="00900565">
        <w:rPr>
          <w:rFonts w:ascii="Arial" w:hAnsi="Arial" w:cs="Arial"/>
          <w:b/>
        </w:rPr>
        <w:t>A</w:t>
      </w:r>
    </w:p>
    <w:p w14:paraId="462BB072" w14:textId="77777777" w:rsidR="00900565" w:rsidRDefault="00900565" w:rsidP="00900565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7EE21E" w14:textId="0D7D0E4D" w:rsidR="00022147" w:rsidRDefault="00022147" w:rsidP="00900565">
      <w:pPr>
        <w:ind w:right="190"/>
        <w:rPr>
          <w:rFonts w:ascii="Arial" w:hAnsi="Arial" w:cs="Arial"/>
          <w:b/>
        </w:rPr>
      </w:pPr>
    </w:p>
    <w:sectPr w:rsidR="00022147" w:rsidSect="00DF2D3D">
      <w:headerReference w:type="default" r:id="rId8"/>
      <w:footerReference w:type="default" r:id="rId9"/>
      <w:type w:val="continuous"/>
      <w:pgSz w:w="12240" w:h="15840" w:code="119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486A" w14:textId="77777777" w:rsidR="00730ADD" w:rsidRDefault="00730ADD">
      <w:r>
        <w:separator/>
      </w:r>
    </w:p>
  </w:endnote>
  <w:endnote w:type="continuationSeparator" w:id="0">
    <w:p w14:paraId="12191D1D" w14:textId="77777777" w:rsidR="00730ADD" w:rsidRDefault="00730ADD">
      <w:r>
        <w:continuationSeparator/>
      </w:r>
    </w:p>
  </w:endnote>
  <w:endnote w:type="continuationNotice" w:id="1">
    <w:p w14:paraId="5DF6056E" w14:textId="77777777" w:rsidR="00730ADD" w:rsidRDefault="00730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D024A8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D024A8" w:rsidRPr="00D875E2" w:rsidRDefault="00D024A8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360745F5" w:rsidR="00D024A8" w:rsidRPr="00B516B6" w:rsidRDefault="00D024A8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A527C">
      <w:rPr>
        <w:rFonts w:ascii="Arial" w:hAnsi="Arial" w:cs="Arial"/>
        <w:b/>
        <w:bCs/>
        <w:noProof/>
        <w:sz w:val="18"/>
        <w:szCs w:val="18"/>
      </w:rPr>
      <w:t>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A527C">
      <w:rPr>
        <w:rFonts w:ascii="Arial" w:hAnsi="Arial" w:cs="Arial"/>
        <w:b/>
        <w:bCs/>
        <w:noProof/>
        <w:sz w:val="18"/>
        <w:szCs w:val="18"/>
      </w:rPr>
      <w:t>16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83A6" w14:textId="77777777" w:rsidR="00730ADD" w:rsidRDefault="00730ADD">
      <w:r>
        <w:separator/>
      </w:r>
    </w:p>
  </w:footnote>
  <w:footnote w:type="continuationSeparator" w:id="0">
    <w:p w14:paraId="43212FCE" w14:textId="77777777" w:rsidR="00730ADD" w:rsidRDefault="00730ADD">
      <w:r>
        <w:continuationSeparator/>
      </w:r>
    </w:p>
  </w:footnote>
  <w:footnote w:type="continuationNotice" w:id="1">
    <w:p w14:paraId="3E920C94" w14:textId="77777777" w:rsidR="00730ADD" w:rsidRDefault="00730AD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900565" w:rsidRPr="006F757C" w14:paraId="7BB00D1E" w14:textId="77777777" w:rsidTr="007D48A8">
      <w:tc>
        <w:tcPr>
          <w:tcW w:w="2055" w:type="dxa"/>
          <w:vAlign w:val="center"/>
        </w:tcPr>
        <w:p w14:paraId="1A2C053C" w14:textId="77777777" w:rsidR="00900565" w:rsidRPr="00CF3DF4" w:rsidRDefault="00900565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5D1899E" w14:textId="77777777" w:rsidR="00900565" w:rsidRPr="00CF3DF4" w:rsidRDefault="00900565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2993C6D" w14:textId="77777777" w:rsidR="00900565" w:rsidRPr="00207E4F" w:rsidRDefault="00900565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900565" w:rsidRPr="003316E8" w14:paraId="3A40D12F" w14:textId="77777777" w:rsidTr="007D48A8">
      <w:tc>
        <w:tcPr>
          <w:tcW w:w="2055" w:type="dxa"/>
          <w:vAlign w:val="center"/>
          <w:hideMark/>
        </w:tcPr>
        <w:p w14:paraId="2BF42AEA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395400C9" wp14:editId="66AEFE7A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11F25F4" w14:textId="77777777" w:rsidR="00900565" w:rsidRDefault="00900565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32FFDE67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1D03EA50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val="es-ES"/>
            </w:rPr>
            <w:drawing>
              <wp:inline distT="0" distB="0" distL="0" distR="0" wp14:anchorId="626577E4" wp14:editId="69B56368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0565" w:rsidRPr="003316E8" w14:paraId="5433AD5B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A5D4E9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BE5CA81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996AB3A" w14:textId="77777777" w:rsidR="00900565" w:rsidRPr="003316E8" w:rsidRDefault="0090056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D8E5B5E" w14:textId="77777777" w:rsidR="00900565" w:rsidRPr="003C2FE7" w:rsidRDefault="0090056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3E"/>
    <w:multiLevelType w:val="hybridMultilevel"/>
    <w:tmpl w:val="A3BC00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50D8"/>
    <w:multiLevelType w:val="hybridMultilevel"/>
    <w:tmpl w:val="D5665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F22B2"/>
    <w:multiLevelType w:val="hybridMultilevel"/>
    <w:tmpl w:val="9AF07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C0007"/>
    <w:multiLevelType w:val="hybridMultilevel"/>
    <w:tmpl w:val="4F666004"/>
    <w:lvl w:ilvl="0" w:tplc="08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2334373E"/>
    <w:multiLevelType w:val="hybridMultilevel"/>
    <w:tmpl w:val="0EC4E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F6F99"/>
    <w:multiLevelType w:val="hybridMultilevel"/>
    <w:tmpl w:val="2752C9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E92A6B"/>
    <w:multiLevelType w:val="hybridMultilevel"/>
    <w:tmpl w:val="D5665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021DB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FE5FEE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9D023A"/>
    <w:multiLevelType w:val="hybridMultilevel"/>
    <w:tmpl w:val="50924AE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4B269FA"/>
    <w:multiLevelType w:val="hybridMultilevel"/>
    <w:tmpl w:val="CEF87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518F"/>
    <w:multiLevelType w:val="hybridMultilevel"/>
    <w:tmpl w:val="1076007A"/>
    <w:lvl w:ilvl="0" w:tplc="D52EE9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53D61"/>
    <w:multiLevelType w:val="hybridMultilevel"/>
    <w:tmpl w:val="F4340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20611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2345" w:hanging="360"/>
      </w:p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573458"/>
    <w:multiLevelType w:val="hybridMultilevel"/>
    <w:tmpl w:val="93D6E9F4"/>
    <w:lvl w:ilvl="0" w:tplc="08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8"/>
  </w:num>
  <w:num w:numId="5">
    <w:abstractNumId w:val="28"/>
  </w:num>
  <w:num w:numId="6">
    <w:abstractNumId w:val="13"/>
  </w:num>
  <w:num w:numId="7">
    <w:abstractNumId w:val="27"/>
  </w:num>
  <w:num w:numId="8">
    <w:abstractNumId w:val="16"/>
  </w:num>
  <w:num w:numId="9">
    <w:abstractNumId w:val="31"/>
  </w:num>
  <w:num w:numId="10">
    <w:abstractNumId w:val="3"/>
  </w:num>
  <w:num w:numId="11">
    <w:abstractNumId w:val="32"/>
  </w:num>
  <w:num w:numId="12">
    <w:abstractNumId w:val="2"/>
  </w:num>
  <w:num w:numId="13">
    <w:abstractNumId w:val="4"/>
  </w:num>
  <w:num w:numId="14">
    <w:abstractNumId w:val="14"/>
  </w:num>
  <w:num w:numId="15">
    <w:abstractNumId w:val="20"/>
  </w:num>
  <w:num w:numId="16">
    <w:abstractNumId w:val="19"/>
  </w:num>
  <w:num w:numId="17">
    <w:abstractNumId w:val="23"/>
  </w:num>
  <w:num w:numId="18">
    <w:abstractNumId w:val="22"/>
  </w:num>
  <w:num w:numId="19">
    <w:abstractNumId w:val="12"/>
  </w:num>
  <w:num w:numId="20">
    <w:abstractNumId w:val="17"/>
  </w:num>
  <w:num w:numId="21">
    <w:abstractNumId w:val="26"/>
  </w:num>
  <w:num w:numId="22">
    <w:abstractNumId w:val="30"/>
  </w:num>
  <w:num w:numId="23">
    <w:abstractNumId w:val="21"/>
  </w:num>
  <w:num w:numId="24">
    <w:abstractNumId w:val="6"/>
  </w:num>
  <w:num w:numId="25">
    <w:abstractNumId w:val="15"/>
  </w:num>
  <w:num w:numId="26">
    <w:abstractNumId w:val="29"/>
  </w:num>
  <w:num w:numId="27">
    <w:abstractNumId w:val="9"/>
  </w:num>
  <w:num w:numId="28">
    <w:abstractNumId w:val="24"/>
  </w:num>
  <w:num w:numId="29">
    <w:abstractNumId w:val="0"/>
  </w:num>
  <w:num w:numId="30">
    <w:abstractNumId w:val="8"/>
  </w:num>
  <w:num w:numId="31">
    <w:abstractNumId w:val="33"/>
  </w:num>
  <w:num w:numId="32">
    <w:abstractNumId w:val="11"/>
  </w:num>
  <w:num w:numId="33">
    <w:abstractNumId w:val="7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73"/>
    <w:rsid w:val="000103C4"/>
    <w:rsid w:val="00010E6C"/>
    <w:rsid w:val="0001109F"/>
    <w:rsid w:val="00011A6D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1FFC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32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6667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719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19BF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A39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85B"/>
    <w:rsid w:val="0016498F"/>
    <w:rsid w:val="00165610"/>
    <w:rsid w:val="00165AC1"/>
    <w:rsid w:val="001660F3"/>
    <w:rsid w:val="00166734"/>
    <w:rsid w:val="00166A65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1E99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2F1D"/>
    <w:rsid w:val="001A34BC"/>
    <w:rsid w:val="001A37F9"/>
    <w:rsid w:val="001A425F"/>
    <w:rsid w:val="001A46A9"/>
    <w:rsid w:val="001A4EB5"/>
    <w:rsid w:val="001A545A"/>
    <w:rsid w:val="001A57D3"/>
    <w:rsid w:val="001A59C2"/>
    <w:rsid w:val="001A6401"/>
    <w:rsid w:val="001A674C"/>
    <w:rsid w:val="001A67A2"/>
    <w:rsid w:val="001A6A4A"/>
    <w:rsid w:val="001A70D8"/>
    <w:rsid w:val="001A7246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00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24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2E"/>
    <w:rsid w:val="00202093"/>
    <w:rsid w:val="002023E9"/>
    <w:rsid w:val="0020277B"/>
    <w:rsid w:val="00202E9E"/>
    <w:rsid w:val="00203D16"/>
    <w:rsid w:val="00204414"/>
    <w:rsid w:val="0020449E"/>
    <w:rsid w:val="00204DDC"/>
    <w:rsid w:val="00204FE0"/>
    <w:rsid w:val="002054E9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67CCB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9A2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4B49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19B"/>
    <w:rsid w:val="002B2431"/>
    <w:rsid w:val="002B2B58"/>
    <w:rsid w:val="002B2D19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B7C3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5D52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BB6"/>
    <w:rsid w:val="002D71F0"/>
    <w:rsid w:val="002D7303"/>
    <w:rsid w:val="002D7C58"/>
    <w:rsid w:val="002E038F"/>
    <w:rsid w:val="002E03F0"/>
    <w:rsid w:val="002E0BDD"/>
    <w:rsid w:val="002E128B"/>
    <w:rsid w:val="002E12CC"/>
    <w:rsid w:val="002E1427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0E3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A30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B3A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462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D89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15A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02D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4E7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28D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889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D01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91E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FEE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234"/>
    <w:rsid w:val="00501C22"/>
    <w:rsid w:val="00502566"/>
    <w:rsid w:val="00503873"/>
    <w:rsid w:val="00503BCB"/>
    <w:rsid w:val="00503DE0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0C0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6B0"/>
    <w:rsid w:val="00516DD7"/>
    <w:rsid w:val="00516E91"/>
    <w:rsid w:val="00517133"/>
    <w:rsid w:val="00517698"/>
    <w:rsid w:val="00517B67"/>
    <w:rsid w:val="00517B97"/>
    <w:rsid w:val="00517F0C"/>
    <w:rsid w:val="00517F4A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5E44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B1C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881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5A92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A6C"/>
    <w:rsid w:val="005B0BE7"/>
    <w:rsid w:val="005B1734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1D4"/>
    <w:rsid w:val="00624C96"/>
    <w:rsid w:val="00624FA0"/>
    <w:rsid w:val="00625330"/>
    <w:rsid w:val="0062631B"/>
    <w:rsid w:val="0062634E"/>
    <w:rsid w:val="006264F8"/>
    <w:rsid w:val="00626844"/>
    <w:rsid w:val="00626EA6"/>
    <w:rsid w:val="00626F25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595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67B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0F5"/>
    <w:rsid w:val="006A5BA3"/>
    <w:rsid w:val="006A5E4B"/>
    <w:rsid w:val="006A6A32"/>
    <w:rsid w:val="006A7197"/>
    <w:rsid w:val="006B0147"/>
    <w:rsid w:val="006B01B5"/>
    <w:rsid w:val="006B0744"/>
    <w:rsid w:val="006B11B8"/>
    <w:rsid w:val="006B14BE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1E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7BF"/>
    <w:rsid w:val="006F680A"/>
    <w:rsid w:val="006F6BB4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226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770"/>
    <w:rsid w:val="00725E4D"/>
    <w:rsid w:val="00725F92"/>
    <w:rsid w:val="00726281"/>
    <w:rsid w:val="00726DB1"/>
    <w:rsid w:val="00726F5C"/>
    <w:rsid w:val="00727B29"/>
    <w:rsid w:val="00730ADD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367"/>
    <w:rsid w:val="007358CE"/>
    <w:rsid w:val="00735CBD"/>
    <w:rsid w:val="00736FCE"/>
    <w:rsid w:val="00737474"/>
    <w:rsid w:val="00737596"/>
    <w:rsid w:val="00737872"/>
    <w:rsid w:val="00737BF6"/>
    <w:rsid w:val="00737E9B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7CB"/>
    <w:rsid w:val="0075616A"/>
    <w:rsid w:val="007566C3"/>
    <w:rsid w:val="007566FD"/>
    <w:rsid w:val="00756D1D"/>
    <w:rsid w:val="0075771F"/>
    <w:rsid w:val="007578A1"/>
    <w:rsid w:val="007603A4"/>
    <w:rsid w:val="00760641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3C30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BB1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5FB"/>
    <w:rsid w:val="007B5706"/>
    <w:rsid w:val="007B572C"/>
    <w:rsid w:val="007B5DE6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350A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5CB2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4F8C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9AF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041"/>
    <w:rsid w:val="00857A84"/>
    <w:rsid w:val="00860550"/>
    <w:rsid w:val="00860D03"/>
    <w:rsid w:val="00860EFD"/>
    <w:rsid w:val="008610C0"/>
    <w:rsid w:val="00861B03"/>
    <w:rsid w:val="00861D91"/>
    <w:rsid w:val="00861F52"/>
    <w:rsid w:val="008627DB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CA8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63"/>
    <w:rsid w:val="008C2DF5"/>
    <w:rsid w:val="008C2F87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4A9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875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0E9"/>
    <w:rsid w:val="00900565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3C2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6A55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C79"/>
    <w:rsid w:val="00945D64"/>
    <w:rsid w:val="00945F26"/>
    <w:rsid w:val="00946A73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3F52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7E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435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DC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C7CBE"/>
    <w:rsid w:val="009D00A7"/>
    <w:rsid w:val="009D0AE7"/>
    <w:rsid w:val="009D10E8"/>
    <w:rsid w:val="009D13FA"/>
    <w:rsid w:val="009D1459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50D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38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F0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B45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223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66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2E5A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BD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838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585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0E8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09"/>
    <w:rsid w:val="00AC7E57"/>
    <w:rsid w:val="00AD00A3"/>
    <w:rsid w:val="00AD0460"/>
    <w:rsid w:val="00AD0509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3B0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D43"/>
    <w:rsid w:val="00AF1505"/>
    <w:rsid w:val="00AF1BCC"/>
    <w:rsid w:val="00AF1D84"/>
    <w:rsid w:val="00AF2455"/>
    <w:rsid w:val="00AF27E7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93F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92"/>
    <w:rsid w:val="00B427AD"/>
    <w:rsid w:val="00B43171"/>
    <w:rsid w:val="00B43BF7"/>
    <w:rsid w:val="00B4438B"/>
    <w:rsid w:val="00B44C91"/>
    <w:rsid w:val="00B44FA6"/>
    <w:rsid w:val="00B455C1"/>
    <w:rsid w:val="00B458F1"/>
    <w:rsid w:val="00B4669F"/>
    <w:rsid w:val="00B46825"/>
    <w:rsid w:val="00B471DC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C0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606"/>
    <w:rsid w:val="00BA2E1D"/>
    <w:rsid w:val="00BA3467"/>
    <w:rsid w:val="00BA3ED4"/>
    <w:rsid w:val="00BA4391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9EB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E31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23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5DD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E2F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A8"/>
    <w:rsid w:val="00D026FC"/>
    <w:rsid w:val="00D02BD0"/>
    <w:rsid w:val="00D02D09"/>
    <w:rsid w:val="00D02DC9"/>
    <w:rsid w:val="00D03B3E"/>
    <w:rsid w:val="00D03B96"/>
    <w:rsid w:val="00D0512C"/>
    <w:rsid w:val="00D0515B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F0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1ADC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191"/>
    <w:rsid w:val="00D50BD1"/>
    <w:rsid w:val="00D50C83"/>
    <w:rsid w:val="00D50D7B"/>
    <w:rsid w:val="00D50DAD"/>
    <w:rsid w:val="00D512A9"/>
    <w:rsid w:val="00D515A9"/>
    <w:rsid w:val="00D51ED0"/>
    <w:rsid w:val="00D52167"/>
    <w:rsid w:val="00D52178"/>
    <w:rsid w:val="00D525F0"/>
    <w:rsid w:val="00D5274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3E5E"/>
    <w:rsid w:val="00D84365"/>
    <w:rsid w:val="00D84595"/>
    <w:rsid w:val="00D84971"/>
    <w:rsid w:val="00D8528D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27C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5CF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B53"/>
    <w:rsid w:val="00DC12E6"/>
    <w:rsid w:val="00DC17B4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2766"/>
    <w:rsid w:val="00DD38C5"/>
    <w:rsid w:val="00DD3D2D"/>
    <w:rsid w:val="00DD3FFC"/>
    <w:rsid w:val="00DD4279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2D3D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04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B74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AB0"/>
    <w:rsid w:val="00E803C9"/>
    <w:rsid w:val="00E807D3"/>
    <w:rsid w:val="00E80E55"/>
    <w:rsid w:val="00E81CD8"/>
    <w:rsid w:val="00E823DA"/>
    <w:rsid w:val="00E833D6"/>
    <w:rsid w:val="00E8360C"/>
    <w:rsid w:val="00E840F4"/>
    <w:rsid w:val="00E84942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0B21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8B1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CF8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4B6D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9A7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9FC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28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8528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8528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8528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528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8528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8528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8528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8528D"/>
    <w:rPr>
      <w:sz w:val="24"/>
      <w:lang w:eastAsia="es-ES"/>
    </w:rPr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528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8528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528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8528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8528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8528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8528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3C93-23D7-45E1-9D3F-5DDAD625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3451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comp</cp:lastModifiedBy>
  <cp:revision>7</cp:revision>
  <cp:lastPrinted>2020-10-20T21:47:00Z</cp:lastPrinted>
  <dcterms:created xsi:type="dcterms:W3CDTF">2020-11-04T19:49:00Z</dcterms:created>
  <dcterms:modified xsi:type="dcterms:W3CDTF">2020-11-04T20:29:00Z</dcterms:modified>
</cp:coreProperties>
</file>