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644127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63002C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</w:tcPr>
          <w:p w14:paraId="17134B42" w14:textId="1DB1DF16" w:rsidR="003F1CB6" w:rsidRPr="00403D69" w:rsidRDefault="00443666" w:rsidP="006300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63002C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14:paraId="79D85FD2" w14:textId="77777777" w:rsidR="003F1CB6" w:rsidRPr="00403D69" w:rsidRDefault="003F1CB6" w:rsidP="006300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63002C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</w:t>
            </w:r>
            <w:bookmarkStart w:id="0" w:name="_GoBack"/>
            <w:bookmarkEnd w:id="0"/>
            <w:r w:rsidRPr="00403D69">
              <w:rPr>
                <w:rFonts w:ascii="Arial" w:hAnsi="Arial" w:cs="Arial"/>
                <w:b/>
                <w:bCs/>
              </w:rPr>
              <w:t>A ENTIDAD FISCALIZADA</w:t>
            </w:r>
          </w:p>
        </w:tc>
        <w:tc>
          <w:tcPr>
            <w:tcW w:w="561" w:type="pct"/>
            <w:vMerge w:val="restart"/>
            <w:shd w:val="clear" w:color="auto" w:fill="auto"/>
          </w:tcPr>
          <w:p w14:paraId="1CC67902" w14:textId="176D61F4" w:rsidR="003F1CB6" w:rsidRPr="00403D69" w:rsidRDefault="00443666" w:rsidP="0063002C">
            <w:pPr>
              <w:tabs>
                <w:tab w:val="left" w:pos="380"/>
                <w:tab w:val="center" w:pos="45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454B2811" w14:textId="77777777" w:rsidTr="0063002C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14:paraId="636C1AC0" w14:textId="77777777" w:rsidR="003F1CB6" w:rsidRPr="00403D69" w:rsidRDefault="003F1CB6" w:rsidP="006300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63002C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1088DA1" w14:textId="77777777" w:rsidR="001A4466" w:rsidRPr="001A4466" w:rsidRDefault="003F1CB6" w:rsidP="001A446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I. </w:t>
            </w:r>
            <w:r w:rsidR="001A4466" w:rsidRPr="001A4466">
              <w:rPr>
                <w:rFonts w:ascii="Arial" w:hAnsi="Arial" w:cs="Arial"/>
                <w:b/>
                <w:bCs/>
              </w:rPr>
              <w:t>INFORME INDIVIDUAL DE AUDITORÍA RELATIVO A INGRESOS Y</w:t>
            </w:r>
          </w:p>
          <w:p w14:paraId="65DC5EA5" w14:textId="77777777" w:rsidR="003F1CB6" w:rsidRDefault="001A4466" w:rsidP="001A446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A4466">
              <w:rPr>
                <w:rFonts w:ascii="Arial" w:hAnsi="Arial" w:cs="Arial"/>
                <w:b/>
                <w:bCs/>
              </w:rPr>
              <w:t>EGRESOS</w:t>
            </w:r>
          </w:p>
          <w:p w14:paraId="6F4CF8BA" w14:textId="47B780FE" w:rsidR="001A4466" w:rsidRPr="00403D69" w:rsidRDefault="001A4466" w:rsidP="001A446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</w:tcPr>
          <w:p w14:paraId="76EEEEA1" w14:textId="0FD9ECEF" w:rsidR="003F1CB6" w:rsidRPr="006B7CD7" w:rsidRDefault="003F1CB6" w:rsidP="0063002C">
            <w:pPr>
              <w:spacing w:line="360" w:lineRule="auto"/>
              <w:jc w:val="center"/>
              <w:rPr>
                <w:rFonts w:ascii="Arial" w:hAnsi="Arial" w:cs="Arial"/>
                <w:b/>
                <w:strike/>
              </w:rPr>
            </w:pPr>
          </w:p>
        </w:tc>
      </w:tr>
      <w:tr w:rsidR="003F1CB6" w:rsidRPr="00403D69" w14:paraId="13C9586D" w14:textId="77777777" w:rsidTr="0063002C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14:paraId="3687D37E" w14:textId="77777777" w:rsidR="003F1CB6" w:rsidRPr="00403D69" w:rsidRDefault="003F1CB6" w:rsidP="006300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63002C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1B7BA204" w14:textId="420FA3CB" w:rsidR="003F1CB6" w:rsidRPr="00403D69" w:rsidRDefault="00443666" w:rsidP="006300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F2B047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6D576964" w:rsidR="003F1CB6" w:rsidRPr="00403D69" w:rsidRDefault="00443666" w:rsidP="006300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3DE76816" w:rsidR="003F1CB6" w:rsidRPr="00403D69" w:rsidRDefault="00443666" w:rsidP="006300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3BA22028" w:rsidR="003F1CB6" w:rsidRPr="00403D69" w:rsidRDefault="00443666" w:rsidP="006300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191046C6" w:rsidR="003F1CB6" w:rsidRPr="00403D69" w:rsidRDefault="00683EE5" w:rsidP="006300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15D5063C" w:rsidR="003F1CB6" w:rsidRPr="00403D69" w:rsidRDefault="00443666" w:rsidP="006300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2FFEBB7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038CB960" w:rsidR="003F1CB6" w:rsidRPr="00403D69" w:rsidRDefault="00443666" w:rsidP="006300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48C9FCB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0EBB044D" w:rsidR="003F1CB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G. </w:t>
            </w:r>
            <w:r w:rsidR="000F73BB" w:rsidRPr="000F73BB">
              <w:rPr>
                <w:rFonts w:ascii="Arial" w:hAnsi="Arial" w:cs="Arial"/>
                <w:b/>
                <w:bCs/>
              </w:rPr>
              <w:t>Servidores Públicos que intervinieron en la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3EF265A6" w:rsidR="003F1CB6" w:rsidRDefault="00443666" w:rsidP="006300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3F1CB6" w:rsidRPr="00403D69" w14:paraId="746BE4D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489E2C6C" w:rsidR="003F1CB6" w:rsidRPr="00403D69" w:rsidRDefault="00443666" w:rsidP="006300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3F1CB6" w:rsidRPr="00403D69" w14:paraId="2F8B176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5E02D13E" w:rsidR="003F1CB6" w:rsidRPr="00403D69" w:rsidRDefault="00443666" w:rsidP="006300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83EE5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6CA1BCEB" w14:textId="77777777" w:rsidTr="0063002C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3B19ECE4" w14:textId="31FB3C50" w:rsidR="003F1CB6" w:rsidRPr="00403D69" w:rsidRDefault="00443666" w:rsidP="003676A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83EE5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7FE4ECCC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2D9BDDBE" w:rsidR="003F1CB6" w:rsidRPr="001B3167" w:rsidRDefault="006D1583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>Resumen de Resultados Finales</w:t>
            </w:r>
            <w:r w:rsidR="00343FDF" w:rsidRPr="001B3167">
              <w:rPr>
                <w:rFonts w:ascii="Arial" w:hAnsi="Arial" w:cs="Arial"/>
                <w:b/>
                <w:bCs/>
              </w:rPr>
              <w:t xml:space="preserve"> de Auditoría</w:t>
            </w:r>
            <w:r w:rsidRPr="001B3167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7D48A8"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8E7639B" w14:textId="39D8D2DB" w:rsidR="003F1CB6" w:rsidRPr="00403D69" w:rsidRDefault="00443666" w:rsidP="006300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83EE5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06F62119" w14:textId="77777777" w:rsidTr="0015382F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4DDF7B99" w:rsidR="003F1CB6" w:rsidRPr="001B3167" w:rsidRDefault="000F73BB" w:rsidP="000F73BB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0F73BB">
              <w:rPr>
                <w:rFonts w:ascii="Arial" w:hAnsi="Arial" w:cs="Arial"/>
                <w:b/>
                <w:bCs/>
              </w:rPr>
              <w:t>Observaciones Determinadas por Auditoría en Materia Financiera, Justificaciones y Aclaraciones de la Entidad Fiscalizada,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73D9D610" w14:textId="21674166" w:rsidR="003F1CB6" w:rsidRPr="00403D69" w:rsidRDefault="00443666" w:rsidP="0063002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</w:tr>
      <w:tr w:rsidR="001447E5" w:rsidRPr="00403D69" w14:paraId="6C6FD0F8" w14:textId="77777777" w:rsidTr="007A2528">
        <w:trPr>
          <w:trHeight w:val="299"/>
        </w:trPr>
        <w:tc>
          <w:tcPr>
            <w:tcW w:w="4439" w:type="pct"/>
            <w:shd w:val="clear" w:color="auto" w:fill="auto"/>
          </w:tcPr>
          <w:p w14:paraId="48FBCB13" w14:textId="42F07D44" w:rsidR="001447E5" w:rsidRDefault="004843AD" w:rsidP="00612C0C">
            <w:r>
              <w:rPr>
                <w:rFonts w:ascii="Arial" w:hAnsi="Arial" w:cs="Arial"/>
                <w:b/>
                <w:bCs/>
              </w:rPr>
              <w:t>II</w:t>
            </w:r>
            <w:r w:rsidR="001447E5">
              <w:rPr>
                <w:rFonts w:ascii="Arial" w:hAnsi="Arial" w:cs="Arial"/>
                <w:b/>
                <w:bCs/>
              </w:rPr>
              <w:t>.</w:t>
            </w:r>
            <w:r w:rsidR="001447E5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1447E5">
              <w:rPr>
                <w:rFonts w:ascii="Arial" w:hAnsi="Arial" w:cs="Arial"/>
                <w:b/>
                <w:bCs/>
              </w:rPr>
              <w:t xml:space="preserve"> </w:t>
            </w:r>
            <w:r w:rsidR="001447E5" w:rsidRPr="007A2528">
              <w:rPr>
                <w:rFonts w:ascii="Arial" w:hAnsi="Arial" w:cs="Arial"/>
                <w:b/>
                <w:bCs/>
              </w:rPr>
              <w:t>DEL INFORME INDIVIDUAL DE AUDITORÍA</w:t>
            </w:r>
          </w:p>
        </w:tc>
        <w:tc>
          <w:tcPr>
            <w:tcW w:w="561" w:type="pct"/>
            <w:shd w:val="clear" w:color="auto" w:fill="auto"/>
          </w:tcPr>
          <w:p w14:paraId="7EAA75A2" w14:textId="026B5854" w:rsidR="001447E5" w:rsidRPr="00BF5F84" w:rsidRDefault="00C22B1C" w:rsidP="00F51B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83EE5">
              <w:rPr>
                <w:rFonts w:ascii="Arial" w:hAnsi="Arial" w:cs="Arial"/>
                <w:b/>
              </w:rPr>
              <w:t>5</w:t>
            </w:r>
          </w:p>
        </w:tc>
      </w:tr>
    </w:tbl>
    <w:p w14:paraId="26AFF128" w14:textId="773FE88B" w:rsidR="007A2528" w:rsidRDefault="007A252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FCBB84B" w14:textId="1333E21C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4EC69855" w:rsidR="00345C1A" w:rsidRPr="002013D4" w:rsidRDefault="007A2528" w:rsidP="00736191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F80AEE">
        <w:rPr>
          <w:rFonts w:ascii="Arial" w:hAnsi="Arial" w:cs="Arial"/>
        </w:rPr>
        <w:t>Por disposición contenida en los artículos 75, fracción XXIX</w:t>
      </w:r>
      <w:r w:rsidR="002B0D92">
        <w:rPr>
          <w:rFonts w:ascii="Arial" w:hAnsi="Arial" w:cs="Arial"/>
        </w:rPr>
        <w:t>,</w:t>
      </w:r>
      <w:r w:rsidRPr="00F80AEE">
        <w:rPr>
          <w:rFonts w:ascii="Arial" w:hAnsi="Arial" w:cs="Arial"/>
        </w:rPr>
        <w:t xml:space="preserve"> y 77 de la Constitución Política del Estado Libre y Soberano de Quintana Roo, corresponde al Poder Legislativo a través de la Auditoría Superior del Estado, revisar de manera posterior la Cuenta Pública </w:t>
      </w:r>
      <w:r w:rsidRPr="008404F5">
        <w:rPr>
          <w:rFonts w:ascii="Arial" w:hAnsi="Arial" w:cs="Arial"/>
        </w:rPr>
        <w:t>que la Administración Pública Municipal</w:t>
      </w:r>
      <w:r w:rsidRPr="008404F5">
        <w:rPr>
          <w:rFonts w:ascii="Arial" w:hAnsi="Arial" w:cs="Arial"/>
          <w:b/>
          <w:bCs/>
        </w:rPr>
        <w:t xml:space="preserve"> </w:t>
      </w:r>
      <w:r w:rsidRPr="008404F5">
        <w:rPr>
          <w:rFonts w:ascii="Arial" w:hAnsi="Arial" w:cs="Arial"/>
        </w:rPr>
        <w:t>l</w:t>
      </w:r>
      <w:r w:rsidRPr="00F80AEE">
        <w:rPr>
          <w:rFonts w:ascii="Arial" w:hAnsi="Arial" w:cs="Arial"/>
        </w:rPr>
        <w:t>e presente sobre su gestión financiera. Esta revisión comprende la fiscalización a las entidades fiscalizables, que se traduce a su vez, en la obligación de los funcionarios correspondientes de presentar su Cuenta Pública para efectos de que sea revisada y fiscalizada.</w:t>
      </w:r>
    </w:p>
    <w:p w14:paraId="447710B4" w14:textId="77777777" w:rsidR="00FA695C" w:rsidRPr="002013D4" w:rsidRDefault="00FA695C" w:rsidP="00736191">
      <w:pPr>
        <w:spacing w:line="360" w:lineRule="auto"/>
        <w:ind w:right="49"/>
        <w:jc w:val="both"/>
        <w:rPr>
          <w:rFonts w:ascii="Arial" w:hAnsi="Arial" w:cs="Arial"/>
        </w:rPr>
      </w:pPr>
    </w:p>
    <w:p w14:paraId="212F8A2B" w14:textId="3821B769" w:rsidR="00345C1A" w:rsidRPr="002013D4" w:rsidRDefault="007A2528" w:rsidP="00736191">
      <w:pPr>
        <w:pStyle w:val="Textoindependiente"/>
        <w:spacing w:line="360" w:lineRule="auto"/>
        <w:ind w:right="49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hacer un análisis de las Cuentas Públicas a efecto de poder rendir el presente informe a esta </w:t>
      </w:r>
      <w:r w:rsidR="000B0574" w:rsidRPr="007D48A8">
        <w:rPr>
          <w:rFonts w:ascii="Arial" w:hAnsi="Arial" w:cs="Arial"/>
        </w:rPr>
        <w:t xml:space="preserve">H. </w:t>
      </w:r>
      <w:r w:rsidR="000B0574">
        <w:rPr>
          <w:rFonts w:ascii="Arial" w:hAnsi="Arial" w:cs="Arial"/>
        </w:rPr>
        <w:t xml:space="preserve">XVI </w:t>
      </w:r>
      <w:r w:rsidRPr="007D48A8">
        <w:rPr>
          <w:rFonts w:ascii="Arial" w:hAnsi="Arial" w:cs="Arial"/>
        </w:rPr>
        <w:t>Legislatura del Estado de Quintana Roo, con relación al manejo de las mismas por parte de las autoridades correspondientes.</w:t>
      </w:r>
    </w:p>
    <w:p w14:paraId="37D44E37" w14:textId="77777777" w:rsidR="00345C1A" w:rsidRPr="002013D4" w:rsidRDefault="00345C1A" w:rsidP="00736191">
      <w:pPr>
        <w:spacing w:line="360" w:lineRule="auto"/>
        <w:ind w:right="49"/>
        <w:jc w:val="both"/>
        <w:rPr>
          <w:rFonts w:ascii="Arial" w:hAnsi="Arial" w:cs="Arial"/>
        </w:rPr>
      </w:pPr>
    </w:p>
    <w:p w14:paraId="3ACCC576" w14:textId="77777777" w:rsidR="007A2528" w:rsidRPr="00971AFA" w:rsidRDefault="007A2528" w:rsidP="00736191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F80AEE">
        <w:rPr>
          <w:rFonts w:ascii="Arial" w:hAnsi="Arial" w:cs="Arial"/>
          <w:bCs/>
        </w:rPr>
        <w:t xml:space="preserve">La formulación, revisión y aprobación de la Cuenta Pública del </w:t>
      </w:r>
      <w:r w:rsidRPr="00F80AEE">
        <w:rPr>
          <w:rFonts w:ascii="Arial" w:hAnsi="Arial" w:cs="Arial"/>
          <w:b/>
        </w:rPr>
        <w:t>Instituto de Planeación de Desarrollo Urbano del Municipio de Benito Juárez</w:t>
      </w:r>
      <w:r w:rsidRPr="00F80AEE">
        <w:rPr>
          <w:rFonts w:ascii="Arial" w:hAnsi="Arial" w:cs="Arial"/>
        </w:rPr>
        <w:t>,</w:t>
      </w:r>
      <w:r w:rsidRPr="00F80AEE">
        <w:rPr>
          <w:rFonts w:ascii="Arial" w:hAnsi="Arial" w:cs="Arial"/>
          <w:bCs/>
        </w:rPr>
        <w:t xml:space="preserve"> comprende la realización de actividades en las que participa la Legislatura del Estado, las cuales comprenden:</w:t>
      </w:r>
    </w:p>
    <w:p w14:paraId="5CC01D00" w14:textId="77777777" w:rsidR="007A2528" w:rsidRPr="00971AFA" w:rsidRDefault="007A2528" w:rsidP="00736191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43CAEA5A" w14:textId="512580BC" w:rsidR="001075DF" w:rsidRPr="009879F6" w:rsidRDefault="007A2528" w:rsidP="00736191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F80AEE">
        <w:rPr>
          <w:rFonts w:ascii="Arial" w:hAnsi="Arial" w:cs="Arial"/>
          <w:b/>
          <w:bCs/>
        </w:rPr>
        <w:t>A.- El Proceso Administrativo;</w:t>
      </w:r>
      <w:r w:rsidRPr="00F80AEE">
        <w:rPr>
          <w:rFonts w:ascii="Arial" w:hAnsi="Arial" w:cs="Arial"/>
          <w:bCs/>
        </w:rPr>
        <w:t xml:space="preserve"> que es desarrollado fundamentalmente por el </w:t>
      </w:r>
      <w:r w:rsidRPr="00F80AEE">
        <w:rPr>
          <w:rFonts w:ascii="Arial" w:hAnsi="Arial" w:cs="Arial"/>
          <w:b/>
        </w:rPr>
        <w:t>Instituto de Planeación de Desarrollo Urbano del Municipio de Benito Juárez</w:t>
      </w:r>
      <w:r w:rsidRPr="00F80AEE">
        <w:rPr>
          <w:rFonts w:ascii="Arial" w:hAnsi="Arial" w:cs="Arial"/>
        </w:rPr>
        <w:t>,</w:t>
      </w:r>
      <w:r w:rsidRPr="00F80AEE">
        <w:rPr>
          <w:rFonts w:ascii="Arial" w:hAnsi="Arial" w:cs="Arial"/>
          <w:bCs/>
        </w:rPr>
        <w:t xml:space="preserve"> en la integración de la Cuenta Pública, la cual comprende los resultados de las labores administrativas realizadas en el ejercicio fiscal 2019, así como las principales políticas financieras, económicas y sociales que influyeron en el resultado de los ingresos obtenidos y los gastos efectuados por la entidad fiscalizada.</w:t>
      </w:r>
    </w:p>
    <w:p w14:paraId="578C3BAF" w14:textId="77777777" w:rsidR="003300B5" w:rsidRPr="009879F6" w:rsidRDefault="003300B5" w:rsidP="00736191">
      <w:pPr>
        <w:spacing w:line="360" w:lineRule="auto"/>
        <w:ind w:right="49"/>
        <w:jc w:val="both"/>
        <w:rPr>
          <w:rFonts w:ascii="Arial" w:hAnsi="Arial" w:cs="Arial"/>
          <w:shd w:val="clear" w:color="auto" w:fill="7ED4F2"/>
        </w:rPr>
      </w:pPr>
    </w:p>
    <w:p w14:paraId="3B5FC50C" w14:textId="55FC2865" w:rsidR="001075DF" w:rsidRPr="00B92116" w:rsidRDefault="007A2528" w:rsidP="00736191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F80AEE">
        <w:rPr>
          <w:rFonts w:ascii="Arial" w:hAnsi="Arial" w:cs="Arial"/>
          <w:b/>
          <w:bCs/>
        </w:rPr>
        <w:t xml:space="preserve">B.- El Proceso de Vigilancia; </w:t>
      </w:r>
      <w:r w:rsidRPr="00F80AEE">
        <w:rPr>
          <w:rFonts w:ascii="Arial" w:hAnsi="Arial" w:cs="Arial"/>
          <w:bCs/>
        </w:rPr>
        <w:t>que es desarrollado por la Legislatura del Estado con apoyo de la Auditoría Superior del Estado, cuya función es la revisión y fiscalización superior</w:t>
      </w:r>
      <w:r>
        <w:rPr>
          <w:rFonts w:ascii="Arial" w:hAnsi="Arial" w:cs="Arial"/>
          <w:bCs/>
        </w:rPr>
        <w:t xml:space="preserve"> </w:t>
      </w:r>
      <w:r w:rsidRPr="00F80AEE">
        <w:rPr>
          <w:rFonts w:ascii="Arial" w:hAnsi="Arial" w:cs="Arial"/>
          <w:bCs/>
        </w:rPr>
        <w:t xml:space="preserve">de </w:t>
      </w:r>
      <w:bookmarkStart w:id="1" w:name="_Hlk11404101"/>
      <w:r w:rsidRPr="00F80AEE">
        <w:rPr>
          <w:rFonts w:ascii="Arial" w:hAnsi="Arial" w:cs="Arial"/>
          <w:bCs/>
        </w:rPr>
        <w:t xml:space="preserve">la gestión financiera para comprobar el cumplimiento de las </w:t>
      </w:r>
      <w:bookmarkStart w:id="2" w:name="_Hlk11355006"/>
      <w:r w:rsidRPr="00F80AEE">
        <w:rPr>
          <w:rFonts w:ascii="Arial" w:hAnsi="Arial" w:cs="Arial"/>
          <w:bCs/>
        </w:rPr>
        <w:t xml:space="preserve">disposiciones legales y </w:t>
      </w:r>
      <w:r w:rsidRPr="00F80AEE">
        <w:rPr>
          <w:rFonts w:ascii="Arial" w:hAnsi="Arial" w:cs="Arial"/>
          <w:bCs/>
        </w:rPr>
        <w:lastRenderedPageBreak/>
        <w:t>normativas aplicables</w:t>
      </w:r>
      <w:bookmarkEnd w:id="2"/>
      <w:r w:rsidRPr="00F80AEE">
        <w:rPr>
          <w:rFonts w:ascii="Arial" w:hAnsi="Arial" w:cs="Arial"/>
          <w:bCs/>
        </w:rPr>
        <w:t xml:space="preserve">, en cuanto a los ingresos y gastos públicos, </w:t>
      </w:r>
      <w:bookmarkEnd w:id="1"/>
      <w:r w:rsidRPr="00F80AEE">
        <w:rPr>
          <w:rFonts w:ascii="Arial" w:hAnsi="Arial" w:cs="Arial"/>
          <w:bCs/>
        </w:rPr>
        <w:t xml:space="preserve">y todo lo relacionado con </w:t>
      </w:r>
      <w:r w:rsidRPr="008404F5">
        <w:rPr>
          <w:rFonts w:ascii="Arial" w:hAnsi="Arial" w:cs="Arial"/>
          <w:bCs/>
        </w:rPr>
        <w:t xml:space="preserve">la actividad financiera-administrativa del </w:t>
      </w:r>
      <w:r w:rsidRPr="008404F5">
        <w:rPr>
          <w:rFonts w:ascii="Arial" w:hAnsi="Arial" w:cs="Arial"/>
          <w:b/>
        </w:rPr>
        <w:t>Instituto de Planeación de Desarrollo Urbano del Municipio de Benito Juárez</w:t>
      </w:r>
      <w:r w:rsidRPr="008404F5">
        <w:rPr>
          <w:rFonts w:ascii="Arial" w:hAnsi="Arial" w:cs="Arial"/>
          <w:bCs/>
        </w:rPr>
        <w:t>.</w:t>
      </w:r>
    </w:p>
    <w:p w14:paraId="641736BF" w14:textId="77777777" w:rsidR="00E95869" w:rsidRPr="00B92116" w:rsidRDefault="00E95869" w:rsidP="00736191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p w14:paraId="699C31F9" w14:textId="5396338A" w:rsidR="00F258F3" w:rsidRPr="009879F6" w:rsidRDefault="007A2528" w:rsidP="00736191">
      <w:pPr>
        <w:spacing w:line="360" w:lineRule="auto"/>
        <w:ind w:right="49"/>
        <w:jc w:val="both"/>
        <w:rPr>
          <w:rFonts w:ascii="Arial" w:hAnsi="Arial" w:cs="Arial"/>
        </w:rPr>
      </w:pPr>
      <w:r w:rsidRPr="008404F5">
        <w:rPr>
          <w:rFonts w:ascii="Arial" w:hAnsi="Arial" w:cs="Arial"/>
        </w:rPr>
        <w:t xml:space="preserve">En la Cuenta Pública del </w:t>
      </w:r>
      <w:r w:rsidRPr="008404F5">
        <w:rPr>
          <w:rFonts w:ascii="Arial" w:hAnsi="Arial" w:cs="Arial"/>
          <w:b/>
        </w:rPr>
        <w:t>Instituto de Planeación</w:t>
      </w:r>
      <w:r w:rsidRPr="00F80AEE">
        <w:rPr>
          <w:rFonts w:ascii="Arial" w:hAnsi="Arial" w:cs="Arial"/>
          <w:b/>
        </w:rPr>
        <w:t xml:space="preserve"> de Desarrollo Urbano del Municipio de Benito Juárez</w:t>
      </w:r>
      <w:r w:rsidRPr="00F80AEE">
        <w:rPr>
          <w:rFonts w:ascii="Arial" w:hAnsi="Arial" w:cs="Arial"/>
        </w:rPr>
        <w:t xml:space="preserve">, correspondiente al ejercicio fiscal </w:t>
      </w:r>
      <w:r w:rsidRPr="00F80AEE">
        <w:rPr>
          <w:rFonts w:ascii="Arial" w:hAnsi="Arial" w:cs="Arial"/>
          <w:bCs/>
        </w:rPr>
        <w:t>2019</w:t>
      </w:r>
      <w:r w:rsidRPr="00F80AEE">
        <w:rPr>
          <w:rFonts w:ascii="Arial" w:hAnsi="Arial" w:cs="Arial"/>
        </w:rPr>
        <w:t>, se encuentra</w:t>
      </w:r>
      <w:r w:rsidR="002B0D92">
        <w:rPr>
          <w:rFonts w:ascii="Arial" w:hAnsi="Arial" w:cs="Arial"/>
        </w:rPr>
        <w:t xml:space="preserve"> reflejada la obtención del ingreso y aplicación del</w:t>
      </w:r>
      <w:r w:rsidRPr="00F80AEE">
        <w:rPr>
          <w:rFonts w:ascii="Arial" w:hAnsi="Arial" w:cs="Arial"/>
        </w:rPr>
        <w:t xml:space="preserve"> gasto </w:t>
      </w:r>
      <w:r w:rsidR="002B0D92">
        <w:rPr>
          <w:rFonts w:ascii="Arial" w:hAnsi="Arial" w:cs="Arial"/>
        </w:rPr>
        <w:t xml:space="preserve">público </w:t>
      </w:r>
      <w:r w:rsidRPr="00F80AEE">
        <w:rPr>
          <w:rFonts w:ascii="Arial" w:hAnsi="Arial" w:cs="Arial"/>
        </w:rPr>
        <w:t>de</w:t>
      </w:r>
      <w:bookmarkStart w:id="3" w:name="_Hlk14174045"/>
      <w:r w:rsidRPr="00F80AEE">
        <w:rPr>
          <w:rFonts w:ascii="Arial" w:hAnsi="Arial" w:cs="Arial"/>
        </w:rPr>
        <w:t xml:space="preserve"> recursos</w:t>
      </w:r>
      <w:bookmarkEnd w:id="3"/>
      <w:r w:rsidRPr="00F80AEE">
        <w:rPr>
          <w:rFonts w:ascii="Arial" w:hAnsi="Arial" w:cs="Arial"/>
        </w:rPr>
        <w:t xml:space="preserve"> municipales. La Cuenta Pública fue entregada a la Auditoría Superior del Estado</w:t>
      </w:r>
      <w:r w:rsidRPr="008E1C6E">
        <w:rPr>
          <w:rFonts w:ascii="Arial" w:hAnsi="Arial" w:cs="Arial"/>
        </w:rPr>
        <w:t>, en fecha 26 de junio de 2020 con oficio No. 120/2020.</w:t>
      </w:r>
    </w:p>
    <w:p w14:paraId="3DF35B4D" w14:textId="77777777" w:rsidR="00920993" w:rsidRPr="00D758CB" w:rsidRDefault="00920993" w:rsidP="00B93F1F">
      <w:pPr>
        <w:spacing w:line="360" w:lineRule="auto"/>
        <w:ind w:right="48"/>
        <w:jc w:val="both"/>
        <w:rPr>
          <w:rFonts w:ascii="Arial" w:hAnsi="Arial" w:cs="Arial"/>
          <w:i/>
          <w:iCs/>
        </w:rPr>
      </w:pPr>
    </w:p>
    <w:p w14:paraId="3C02640D" w14:textId="7007DE54" w:rsidR="007D0A34" w:rsidRPr="009879F6" w:rsidRDefault="009F4614" w:rsidP="00736191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F80AEE">
        <w:rPr>
          <w:rFonts w:ascii="Arial" w:hAnsi="Arial" w:cs="Arial"/>
          <w:bCs/>
        </w:rPr>
        <w:t>El C. Auditor Superior del Estado de Quintana Roo, de conformidad con lo dispuesto en los artículos 8, 19 fracción I, y 86 fracción IV, de la Ley de Fiscalización y Rendición de Cuentas del Estado de Quintana Roo, aprobó en fecha 30 de junio de 2020 mediante acuerdo administrativo, el Programa Anual de Auditorías, Visitas e Inspecciones (PAAVI), correspondiente al año 2020, para la fiscalización superior de la Cuenta Pública 2019, el cual fue expedido y publicado en el portal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53DB530A" w14:textId="5C5337C0" w:rsidR="009F4614" w:rsidRDefault="009F4614" w:rsidP="00736191">
      <w:pPr>
        <w:spacing w:line="360" w:lineRule="auto"/>
        <w:ind w:right="49"/>
        <w:jc w:val="both"/>
        <w:rPr>
          <w:rFonts w:ascii="Arial" w:hAnsi="Arial" w:cs="Arial"/>
        </w:rPr>
      </w:pPr>
      <w:bookmarkStart w:id="4" w:name="_Hlk11404920"/>
      <w:r w:rsidRPr="009879F6">
        <w:rPr>
          <w:rFonts w:ascii="Arial" w:hAnsi="Arial" w:cs="Arial"/>
        </w:rPr>
        <w:t>Por lo anterior y en cumplimiento a los artículos 2, 3, 4, 5, 6 fracciones I, II y XX,</w:t>
      </w:r>
      <w:r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16, 17, 19 fracciones I, VI, VII, VIII, XII, XV, XXVI y XXVIII, 22 en su último párrafo, 38, 41, 42 y 86 fracciones I, XVII, XXII y XXXVI de la Ley de Fiscalización y Rendición de Cuentas del Estado de Quintana Roo</w:t>
      </w:r>
      <w:bookmarkEnd w:id="4"/>
      <w:r w:rsidRPr="009879F6">
        <w:rPr>
          <w:rFonts w:ascii="Arial" w:hAnsi="Arial" w:cs="Arial"/>
        </w:rPr>
        <w:t xml:space="preserve">, se tiene a bien presentar </w:t>
      </w:r>
      <w:r w:rsidR="002B0D92">
        <w:rPr>
          <w:rFonts w:ascii="Arial" w:hAnsi="Arial" w:cs="Arial"/>
        </w:rPr>
        <w:t>el</w:t>
      </w:r>
      <w:r w:rsidRPr="009879F6">
        <w:rPr>
          <w:rFonts w:ascii="Arial" w:hAnsi="Arial" w:cs="Arial"/>
        </w:rPr>
        <w:t xml:space="preserve"> Informe Individual de Auditoría, obtenido con relación a la Cuenta Pública</w:t>
      </w:r>
      <w:r w:rsidR="002B0D92">
        <w:rPr>
          <w:rFonts w:ascii="Arial" w:hAnsi="Arial" w:cs="Arial"/>
          <w:bCs/>
        </w:rPr>
        <w:t xml:space="preserve"> del</w:t>
      </w:r>
      <w:r w:rsidRPr="009879F6">
        <w:rPr>
          <w:rFonts w:ascii="Arial" w:hAnsi="Arial" w:cs="Arial"/>
          <w:bCs/>
        </w:rPr>
        <w:t xml:space="preserve"> </w:t>
      </w:r>
      <w:r w:rsidRPr="00F80AEE">
        <w:rPr>
          <w:rFonts w:ascii="Arial" w:hAnsi="Arial" w:cs="Arial"/>
          <w:b/>
        </w:rPr>
        <w:t>Instituto de Planeación de Desarrollo Urbano del Municipio de Benito Juárez</w:t>
      </w:r>
      <w:r w:rsidRPr="009879F6">
        <w:rPr>
          <w:rFonts w:ascii="Arial" w:hAnsi="Arial" w:cs="Arial"/>
        </w:rPr>
        <w:t>, correspondiente al</w:t>
      </w:r>
      <w:r w:rsidRPr="009879F6">
        <w:rPr>
          <w:rFonts w:ascii="Arial" w:hAnsi="Arial" w:cs="Arial"/>
          <w:bCs/>
        </w:rPr>
        <w:t xml:space="preserve"> ejercicio fiscal </w:t>
      </w:r>
      <w:r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55C1654A" w14:textId="77777777" w:rsidR="00736191" w:rsidRDefault="00736191" w:rsidP="00736191">
      <w:pPr>
        <w:spacing w:line="360" w:lineRule="auto"/>
        <w:ind w:right="49"/>
        <w:jc w:val="both"/>
        <w:rPr>
          <w:rFonts w:ascii="Arial" w:hAnsi="Arial" w:cs="Arial"/>
        </w:rPr>
      </w:pPr>
    </w:p>
    <w:p w14:paraId="42BFFED1" w14:textId="2D7DF2E0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4EC51065" w:rsidR="00A35B86" w:rsidRDefault="00A35B86" w:rsidP="00B93F1F">
      <w:pPr>
        <w:spacing w:line="360" w:lineRule="auto"/>
        <w:ind w:right="190"/>
        <w:rPr>
          <w:rFonts w:ascii="Arial" w:hAnsi="Arial" w:cs="Arial"/>
          <w:bCs/>
        </w:rPr>
      </w:pPr>
    </w:p>
    <w:p w14:paraId="7912D61E" w14:textId="77777777" w:rsidR="001E35DB" w:rsidRPr="009F4614" w:rsidRDefault="001E35DB" w:rsidP="00B93F1F">
      <w:pPr>
        <w:spacing w:line="360" w:lineRule="auto"/>
        <w:ind w:right="190"/>
        <w:rPr>
          <w:rFonts w:ascii="Arial" w:hAnsi="Arial" w:cs="Arial"/>
          <w:bCs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lastRenderedPageBreak/>
        <w:t>D</w:t>
      </w:r>
      <w:r w:rsidR="002913A5">
        <w:rPr>
          <w:rFonts w:ascii="Arial" w:hAnsi="Arial" w:cs="Arial"/>
          <w:b/>
        </w:rPr>
        <w:t>e su Creación y Objeto</w:t>
      </w:r>
    </w:p>
    <w:p w14:paraId="35A99036" w14:textId="77777777" w:rsidR="001E35DB" w:rsidRDefault="001E35DB" w:rsidP="00D21B75">
      <w:pPr>
        <w:pStyle w:val="Textoindependiente"/>
        <w:spacing w:line="360" w:lineRule="auto"/>
        <w:ind w:right="49"/>
        <w:rPr>
          <w:rFonts w:ascii="Arial" w:hAnsi="Arial" w:cs="Arial"/>
        </w:rPr>
      </w:pPr>
    </w:p>
    <w:p w14:paraId="26CFF9DE" w14:textId="2F539C8D" w:rsidR="00D21B75" w:rsidRPr="00F80AEE" w:rsidRDefault="00D21B75" w:rsidP="00D21B75">
      <w:pPr>
        <w:pStyle w:val="Textoindependiente"/>
        <w:spacing w:line="360" w:lineRule="auto"/>
        <w:ind w:right="49"/>
        <w:rPr>
          <w:rFonts w:ascii="Arial" w:hAnsi="Arial" w:cs="Arial"/>
        </w:rPr>
      </w:pPr>
      <w:r w:rsidRPr="00F80AEE">
        <w:rPr>
          <w:rFonts w:ascii="Arial" w:hAnsi="Arial" w:cs="Arial"/>
        </w:rPr>
        <w:t xml:space="preserve">El </w:t>
      </w:r>
      <w:r w:rsidRPr="00F80AEE">
        <w:rPr>
          <w:rFonts w:ascii="Arial" w:hAnsi="Arial" w:cs="Arial"/>
          <w:b/>
        </w:rPr>
        <w:t xml:space="preserve">Instituto de Planeación de Desarrollo Urbano del Municipio de Benito Juárez, </w:t>
      </w:r>
      <w:r w:rsidRPr="00F80AEE">
        <w:rPr>
          <w:rFonts w:ascii="Arial" w:hAnsi="Arial" w:cs="Arial"/>
        </w:rPr>
        <w:t>se crea</w:t>
      </w:r>
      <w:r w:rsidRPr="00F80AEE">
        <w:rPr>
          <w:rFonts w:ascii="Arial" w:hAnsi="Arial" w:cs="Arial"/>
          <w:spacing w:val="-7"/>
        </w:rPr>
        <w:t xml:space="preserve"> </w:t>
      </w:r>
      <w:r w:rsidRPr="00F80AEE">
        <w:rPr>
          <w:rFonts w:ascii="Arial" w:hAnsi="Arial" w:cs="Arial"/>
        </w:rPr>
        <w:t>mediante</w:t>
      </w:r>
      <w:r w:rsidRPr="00F80AEE">
        <w:rPr>
          <w:rFonts w:ascii="Arial" w:hAnsi="Arial" w:cs="Arial"/>
          <w:spacing w:val="-6"/>
        </w:rPr>
        <w:t xml:space="preserve"> </w:t>
      </w:r>
      <w:r w:rsidRPr="00F80AEE">
        <w:rPr>
          <w:rFonts w:ascii="Arial" w:hAnsi="Arial" w:cs="Arial"/>
        </w:rPr>
        <w:t>acuerdo</w:t>
      </w:r>
      <w:r w:rsidRPr="00F80AEE">
        <w:rPr>
          <w:rFonts w:ascii="Arial" w:hAnsi="Arial" w:cs="Arial"/>
          <w:spacing w:val="-8"/>
        </w:rPr>
        <w:t xml:space="preserve"> </w:t>
      </w:r>
      <w:r w:rsidRPr="00F80AEE">
        <w:rPr>
          <w:rFonts w:ascii="Arial" w:hAnsi="Arial" w:cs="Arial"/>
        </w:rPr>
        <w:t>de</w:t>
      </w:r>
      <w:r w:rsidRPr="00F80AEE">
        <w:rPr>
          <w:rFonts w:ascii="Arial" w:hAnsi="Arial" w:cs="Arial"/>
          <w:spacing w:val="-6"/>
        </w:rPr>
        <w:t xml:space="preserve"> </w:t>
      </w:r>
      <w:r w:rsidRPr="00F80AEE">
        <w:rPr>
          <w:rFonts w:ascii="Arial" w:hAnsi="Arial" w:cs="Arial"/>
        </w:rPr>
        <w:t>la</w:t>
      </w:r>
      <w:r w:rsidRPr="00F80AEE">
        <w:rPr>
          <w:rFonts w:ascii="Arial" w:hAnsi="Arial" w:cs="Arial"/>
          <w:spacing w:val="-7"/>
        </w:rPr>
        <w:t xml:space="preserve"> </w:t>
      </w:r>
      <w:r w:rsidRPr="00F80AEE">
        <w:rPr>
          <w:rFonts w:ascii="Arial" w:hAnsi="Arial" w:cs="Arial"/>
        </w:rPr>
        <w:t>Quincuagésima</w:t>
      </w:r>
      <w:r w:rsidRPr="00F80AEE">
        <w:rPr>
          <w:rFonts w:ascii="Arial" w:hAnsi="Arial" w:cs="Arial"/>
          <w:spacing w:val="-8"/>
        </w:rPr>
        <w:t xml:space="preserve"> </w:t>
      </w:r>
      <w:r w:rsidRPr="00F80AEE">
        <w:rPr>
          <w:rFonts w:ascii="Arial" w:hAnsi="Arial" w:cs="Arial"/>
        </w:rPr>
        <w:t>Sesión</w:t>
      </w:r>
      <w:r w:rsidRPr="00F80AEE">
        <w:rPr>
          <w:rFonts w:ascii="Arial" w:hAnsi="Arial" w:cs="Arial"/>
          <w:spacing w:val="-1"/>
        </w:rPr>
        <w:t xml:space="preserve"> </w:t>
      </w:r>
      <w:r w:rsidRPr="00F80AEE">
        <w:rPr>
          <w:rFonts w:ascii="Arial" w:hAnsi="Arial" w:cs="Arial"/>
        </w:rPr>
        <w:t>Ordinaria</w:t>
      </w:r>
      <w:r w:rsidRPr="00F80AEE">
        <w:rPr>
          <w:rFonts w:ascii="Arial" w:hAnsi="Arial" w:cs="Arial"/>
          <w:spacing w:val="-7"/>
        </w:rPr>
        <w:t xml:space="preserve"> </w:t>
      </w:r>
      <w:r w:rsidRPr="00F80AEE">
        <w:rPr>
          <w:rFonts w:ascii="Arial" w:hAnsi="Arial" w:cs="Arial"/>
        </w:rPr>
        <w:t>del</w:t>
      </w:r>
      <w:r w:rsidRPr="00F80AEE">
        <w:rPr>
          <w:rFonts w:ascii="Arial" w:hAnsi="Arial" w:cs="Arial"/>
          <w:spacing w:val="-7"/>
        </w:rPr>
        <w:t xml:space="preserve"> </w:t>
      </w:r>
      <w:r w:rsidRPr="00F80AEE">
        <w:rPr>
          <w:rFonts w:ascii="Arial" w:hAnsi="Arial" w:cs="Arial"/>
        </w:rPr>
        <w:t>Honorable</w:t>
      </w:r>
      <w:r w:rsidRPr="00F80AEE">
        <w:rPr>
          <w:rFonts w:ascii="Arial" w:hAnsi="Arial" w:cs="Arial"/>
          <w:spacing w:val="-6"/>
        </w:rPr>
        <w:t xml:space="preserve"> </w:t>
      </w:r>
      <w:r w:rsidRPr="00F80AEE">
        <w:rPr>
          <w:rFonts w:ascii="Arial" w:hAnsi="Arial" w:cs="Arial"/>
        </w:rPr>
        <w:t>Ayuntamiento de Benito Juárez el día 28 de junio de 2001, como un Organismo Público Descentralizado de</w:t>
      </w:r>
      <w:r w:rsidRPr="00F80AEE">
        <w:rPr>
          <w:rFonts w:ascii="Arial" w:hAnsi="Arial" w:cs="Arial"/>
          <w:spacing w:val="-7"/>
        </w:rPr>
        <w:t xml:space="preserve"> </w:t>
      </w:r>
      <w:r w:rsidRPr="00F80AEE">
        <w:rPr>
          <w:rFonts w:ascii="Arial" w:hAnsi="Arial" w:cs="Arial"/>
        </w:rPr>
        <w:t>la</w:t>
      </w:r>
      <w:r w:rsidRPr="00F80AEE">
        <w:rPr>
          <w:rFonts w:ascii="Arial" w:hAnsi="Arial" w:cs="Arial"/>
          <w:spacing w:val="-9"/>
        </w:rPr>
        <w:t xml:space="preserve"> </w:t>
      </w:r>
      <w:r w:rsidRPr="00F80AEE">
        <w:rPr>
          <w:rFonts w:ascii="Arial" w:hAnsi="Arial" w:cs="Arial"/>
        </w:rPr>
        <w:t>Administración</w:t>
      </w:r>
      <w:r w:rsidRPr="00F80AEE">
        <w:rPr>
          <w:rFonts w:ascii="Arial" w:hAnsi="Arial" w:cs="Arial"/>
          <w:spacing w:val="-7"/>
        </w:rPr>
        <w:t xml:space="preserve"> </w:t>
      </w:r>
      <w:r w:rsidRPr="00F80AEE">
        <w:rPr>
          <w:rFonts w:ascii="Arial" w:hAnsi="Arial" w:cs="Arial"/>
        </w:rPr>
        <w:t>Municipal</w:t>
      </w:r>
      <w:r w:rsidRPr="00F80AEE">
        <w:rPr>
          <w:rFonts w:ascii="Arial" w:hAnsi="Arial" w:cs="Arial"/>
          <w:spacing w:val="-10"/>
        </w:rPr>
        <w:t xml:space="preserve"> </w:t>
      </w:r>
      <w:r w:rsidRPr="00F80AEE">
        <w:rPr>
          <w:rFonts w:ascii="Arial" w:hAnsi="Arial" w:cs="Arial"/>
        </w:rPr>
        <w:t>especializado</w:t>
      </w:r>
      <w:r w:rsidRPr="00F80AEE">
        <w:rPr>
          <w:rFonts w:ascii="Arial" w:hAnsi="Arial" w:cs="Arial"/>
          <w:spacing w:val="-9"/>
        </w:rPr>
        <w:t xml:space="preserve"> </w:t>
      </w:r>
      <w:r w:rsidRPr="00F80AEE">
        <w:rPr>
          <w:rFonts w:ascii="Arial" w:hAnsi="Arial" w:cs="Arial"/>
        </w:rPr>
        <w:t>en</w:t>
      </w:r>
      <w:r w:rsidRPr="00F80AEE">
        <w:rPr>
          <w:rFonts w:ascii="Arial" w:hAnsi="Arial" w:cs="Arial"/>
          <w:spacing w:val="-6"/>
        </w:rPr>
        <w:t xml:space="preserve"> </w:t>
      </w:r>
      <w:r w:rsidRPr="00F80AEE">
        <w:rPr>
          <w:rFonts w:ascii="Arial" w:hAnsi="Arial" w:cs="Arial"/>
        </w:rPr>
        <w:t>la</w:t>
      </w:r>
      <w:r w:rsidRPr="00F80AEE">
        <w:rPr>
          <w:rFonts w:ascii="Arial" w:hAnsi="Arial" w:cs="Arial"/>
          <w:spacing w:val="-10"/>
        </w:rPr>
        <w:t xml:space="preserve"> </w:t>
      </w:r>
      <w:r w:rsidRPr="00F80AEE">
        <w:rPr>
          <w:rFonts w:ascii="Arial" w:hAnsi="Arial" w:cs="Arial"/>
        </w:rPr>
        <w:t>planeación</w:t>
      </w:r>
      <w:r w:rsidRPr="00F80AEE">
        <w:rPr>
          <w:rFonts w:ascii="Arial" w:hAnsi="Arial" w:cs="Arial"/>
          <w:spacing w:val="-8"/>
        </w:rPr>
        <w:t xml:space="preserve"> </w:t>
      </w:r>
      <w:r w:rsidRPr="00F80AEE">
        <w:rPr>
          <w:rFonts w:ascii="Arial" w:hAnsi="Arial" w:cs="Arial"/>
        </w:rPr>
        <w:t>del</w:t>
      </w:r>
      <w:r w:rsidRPr="00F80AEE">
        <w:rPr>
          <w:rFonts w:ascii="Arial" w:hAnsi="Arial" w:cs="Arial"/>
          <w:spacing w:val="-11"/>
        </w:rPr>
        <w:t xml:space="preserve"> </w:t>
      </w:r>
      <w:r w:rsidRPr="00F80AEE">
        <w:rPr>
          <w:rFonts w:ascii="Arial" w:hAnsi="Arial" w:cs="Arial"/>
        </w:rPr>
        <w:t>desarrollo</w:t>
      </w:r>
      <w:r w:rsidRPr="00F80AEE">
        <w:rPr>
          <w:rFonts w:ascii="Arial" w:hAnsi="Arial" w:cs="Arial"/>
          <w:spacing w:val="-6"/>
        </w:rPr>
        <w:t xml:space="preserve"> </w:t>
      </w:r>
      <w:r w:rsidRPr="00F80AEE">
        <w:rPr>
          <w:rFonts w:ascii="Arial" w:hAnsi="Arial" w:cs="Arial"/>
        </w:rPr>
        <w:t>urbano</w:t>
      </w:r>
      <w:r w:rsidRPr="00F80AEE">
        <w:rPr>
          <w:rFonts w:ascii="Arial" w:hAnsi="Arial" w:cs="Arial"/>
          <w:spacing w:val="-9"/>
        </w:rPr>
        <w:t xml:space="preserve"> </w:t>
      </w:r>
      <w:r w:rsidRPr="00F80AEE">
        <w:rPr>
          <w:rFonts w:ascii="Arial" w:hAnsi="Arial" w:cs="Arial"/>
        </w:rPr>
        <w:t>de</w:t>
      </w:r>
      <w:r w:rsidRPr="00F80AEE">
        <w:rPr>
          <w:rFonts w:ascii="Arial" w:hAnsi="Arial" w:cs="Arial"/>
          <w:spacing w:val="-8"/>
        </w:rPr>
        <w:t xml:space="preserve"> </w:t>
      </w:r>
      <w:r w:rsidRPr="00F80AEE">
        <w:rPr>
          <w:rFonts w:ascii="Arial" w:hAnsi="Arial" w:cs="Arial"/>
        </w:rPr>
        <w:t>este municipio; mismo que fue publicado en el Periódico Oficial del Estado de Quintana Roo el 30 de julio de 2001, con residencia en la ciudad de Cancún, Quintana</w:t>
      </w:r>
      <w:r w:rsidRPr="00F80AEE">
        <w:rPr>
          <w:rFonts w:ascii="Arial" w:hAnsi="Arial" w:cs="Arial"/>
          <w:spacing w:val="-15"/>
        </w:rPr>
        <w:t xml:space="preserve"> </w:t>
      </w:r>
      <w:r w:rsidRPr="00F80AEE">
        <w:rPr>
          <w:rFonts w:ascii="Arial" w:hAnsi="Arial" w:cs="Arial"/>
        </w:rPr>
        <w:t>Roo.</w:t>
      </w:r>
    </w:p>
    <w:p w14:paraId="13B1915B" w14:textId="77777777" w:rsidR="00D21B75" w:rsidRPr="00F80AEE" w:rsidRDefault="00D21B75" w:rsidP="00D21B75">
      <w:pPr>
        <w:pStyle w:val="Textoindependiente"/>
        <w:spacing w:before="11"/>
        <w:rPr>
          <w:rFonts w:ascii="Arial" w:hAnsi="Arial" w:cs="Arial"/>
        </w:rPr>
      </w:pPr>
    </w:p>
    <w:p w14:paraId="04529E17" w14:textId="1E2207C5" w:rsidR="0091648C" w:rsidRPr="009879F6" w:rsidRDefault="00D21B75" w:rsidP="00736191">
      <w:pPr>
        <w:spacing w:line="360" w:lineRule="auto"/>
        <w:ind w:right="49"/>
        <w:jc w:val="both"/>
        <w:rPr>
          <w:rFonts w:ascii="Arial" w:hAnsi="Arial" w:cs="Arial"/>
        </w:rPr>
      </w:pPr>
      <w:r w:rsidRPr="00F80AEE">
        <w:rPr>
          <w:rFonts w:ascii="Arial" w:hAnsi="Arial" w:cs="Arial"/>
        </w:rPr>
        <w:t xml:space="preserve">El </w:t>
      </w:r>
      <w:r w:rsidRPr="00F80AEE">
        <w:rPr>
          <w:rFonts w:ascii="Arial" w:hAnsi="Arial" w:cs="Arial"/>
          <w:b/>
        </w:rPr>
        <w:t xml:space="preserve">Instituto de Planeación de Desarrollo Urbano del Municipio de Benito Juárez </w:t>
      </w:r>
      <w:r w:rsidRPr="00F80AEE">
        <w:rPr>
          <w:rFonts w:ascii="Arial" w:hAnsi="Arial" w:cs="Arial"/>
        </w:rPr>
        <w:t>tiene como finalidad: Asesorar técnicamente al Ayuntamiento y a las dependencias de la Administración Pública Municipal en todos los aspectos relacionados con el desarrollo urbano; realizar de manera integral las investigaciones y consultas que sean necesarias para el adecuado sustento y fundamentación de los planes y programas de desarrollo urbano;</w:t>
      </w:r>
      <w:r w:rsidRPr="00F80AEE">
        <w:rPr>
          <w:rFonts w:ascii="Arial" w:hAnsi="Arial" w:cs="Arial"/>
          <w:spacing w:val="-6"/>
        </w:rPr>
        <w:t xml:space="preserve"> </w:t>
      </w:r>
      <w:r w:rsidRPr="00F80AEE">
        <w:rPr>
          <w:rFonts w:ascii="Arial" w:hAnsi="Arial" w:cs="Arial"/>
        </w:rPr>
        <w:t>elaborar</w:t>
      </w:r>
      <w:r w:rsidRPr="00F80AEE">
        <w:rPr>
          <w:rFonts w:ascii="Arial" w:hAnsi="Arial" w:cs="Arial"/>
          <w:spacing w:val="-5"/>
        </w:rPr>
        <w:t xml:space="preserve"> </w:t>
      </w:r>
      <w:r w:rsidRPr="00F80AEE">
        <w:rPr>
          <w:rFonts w:ascii="Arial" w:hAnsi="Arial" w:cs="Arial"/>
        </w:rPr>
        <w:t>los</w:t>
      </w:r>
      <w:r w:rsidRPr="00F80AEE">
        <w:rPr>
          <w:rFonts w:ascii="Arial" w:hAnsi="Arial" w:cs="Arial"/>
          <w:spacing w:val="-6"/>
        </w:rPr>
        <w:t xml:space="preserve"> </w:t>
      </w:r>
      <w:r w:rsidRPr="00F80AEE">
        <w:rPr>
          <w:rFonts w:ascii="Arial" w:hAnsi="Arial" w:cs="Arial"/>
        </w:rPr>
        <w:t>planes</w:t>
      </w:r>
      <w:r w:rsidRPr="00F80AEE">
        <w:rPr>
          <w:rFonts w:ascii="Arial" w:hAnsi="Arial" w:cs="Arial"/>
          <w:spacing w:val="-7"/>
        </w:rPr>
        <w:t xml:space="preserve"> </w:t>
      </w:r>
      <w:r w:rsidRPr="00F80AEE">
        <w:rPr>
          <w:rFonts w:ascii="Arial" w:hAnsi="Arial" w:cs="Arial"/>
        </w:rPr>
        <w:t>y</w:t>
      </w:r>
      <w:r w:rsidRPr="00F80AEE">
        <w:rPr>
          <w:rFonts w:ascii="Arial" w:hAnsi="Arial" w:cs="Arial"/>
          <w:spacing w:val="-7"/>
        </w:rPr>
        <w:t xml:space="preserve"> </w:t>
      </w:r>
      <w:r w:rsidRPr="00F80AEE">
        <w:rPr>
          <w:rFonts w:ascii="Arial" w:hAnsi="Arial" w:cs="Arial"/>
        </w:rPr>
        <w:t>programas</w:t>
      </w:r>
      <w:r w:rsidRPr="00F80AEE">
        <w:rPr>
          <w:rFonts w:ascii="Arial" w:hAnsi="Arial" w:cs="Arial"/>
          <w:spacing w:val="-7"/>
        </w:rPr>
        <w:t xml:space="preserve"> </w:t>
      </w:r>
      <w:r w:rsidRPr="00F80AEE">
        <w:rPr>
          <w:rFonts w:ascii="Arial" w:hAnsi="Arial" w:cs="Arial"/>
        </w:rPr>
        <w:t>de</w:t>
      </w:r>
      <w:r w:rsidRPr="00F80AEE">
        <w:rPr>
          <w:rFonts w:ascii="Arial" w:hAnsi="Arial" w:cs="Arial"/>
          <w:spacing w:val="-6"/>
        </w:rPr>
        <w:t xml:space="preserve"> </w:t>
      </w:r>
      <w:r w:rsidRPr="00F80AEE">
        <w:rPr>
          <w:rFonts w:ascii="Arial" w:hAnsi="Arial" w:cs="Arial"/>
        </w:rPr>
        <w:t>desarrollo</w:t>
      </w:r>
      <w:r w:rsidRPr="00F80AEE">
        <w:rPr>
          <w:rFonts w:ascii="Arial" w:hAnsi="Arial" w:cs="Arial"/>
          <w:spacing w:val="-4"/>
        </w:rPr>
        <w:t xml:space="preserve"> </w:t>
      </w:r>
      <w:r w:rsidRPr="00F80AEE">
        <w:rPr>
          <w:rFonts w:ascii="Arial" w:hAnsi="Arial" w:cs="Arial"/>
        </w:rPr>
        <w:t>urbano</w:t>
      </w:r>
      <w:r w:rsidRPr="00F80AEE">
        <w:rPr>
          <w:rFonts w:ascii="Arial" w:hAnsi="Arial" w:cs="Arial"/>
          <w:spacing w:val="-4"/>
        </w:rPr>
        <w:t xml:space="preserve"> </w:t>
      </w:r>
      <w:r w:rsidRPr="00F80AEE">
        <w:rPr>
          <w:rFonts w:ascii="Arial" w:hAnsi="Arial" w:cs="Arial"/>
        </w:rPr>
        <w:t>y</w:t>
      </w:r>
      <w:r w:rsidRPr="00F80AEE">
        <w:rPr>
          <w:rFonts w:ascii="Arial" w:hAnsi="Arial" w:cs="Arial"/>
          <w:spacing w:val="-7"/>
        </w:rPr>
        <w:t xml:space="preserve"> </w:t>
      </w:r>
      <w:r w:rsidRPr="00F80AEE">
        <w:rPr>
          <w:rFonts w:ascii="Arial" w:hAnsi="Arial" w:cs="Arial"/>
        </w:rPr>
        <w:t>establecer</w:t>
      </w:r>
      <w:r w:rsidRPr="00F80AEE">
        <w:rPr>
          <w:rFonts w:ascii="Arial" w:hAnsi="Arial" w:cs="Arial"/>
          <w:spacing w:val="-5"/>
        </w:rPr>
        <w:t xml:space="preserve"> </w:t>
      </w:r>
      <w:r w:rsidRPr="00F80AEE">
        <w:rPr>
          <w:rFonts w:ascii="Arial" w:hAnsi="Arial" w:cs="Arial"/>
        </w:rPr>
        <w:t>los</w:t>
      </w:r>
      <w:r w:rsidRPr="00F80AEE">
        <w:rPr>
          <w:rFonts w:ascii="Arial" w:hAnsi="Arial" w:cs="Arial"/>
          <w:spacing w:val="-6"/>
        </w:rPr>
        <w:t xml:space="preserve"> </w:t>
      </w:r>
      <w:r w:rsidRPr="00F80AEE">
        <w:rPr>
          <w:rFonts w:ascii="Arial" w:hAnsi="Arial" w:cs="Arial"/>
        </w:rPr>
        <w:t>lineamientos y la metodología de su instrumentación; crear un sistema de información sobre todo lo relacionado</w:t>
      </w:r>
      <w:r w:rsidRPr="00F80AEE">
        <w:rPr>
          <w:rFonts w:ascii="Arial" w:hAnsi="Arial" w:cs="Arial"/>
          <w:spacing w:val="-6"/>
        </w:rPr>
        <w:t xml:space="preserve"> </w:t>
      </w:r>
      <w:r w:rsidRPr="00F80AEE">
        <w:rPr>
          <w:rFonts w:ascii="Arial" w:hAnsi="Arial" w:cs="Arial"/>
        </w:rPr>
        <w:t>con</w:t>
      </w:r>
      <w:r w:rsidRPr="00F80AEE">
        <w:rPr>
          <w:rFonts w:ascii="Arial" w:hAnsi="Arial" w:cs="Arial"/>
          <w:spacing w:val="-6"/>
        </w:rPr>
        <w:t xml:space="preserve"> </w:t>
      </w:r>
      <w:r w:rsidRPr="00F80AEE">
        <w:rPr>
          <w:rFonts w:ascii="Arial" w:hAnsi="Arial" w:cs="Arial"/>
        </w:rPr>
        <w:t>la</w:t>
      </w:r>
      <w:r w:rsidRPr="00F80AEE">
        <w:rPr>
          <w:rFonts w:ascii="Arial" w:hAnsi="Arial" w:cs="Arial"/>
          <w:spacing w:val="-7"/>
        </w:rPr>
        <w:t xml:space="preserve"> </w:t>
      </w:r>
      <w:r w:rsidRPr="00F80AEE">
        <w:rPr>
          <w:rFonts w:ascii="Arial" w:hAnsi="Arial" w:cs="Arial"/>
        </w:rPr>
        <w:t>planeación</w:t>
      </w:r>
      <w:r w:rsidRPr="00F80AEE">
        <w:rPr>
          <w:rFonts w:ascii="Arial" w:hAnsi="Arial" w:cs="Arial"/>
          <w:spacing w:val="-6"/>
        </w:rPr>
        <w:t xml:space="preserve"> </w:t>
      </w:r>
      <w:r w:rsidRPr="00F80AEE">
        <w:rPr>
          <w:rFonts w:ascii="Arial" w:hAnsi="Arial" w:cs="Arial"/>
        </w:rPr>
        <w:t>del</w:t>
      </w:r>
      <w:r w:rsidRPr="00F80AEE">
        <w:rPr>
          <w:rFonts w:ascii="Arial" w:hAnsi="Arial" w:cs="Arial"/>
          <w:spacing w:val="-6"/>
        </w:rPr>
        <w:t xml:space="preserve"> </w:t>
      </w:r>
      <w:r w:rsidRPr="00F80AEE">
        <w:rPr>
          <w:rFonts w:ascii="Arial" w:hAnsi="Arial" w:cs="Arial"/>
        </w:rPr>
        <w:t>desarrollo</w:t>
      </w:r>
      <w:r w:rsidRPr="00F80AEE">
        <w:rPr>
          <w:rFonts w:ascii="Arial" w:hAnsi="Arial" w:cs="Arial"/>
          <w:spacing w:val="-8"/>
        </w:rPr>
        <w:t xml:space="preserve"> </w:t>
      </w:r>
      <w:r w:rsidRPr="00F80AEE">
        <w:rPr>
          <w:rFonts w:ascii="Arial" w:hAnsi="Arial" w:cs="Arial"/>
        </w:rPr>
        <w:t>urbano</w:t>
      </w:r>
      <w:r w:rsidRPr="00F80AEE">
        <w:rPr>
          <w:rFonts w:ascii="Arial" w:hAnsi="Arial" w:cs="Arial"/>
          <w:spacing w:val="-6"/>
        </w:rPr>
        <w:t xml:space="preserve"> </w:t>
      </w:r>
      <w:r w:rsidRPr="00F80AEE">
        <w:rPr>
          <w:rFonts w:ascii="Arial" w:hAnsi="Arial" w:cs="Arial"/>
        </w:rPr>
        <w:t>del</w:t>
      </w:r>
      <w:r w:rsidRPr="00F80AEE">
        <w:rPr>
          <w:rFonts w:ascii="Arial" w:hAnsi="Arial" w:cs="Arial"/>
          <w:spacing w:val="-7"/>
        </w:rPr>
        <w:t xml:space="preserve"> </w:t>
      </w:r>
      <w:r w:rsidRPr="00F80AEE">
        <w:rPr>
          <w:rFonts w:ascii="Arial" w:hAnsi="Arial" w:cs="Arial"/>
        </w:rPr>
        <w:t>Municipio</w:t>
      </w:r>
      <w:r w:rsidRPr="00F80AEE">
        <w:rPr>
          <w:rFonts w:ascii="Arial" w:hAnsi="Arial" w:cs="Arial"/>
          <w:spacing w:val="-6"/>
        </w:rPr>
        <w:t xml:space="preserve"> </w:t>
      </w:r>
      <w:r w:rsidRPr="00F80AEE">
        <w:rPr>
          <w:rFonts w:ascii="Arial" w:hAnsi="Arial" w:cs="Arial"/>
        </w:rPr>
        <w:t>y</w:t>
      </w:r>
      <w:r w:rsidRPr="00F80AEE">
        <w:rPr>
          <w:rFonts w:ascii="Arial" w:hAnsi="Arial" w:cs="Arial"/>
          <w:spacing w:val="-9"/>
        </w:rPr>
        <w:t xml:space="preserve"> </w:t>
      </w:r>
      <w:r w:rsidRPr="00F80AEE">
        <w:rPr>
          <w:rFonts w:ascii="Arial" w:hAnsi="Arial" w:cs="Arial"/>
        </w:rPr>
        <w:t>ser</w:t>
      </w:r>
      <w:r w:rsidRPr="00F80AEE">
        <w:rPr>
          <w:rFonts w:ascii="Arial" w:hAnsi="Arial" w:cs="Arial"/>
          <w:spacing w:val="-7"/>
        </w:rPr>
        <w:t xml:space="preserve"> </w:t>
      </w:r>
      <w:r w:rsidRPr="00F80AEE">
        <w:rPr>
          <w:rFonts w:ascii="Arial" w:hAnsi="Arial" w:cs="Arial"/>
        </w:rPr>
        <w:t>el</w:t>
      </w:r>
      <w:r w:rsidRPr="00F80AEE">
        <w:rPr>
          <w:rFonts w:ascii="Arial" w:hAnsi="Arial" w:cs="Arial"/>
          <w:spacing w:val="-7"/>
        </w:rPr>
        <w:t xml:space="preserve"> </w:t>
      </w:r>
      <w:r w:rsidRPr="00F80AEE">
        <w:rPr>
          <w:rFonts w:ascii="Arial" w:hAnsi="Arial" w:cs="Arial"/>
        </w:rPr>
        <w:t>órgano</w:t>
      </w:r>
      <w:r w:rsidRPr="00F80AEE">
        <w:rPr>
          <w:rFonts w:ascii="Arial" w:hAnsi="Arial" w:cs="Arial"/>
          <w:spacing w:val="-6"/>
        </w:rPr>
        <w:t xml:space="preserve"> </w:t>
      </w:r>
      <w:r w:rsidRPr="00F80AEE">
        <w:rPr>
          <w:rFonts w:ascii="Arial" w:hAnsi="Arial" w:cs="Arial"/>
        </w:rPr>
        <w:t>normativo del proceso de planeación del desarrollo urbano del Municipio de Benito</w:t>
      </w:r>
      <w:r w:rsidRPr="00F80AEE">
        <w:rPr>
          <w:rFonts w:ascii="Arial" w:hAnsi="Arial" w:cs="Arial"/>
          <w:spacing w:val="-15"/>
        </w:rPr>
        <w:t xml:space="preserve"> </w:t>
      </w:r>
      <w:r w:rsidRPr="00F80AEE">
        <w:rPr>
          <w:rFonts w:ascii="Arial" w:hAnsi="Arial" w:cs="Arial"/>
        </w:rPr>
        <w:t>Juárez.</w:t>
      </w:r>
    </w:p>
    <w:p w14:paraId="70879352" w14:textId="77777777" w:rsidR="003A721E" w:rsidRPr="009879F6" w:rsidRDefault="003A721E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42E172E8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  <w:r w:rsidR="00D87B37">
        <w:rPr>
          <w:rFonts w:ascii="Arial" w:hAnsi="Arial" w:cs="Arial"/>
          <w:b/>
          <w:bCs/>
        </w:rPr>
        <w:t xml:space="preserve"> Y EGRESOS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28C3C703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</w:t>
      </w:r>
      <w:r w:rsidR="0063002C">
        <w:rPr>
          <w:rFonts w:ascii="Arial" w:hAnsi="Arial" w:cs="Arial"/>
          <w:b/>
          <w:bCs/>
        </w:rPr>
        <w:t xml:space="preserve"> </w:t>
      </w:r>
      <w:r w:rsidR="00C47B98" w:rsidRPr="009879F6">
        <w:rPr>
          <w:rFonts w:ascii="Arial" w:hAnsi="Arial" w:cs="Arial"/>
          <w:b/>
          <w:bCs/>
        </w:rPr>
        <w:t>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69096B74" w:rsidR="00AA50F2" w:rsidRPr="009879F6" w:rsidRDefault="00AA50F2" w:rsidP="00736191">
      <w:pPr>
        <w:tabs>
          <w:tab w:val="left" w:pos="1040"/>
        </w:tabs>
        <w:spacing w:line="360" w:lineRule="auto"/>
        <w:ind w:right="49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</w:t>
      </w:r>
      <w:r w:rsidR="00D21B75" w:rsidRPr="00056AAE">
        <w:rPr>
          <w:rFonts w:ascii="Arial" w:hAnsi="Arial" w:cs="Arial"/>
          <w:bCs/>
        </w:rPr>
        <w:t>al</w:t>
      </w:r>
      <w:r w:rsidR="00D21B75" w:rsidRPr="00D21B75">
        <w:rPr>
          <w:rFonts w:ascii="Arial" w:hAnsi="Arial" w:cs="Arial"/>
          <w:b/>
          <w:bCs/>
        </w:rPr>
        <w:t xml:space="preserve"> Instituto de Planeación de Desarrollo Urbano del Municipio de Benito Juárez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tbl>
      <w:tblPr>
        <w:tblW w:w="4682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5672"/>
      </w:tblGrid>
      <w:tr w:rsidR="00AA50F2" w:rsidRPr="009879F6" w14:paraId="7B2B84D6" w14:textId="77777777" w:rsidTr="00644127">
        <w:trPr>
          <w:trHeight w:val="678"/>
          <w:tblHeader/>
          <w:jc w:val="center"/>
        </w:trPr>
        <w:tc>
          <w:tcPr>
            <w:tcW w:w="1874" w:type="pct"/>
            <w:shd w:val="clear" w:color="auto" w:fill="auto"/>
          </w:tcPr>
          <w:p w14:paraId="4A5E12FE" w14:textId="776A42BE" w:rsidR="00862D6E" w:rsidRDefault="0031588E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</w:rPr>
            </w:pPr>
            <w:r w:rsidRPr="0031588E">
              <w:rPr>
                <w:rFonts w:ascii="Arial" w:hAnsi="Arial" w:cs="Arial"/>
                <w:b/>
              </w:rPr>
              <w:lastRenderedPageBreak/>
              <w:t>19-AEMF-E-GOB-085-216</w:t>
            </w:r>
          </w:p>
          <w:p w14:paraId="08D72471" w14:textId="7EA21D6A" w:rsidR="00AA50F2" w:rsidRPr="009879F6" w:rsidRDefault="00AA50F2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6" w:type="pct"/>
            <w:shd w:val="clear" w:color="auto" w:fill="auto"/>
          </w:tcPr>
          <w:p w14:paraId="409DA764" w14:textId="516B09ED" w:rsidR="00AA50F2" w:rsidRPr="009879F6" w:rsidRDefault="00B45850" w:rsidP="00F81F5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633D0C">
              <w:rPr>
                <w:rFonts w:ascii="Arial" w:hAnsi="Arial" w:cs="Arial"/>
                <w:bCs/>
              </w:rPr>
              <w:t>“Auditoría de Cumplimiento Financiero de Ingresos y Otros Beneficios</w:t>
            </w:r>
            <w:r w:rsidRPr="00125F2D">
              <w:rPr>
                <w:rFonts w:ascii="Arial" w:hAnsi="Arial" w:cs="Arial"/>
                <w:bCs/>
              </w:rPr>
              <w:t>; Gastos y Otras Pérdidas”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4E5BAE98" w14:textId="3E749017" w:rsidR="00AA50F2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2BF11A21" w14:textId="6BA7A42A" w:rsidR="0063002C" w:rsidRPr="0063002C" w:rsidRDefault="00CF19C5" w:rsidP="0063002C">
      <w:pPr>
        <w:spacing w:line="360" w:lineRule="auto"/>
        <w:jc w:val="both"/>
        <w:rPr>
          <w:rFonts w:ascii="Arial" w:hAnsi="Arial" w:cs="Arial"/>
          <w:b/>
          <w:bCs/>
        </w:rPr>
      </w:pPr>
      <w:r w:rsidRPr="00CF19C5">
        <w:rPr>
          <w:rFonts w:ascii="Arial" w:hAnsi="Arial" w:cs="Arial"/>
          <w:bCs/>
        </w:rPr>
        <w:t>Fiscalizar la gestión financiera para comprobar el cumplimiento de lo dispuesto en los Presupuestos de Ingresos y Egresos</w:t>
      </w:r>
      <w:r w:rsidR="00CB3EC7">
        <w:rPr>
          <w:rFonts w:ascii="Arial" w:hAnsi="Arial" w:cs="Arial"/>
          <w:bCs/>
        </w:rPr>
        <w:t xml:space="preserve"> del </w:t>
      </w:r>
      <w:r w:rsidR="00CB3EC7" w:rsidRPr="00D21B75">
        <w:rPr>
          <w:rFonts w:ascii="Arial" w:hAnsi="Arial" w:cs="Arial"/>
          <w:b/>
          <w:bCs/>
        </w:rPr>
        <w:t>Instituto de Planeación de Desarrollo Urbano del Municipio de Benito Juárez</w:t>
      </w:r>
      <w:r w:rsidR="00CB3EC7">
        <w:rPr>
          <w:rFonts w:ascii="Arial" w:hAnsi="Arial" w:cs="Arial"/>
          <w:b/>
          <w:bCs/>
        </w:rPr>
        <w:t xml:space="preserve"> </w:t>
      </w:r>
      <w:r w:rsidR="00CB3EC7" w:rsidRPr="00CB3EC7">
        <w:rPr>
          <w:rFonts w:ascii="Arial" w:hAnsi="Arial" w:cs="Arial"/>
          <w:bCs/>
        </w:rPr>
        <w:t>para el ejercicio fiscal 2019</w:t>
      </w:r>
      <w:r w:rsidRPr="00CF19C5">
        <w:rPr>
          <w:rFonts w:ascii="Arial" w:hAnsi="Arial" w:cs="Arial"/>
          <w:bCs/>
        </w:rPr>
        <w:t>, y demás disposiciones legales aplicables, en cuanto a los ingresos y gastos públicos, incluyendo la revisión del manejo, la custodia y la aplicación de recursos públicos municipales, así como de la demás información financiera, contable, patrimonial, presupuestaria y programática, conforme a las disposiciones aplicables</w:t>
      </w:r>
      <w:r w:rsidR="00EE523B">
        <w:rPr>
          <w:rFonts w:ascii="Arial" w:hAnsi="Arial" w:cs="Arial"/>
          <w:bCs/>
        </w:rPr>
        <w:t>.</w:t>
      </w:r>
      <w:r w:rsidR="0063002C" w:rsidRPr="0063002C">
        <w:rPr>
          <w:rFonts w:ascii="Arial" w:hAnsi="Arial" w:cs="Arial"/>
          <w:b/>
          <w:bCs/>
        </w:rPr>
        <w:cr/>
      </w:r>
    </w:p>
    <w:p w14:paraId="600E1A12" w14:textId="5DE7664B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14C3F2A" w14:textId="29C41BAD" w:rsidR="00641B5A" w:rsidRDefault="00641B5A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3667ED5" w14:textId="13B9DC67" w:rsidR="00641B5A" w:rsidRPr="00AA50F2" w:rsidRDefault="00641B5A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641B5A">
        <w:rPr>
          <w:rFonts w:ascii="Arial" w:hAnsi="Arial" w:cs="Arial"/>
          <w:b/>
          <w:bCs/>
        </w:rPr>
        <w:t>Ingresos y Otros Beneficios</w:t>
      </w:r>
    </w:p>
    <w:p w14:paraId="180B1443" w14:textId="77777777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43445131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AA50F2" w:rsidRPr="009879F6">
        <w:rPr>
          <w:rFonts w:ascii="Arial" w:hAnsi="Arial" w:cs="Arial"/>
        </w:rPr>
        <w:t>$</w:t>
      </w:r>
      <w:r w:rsidR="00BC0C26" w:rsidRPr="00BC0C26">
        <w:rPr>
          <w:rFonts w:ascii="Arial" w:hAnsi="Arial" w:cs="Arial"/>
        </w:rPr>
        <w:t>5</w:t>
      </w:r>
      <w:r w:rsidR="00BC0C26">
        <w:rPr>
          <w:rFonts w:ascii="Arial" w:hAnsi="Arial" w:cs="Arial"/>
        </w:rPr>
        <w:t>,</w:t>
      </w:r>
      <w:r w:rsidR="00BC0C26" w:rsidRPr="00BC0C26">
        <w:rPr>
          <w:rFonts w:ascii="Arial" w:hAnsi="Arial" w:cs="Arial"/>
        </w:rPr>
        <w:t>893</w:t>
      </w:r>
      <w:r w:rsidR="00BC0C26">
        <w:rPr>
          <w:rFonts w:ascii="Arial" w:hAnsi="Arial" w:cs="Arial"/>
        </w:rPr>
        <w:t>,</w:t>
      </w:r>
      <w:r w:rsidR="00BC0C26" w:rsidRPr="00BC0C26">
        <w:rPr>
          <w:rFonts w:ascii="Arial" w:hAnsi="Arial" w:cs="Arial"/>
        </w:rPr>
        <w:t>032.56</w:t>
      </w:r>
    </w:p>
    <w:p w14:paraId="4BF3AC1B" w14:textId="777777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5" w:name="_Toc518907881"/>
      <w:bookmarkStart w:id="6" w:name="_Toc520196704"/>
    </w:p>
    <w:p w14:paraId="5E1E76C7" w14:textId="3F80790E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BC0C26" w:rsidRPr="009879F6">
        <w:rPr>
          <w:rFonts w:ascii="Arial" w:hAnsi="Arial" w:cs="Arial"/>
        </w:rPr>
        <w:t>$</w:t>
      </w:r>
      <w:r w:rsidR="00BC0C26" w:rsidRPr="00BC0C26">
        <w:rPr>
          <w:rFonts w:ascii="Arial" w:hAnsi="Arial" w:cs="Arial"/>
        </w:rPr>
        <w:t>5</w:t>
      </w:r>
      <w:r w:rsidR="00BC0C26">
        <w:rPr>
          <w:rFonts w:ascii="Arial" w:hAnsi="Arial" w:cs="Arial"/>
        </w:rPr>
        <w:t>,</w:t>
      </w:r>
      <w:r w:rsidR="00BC0C26" w:rsidRPr="00BC0C26">
        <w:rPr>
          <w:rFonts w:ascii="Arial" w:hAnsi="Arial" w:cs="Arial"/>
        </w:rPr>
        <w:t>893</w:t>
      </w:r>
      <w:r w:rsidR="00BC0C26">
        <w:rPr>
          <w:rFonts w:ascii="Arial" w:hAnsi="Arial" w:cs="Arial"/>
        </w:rPr>
        <w:t>,</w:t>
      </w:r>
      <w:r w:rsidR="00BC0C26" w:rsidRPr="00BC0C26">
        <w:rPr>
          <w:rFonts w:ascii="Arial" w:hAnsi="Arial" w:cs="Arial"/>
        </w:rPr>
        <w:t>032.56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664058E4" w:rsidR="00AA50F2" w:rsidRPr="005A6C46" w:rsidRDefault="00AA50F2" w:rsidP="00B93F1F">
      <w:pPr>
        <w:spacing w:line="360" w:lineRule="auto"/>
        <w:rPr>
          <w:rFonts w:ascii="Arial" w:hAnsi="Arial" w:cs="Arial"/>
        </w:rPr>
      </w:pPr>
      <w:r w:rsidRPr="005A6C46">
        <w:rPr>
          <w:rFonts w:ascii="Arial" w:hAnsi="Arial" w:cs="Arial"/>
          <w:b/>
        </w:rPr>
        <w:t xml:space="preserve">Muestra </w:t>
      </w:r>
      <w:r w:rsidR="00E34202" w:rsidRPr="005A6C46">
        <w:rPr>
          <w:rFonts w:ascii="Arial" w:hAnsi="Arial" w:cs="Arial"/>
          <w:b/>
        </w:rPr>
        <w:t>Audit</w:t>
      </w:r>
      <w:r w:rsidRPr="005A6C46">
        <w:rPr>
          <w:rFonts w:ascii="Arial" w:hAnsi="Arial" w:cs="Arial"/>
          <w:b/>
        </w:rPr>
        <w:t>ada:</w:t>
      </w:r>
      <w:r w:rsidRPr="005A6C46">
        <w:rPr>
          <w:rFonts w:ascii="Arial" w:hAnsi="Arial" w:cs="Arial"/>
        </w:rPr>
        <w:t xml:space="preserve"> </w:t>
      </w:r>
      <w:bookmarkEnd w:id="5"/>
      <w:bookmarkEnd w:id="6"/>
      <w:r w:rsidR="005A6C46" w:rsidRPr="005A6C46">
        <w:rPr>
          <w:rFonts w:ascii="Arial" w:hAnsi="Arial" w:cs="Arial"/>
        </w:rPr>
        <w:t>$5,038,542.84</w:t>
      </w:r>
    </w:p>
    <w:p w14:paraId="4EF12D06" w14:textId="77777777" w:rsidR="00AA50F2" w:rsidRPr="005A6C4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42B926E7" w:rsidR="00AA50F2" w:rsidRPr="005A6C46" w:rsidRDefault="00FA4D20" w:rsidP="00B93F1F">
      <w:pPr>
        <w:spacing w:line="360" w:lineRule="auto"/>
        <w:rPr>
          <w:rFonts w:ascii="Arial" w:hAnsi="Arial" w:cs="Arial"/>
        </w:rPr>
      </w:pPr>
      <w:bookmarkStart w:id="7" w:name="_Toc518907882"/>
      <w:bookmarkStart w:id="8" w:name="_Toc520196705"/>
      <w:r w:rsidRPr="005A6C46">
        <w:rPr>
          <w:rFonts w:ascii="Arial" w:hAnsi="Arial" w:cs="Arial"/>
          <w:b/>
        </w:rPr>
        <w:t>Representatividad de la Mu</w:t>
      </w:r>
      <w:r w:rsidR="00AA50F2" w:rsidRPr="005A6C46">
        <w:rPr>
          <w:rFonts w:ascii="Arial" w:hAnsi="Arial" w:cs="Arial"/>
          <w:b/>
        </w:rPr>
        <w:t>estra:</w:t>
      </w:r>
      <w:r w:rsidR="00AA50F2" w:rsidRPr="005A6C46">
        <w:rPr>
          <w:rFonts w:ascii="Arial" w:hAnsi="Arial" w:cs="Arial"/>
        </w:rPr>
        <w:t xml:space="preserve"> </w:t>
      </w:r>
      <w:bookmarkEnd w:id="7"/>
      <w:bookmarkEnd w:id="8"/>
      <w:r w:rsidR="005A6C46">
        <w:rPr>
          <w:rFonts w:ascii="Arial" w:hAnsi="Arial" w:cs="Arial"/>
        </w:rPr>
        <w:t>85.50</w:t>
      </w:r>
      <w:r w:rsidR="00AA50F2" w:rsidRPr="005A6C46">
        <w:rPr>
          <w:rFonts w:ascii="Arial" w:hAnsi="Arial" w:cs="Arial"/>
        </w:rPr>
        <w:t>%</w:t>
      </w:r>
    </w:p>
    <w:p w14:paraId="14ABF74E" w14:textId="3FC38FF4" w:rsidR="00AA50F2" w:rsidRPr="005A6C46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39E7834D" w14:textId="03630451" w:rsidR="00D758CB" w:rsidRPr="00BC0C26" w:rsidRDefault="00D758CB" w:rsidP="00736191">
      <w:pPr>
        <w:spacing w:line="360" w:lineRule="auto"/>
        <w:ind w:right="49"/>
        <w:jc w:val="both"/>
        <w:rPr>
          <w:rFonts w:ascii="Arial" w:hAnsi="Arial" w:cs="Arial"/>
          <w:iCs/>
        </w:rPr>
      </w:pPr>
      <w:r w:rsidRPr="00BC0C26">
        <w:rPr>
          <w:rFonts w:ascii="Arial" w:hAnsi="Arial" w:cs="Arial"/>
          <w:iCs/>
        </w:rPr>
        <w:t xml:space="preserve">Durante el ejercicio auditado, el ente </w:t>
      </w:r>
      <w:proofErr w:type="spellStart"/>
      <w:r w:rsidRPr="00BC0C26">
        <w:rPr>
          <w:rFonts w:ascii="Arial" w:hAnsi="Arial" w:cs="Arial"/>
          <w:iCs/>
        </w:rPr>
        <w:t>fiscalizado</w:t>
      </w:r>
      <w:proofErr w:type="spellEnd"/>
      <w:r w:rsidRPr="00BC0C26">
        <w:rPr>
          <w:rFonts w:ascii="Arial" w:hAnsi="Arial" w:cs="Arial"/>
          <w:iCs/>
        </w:rPr>
        <w:t xml:space="preserve"> no recibió recursos federales, por lo cual el Universo y la Población Objetivo quedaron integradas únicamente por recursos </w:t>
      </w:r>
      <w:r w:rsidR="00BC0C26" w:rsidRPr="00BC0C26">
        <w:rPr>
          <w:rFonts w:ascii="Arial" w:hAnsi="Arial" w:cs="Arial"/>
          <w:iCs/>
        </w:rPr>
        <w:t>municipales</w:t>
      </w:r>
      <w:r w:rsidRPr="00BC0C26">
        <w:rPr>
          <w:rFonts w:ascii="Arial" w:hAnsi="Arial" w:cs="Arial"/>
          <w:iCs/>
        </w:rPr>
        <w:t>.</w:t>
      </w:r>
    </w:p>
    <w:p w14:paraId="249560D0" w14:textId="60220DF1" w:rsidR="00AA50F2" w:rsidRPr="009879F6" w:rsidRDefault="00407552" w:rsidP="00736191">
      <w:pPr>
        <w:spacing w:line="360" w:lineRule="auto"/>
        <w:ind w:right="49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lastRenderedPageBreak/>
        <w:t>La población o</w:t>
      </w:r>
      <w:r w:rsidRPr="00C14863">
        <w:rPr>
          <w:rFonts w:ascii="Arial" w:hAnsi="Arial" w:cs="Arial"/>
          <w:lang w:val="es-ES"/>
        </w:rPr>
        <w:t xml:space="preserve">bjetivo se determinó sobre la base de los </w:t>
      </w:r>
      <w:r>
        <w:rPr>
          <w:rFonts w:ascii="Arial" w:hAnsi="Arial" w:cs="Arial"/>
          <w:lang w:val="es-ES"/>
        </w:rPr>
        <w:t>ingresos y o</w:t>
      </w:r>
      <w:r w:rsidRPr="00C14863">
        <w:rPr>
          <w:rFonts w:ascii="Arial" w:hAnsi="Arial" w:cs="Arial"/>
          <w:lang w:val="es-ES"/>
        </w:rPr>
        <w:t xml:space="preserve">tros </w:t>
      </w:r>
      <w:r>
        <w:rPr>
          <w:rFonts w:ascii="Arial" w:hAnsi="Arial" w:cs="Arial"/>
          <w:lang w:val="es-ES"/>
        </w:rPr>
        <w:t>b</w:t>
      </w:r>
      <w:r w:rsidRPr="00C14863">
        <w:rPr>
          <w:rFonts w:ascii="Arial" w:hAnsi="Arial" w:cs="Arial"/>
          <w:lang w:val="es-ES"/>
        </w:rPr>
        <w:t xml:space="preserve">eneficios que forman parte del Estado de Actividades por el período comprendido del 1º de </w:t>
      </w:r>
      <w:r w:rsidR="00641B5A">
        <w:rPr>
          <w:rFonts w:ascii="Arial" w:hAnsi="Arial" w:cs="Arial"/>
          <w:lang w:val="es-ES"/>
        </w:rPr>
        <w:t>enero al 31 de diciembre de 2019</w:t>
      </w:r>
      <w:r w:rsidR="00FD752E">
        <w:rPr>
          <w:rFonts w:ascii="Arial" w:hAnsi="Arial" w:cs="Arial"/>
          <w:lang w:val="es-ES"/>
        </w:rPr>
        <w:t>.</w:t>
      </w:r>
    </w:p>
    <w:p w14:paraId="11AFD0CD" w14:textId="6DDDE8AC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354D5CB9" w14:textId="77777777" w:rsidR="00AF4BBB" w:rsidRDefault="00AF4BBB" w:rsidP="00AF4BBB">
      <w:pPr>
        <w:spacing w:line="360" w:lineRule="auto"/>
        <w:jc w:val="both"/>
        <w:rPr>
          <w:rFonts w:ascii="Arial" w:hAnsi="Arial" w:cs="Arial"/>
          <w:b/>
        </w:rPr>
      </w:pPr>
      <w:r w:rsidRPr="00201BCE">
        <w:rPr>
          <w:rFonts w:ascii="Arial" w:hAnsi="Arial" w:cs="Arial"/>
          <w:b/>
        </w:rPr>
        <w:t>Gastos y Otras Pérdidas</w:t>
      </w:r>
    </w:p>
    <w:p w14:paraId="73EAE8CA" w14:textId="77777777" w:rsidR="00AF4BBB" w:rsidRDefault="00AF4BBB" w:rsidP="00AF4BBB">
      <w:pPr>
        <w:spacing w:line="360" w:lineRule="auto"/>
        <w:jc w:val="both"/>
        <w:rPr>
          <w:rFonts w:ascii="Arial" w:hAnsi="Arial" w:cs="Arial"/>
          <w:b/>
        </w:rPr>
      </w:pPr>
    </w:p>
    <w:p w14:paraId="15F18772" w14:textId="5A435166" w:rsidR="00AF4BBB" w:rsidRPr="00247359" w:rsidRDefault="00AF4BBB" w:rsidP="00AF4BBB">
      <w:pPr>
        <w:spacing w:line="360" w:lineRule="auto"/>
        <w:jc w:val="both"/>
        <w:rPr>
          <w:rFonts w:ascii="Arial" w:hAnsi="Arial" w:cs="Arial"/>
        </w:rPr>
      </w:pPr>
      <w:r w:rsidRPr="00247359">
        <w:rPr>
          <w:rFonts w:ascii="Arial" w:hAnsi="Arial" w:cs="Arial"/>
          <w:b/>
        </w:rPr>
        <w:t xml:space="preserve">Universo: </w:t>
      </w:r>
      <w:r w:rsidR="00755B0F" w:rsidRPr="008F1661">
        <w:rPr>
          <w:rFonts w:ascii="Arial" w:hAnsi="Arial" w:cs="Arial"/>
        </w:rPr>
        <w:t>$</w:t>
      </w:r>
      <w:r w:rsidR="00755B0F" w:rsidRPr="00755B0F">
        <w:rPr>
          <w:rFonts w:ascii="Arial" w:hAnsi="Arial" w:cs="Arial"/>
          <w:bCs/>
          <w:color w:val="000000"/>
        </w:rPr>
        <w:t>2</w:t>
      </w:r>
      <w:r w:rsidR="00755B0F">
        <w:rPr>
          <w:rFonts w:ascii="Arial" w:hAnsi="Arial" w:cs="Arial"/>
          <w:bCs/>
          <w:color w:val="000000"/>
        </w:rPr>
        <w:t>,</w:t>
      </w:r>
      <w:r w:rsidR="00755B0F" w:rsidRPr="00755B0F">
        <w:rPr>
          <w:rFonts w:ascii="Arial" w:hAnsi="Arial" w:cs="Arial"/>
          <w:bCs/>
          <w:color w:val="000000"/>
        </w:rPr>
        <w:t>368</w:t>
      </w:r>
      <w:r w:rsidR="00755B0F">
        <w:rPr>
          <w:rFonts w:ascii="Arial" w:hAnsi="Arial" w:cs="Arial"/>
          <w:bCs/>
          <w:color w:val="000000"/>
        </w:rPr>
        <w:t>,</w:t>
      </w:r>
      <w:r w:rsidR="00755B0F" w:rsidRPr="00755B0F">
        <w:rPr>
          <w:rFonts w:ascii="Arial" w:hAnsi="Arial" w:cs="Arial"/>
          <w:bCs/>
          <w:color w:val="000000"/>
        </w:rPr>
        <w:t>048.65</w:t>
      </w:r>
    </w:p>
    <w:p w14:paraId="6DE5CFD7" w14:textId="77777777" w:rsidR="00AF4BBB" w:rsidRPr="00247359" w:rsidRDefault="00AF4BBB" w:rsidP="00AF4BBB">
      <w:pPr>
        <w:spacing w:line="360" w:lineRule="auto"/>
        <w:rPr>
          <w:rFonts w:ascii="Arial" w:hAnsi="Arial" w:cs="Arial"/>
        </w:rPr>
      </w:pPr>
    </w:p>
    <w:p w14:paraId="24636A7C" w14:textId="504CDAD2" w:rsidR="00AF4BBB" w:rsidRPr="00247359" w:rsidRDefault="00AF4BBB" w:rsidP="00AF4BBB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247359">
        <w:rPr>
          <w:rFonts w:ascii="Arial" w:hAnsi="Arial" w:cs="Arial"/>
          <w:b/>
        </w:rPr>
        <w:t xml:space="preserve">Población Objetivo: </w:t>
      </w:r>
      <w:r w:rsidRPr="00C52BCC">
        <w:rPr>
          <w:rFonts w:ascii="Arial" w:hAnsi="Arial" w:cs="Arial"/>
          <w:bCs/>
          <w:color w:val="000000"/>
        </w:rPr>
        <w:t>$</w:t>
      </w:r>
      <w:r w:rsidR="008F1661" w:rsidRPr="00755B0F">
        <w:rPr>
          <w:rFonts w:ascii="Arial" w:hAnsi="Arial" w:cs="Arial"/>
          <w:bCs/>
          <w:color w:val="000000"/>
        </w:rPr>
        <w:t>2</w:t>
      </w:r>
      <w:r w:rsidR="008F1661">
        <w:rPr>
          <w:rFonts w:ascii="Arial" w:hAnsi="Arial" w:cs="Arial"/>
          <w:bCs/>
          <w:color w:val="000000"/>
        </w:rPr>
        <w:t>,</w:t>
      </w:r>
      <w:r w:rsidR="008F1661" w:rsidRPr="00755B0F">
        <w:rPr>
          <w:rFonts w:ascii="Arial" w:hAnsi="Arial" w:cs="Arial"/>
          <w:bCs/>
          <w:color w:val="000000"/>
        </w:rPr>
        <w:t>368</w:t>
      </w:r>
      <w:r w:rsidR="008F1661">
        <w:rPr>
          <w:rFonts w:ascii="Arial" w:hAnsi="Arial" w:cs="Arial"/>
          <w:bCs/>
          <w:color w:val="000000"/>
        </w:rPr>
        <w:t>,</w:t>
      </w:r>
      <w:r w:rsidR="008F1661" w:rsidRPr="00755B0F">
        <w:rPr>
          <w:rFonts w:ascii="Arial" w:hAnsi="Arial" w:cs="Arial"/>
          <w:bCs/>
          <w:color w:val="000000"/>
        </w:rPr>
        <w:t>048.65</w:t>
      </w:r>
    </w:p>
    <w:p w14:paraId="14F8E8CC" w14:textId="77777777" w:rsidR="00AF4BBB" w:rsidRPr="005A6C46" w:rsidRDefault="00AF4BBB" w:rsidP="00AF4BBB">
      <w:pPr>
        <w:spacing w:line="360" w:lineRule="auto"/>
        <w:rPr>
          <w:rFonts w:ascii="Arial" w:hAnsi="Arial" w:cs="Arial"/>
        </w:rPr>
      </w:pPr>
    </w:p>
    <w:p w14:paraId="2C07941B" w14:textId="55C6324F" w:rsidR="00AF4BBB" w:rsidRPr="005A6C46" w:rsidRDefault="00AF4BBB" w:rsidP="00AF4BBB">
      <w:pPr>
        <w:spacing w:line="360" w:lineRule="auto"/>
        <w:rPr>
          <w:rFonts w:ascii="Arial" w:hAnsi="Arial" w:cs="Arial"/>
        </w:rPr>
      </w:pPr>
      <w:r w:rsidRPr="005A6C46">
        <w:rPr>
          <w:rFonts w:ascii="Arial" w:hAnsi="Arial" w:cs="Arial"/>
          <w:b/>
        </w:rPr>
        <w:t>Muestra Auditada:</w:t>
      </w:r>
      <w:r w:rsidRPr="005A6C46">
        <w:rPr>
          <w:rFonts w:ascii="Arial" w:hAnsi="Arial" w:cs="Arial"/>
        </w:rPr>
        <w:t xml:space="preserve"> </w:t>
      </w:r>
      <w:r w:rsidR="00AE745B" w:rsidRPr="00AE745B">
        <w:rPr>
          <w:rFonts w:ascii="Arial" w:hAnsi="Arial" w:cs="Arial"/>
          <w:bCs/>
        </w:rPr>
        <w:t>$1,421,614.57</w:t>
      </w:r>
    </w:p>
    <w:p w14:paraId="39C999EA" w14:textId="77777777" w:rsidR="00AF4BBB" w:rsidRPr="005A6C46" w:rsidRDefault="00AF4BBB" w:rsidP="00AF4BBB">
      <w:pPr>
        <w:spacing w:line="360" w:lineRule="auto"/>
        <w:rPr>
          <w:rFonts w:ascii="Arial" w:hAnsi="Arial" w:cs="Arial"/>
        </w:rPr>
      </w:pPr>
    </w:p>
    <w:p w14:paraId="06227224" w14:textId="63DB8E71" w:rsidR="00AF4BBB" w:rsidRPr="005A6C46" w:rsidRDefault="00AF4BBB" w:rsidP="00AF4BBB">
      <w:pPr>
        <w:spacing w:line="360" w:lineRule="auto"/>
        <w:rPr>
          <w:rFonts w:ascii="Arial" w:hAnsi="Arial" w:cs="Arial"/>
          <w:b/>
        </w:rPr>
      </w:pPr>
      <w:r w:rsidRPr="005A6C46">
        <w:rPr>
          <w:rFonts w:ascii="Arial" w:hAnsi="Arial" w:cs="Arial"/>
          <w:b/>
        </w:rPr>
        <w:t xml:space="preserve">Representatividad de la Muestra: </w:t>
      </w:r>
      <w:r w:rsidR="001E35DB" w:rsidRPr="001E35DB">
        <w:rPr>
          <w:rFonts w:ascii="Arial" w:hAnsi="Arial" w:cs="Arial"/>
        </w:rPr>
        <w:t>60</w:t>
      </w:r>
      <w:r w:rsidR="001E35DB">
        <w:rPr>
          <w:rFonts w:ascii="Arial" w:hAnsi="Arial" w:cs="Arial"/>
        </w:rPr>
        <w:t>.0</w:t>
      </w:r>
      <w:r w:rsidR="000C002B">
        <w:rPr>
          <w:rFonts w:ascii="Arial" w:hAnsi="Arial" w:cs="Arial"/>
        </w:rPr>
        <w:t>3</w:t>
      </w:r>
      <w:r w:rsidRPr="005A6C46">
        <w:rPr>
          <w:rFonts w:ascii="Arial" w:hAnsi="Arial" w:cs="Arial"/>
        </w:rPr>
        <w:t>%</w:t>
      </w:r>
    </w:p>
    <w:p w14:paraId="7281712B" w14:textId="77777777" w:rsidR="00AF4BBB" w:rsidRPr="005A6C46" w:rsidRDefault="00AF4BBB" w:rsidP="00AF4BBB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</w:p>
    <w:p w14:paraId="6ADF7142" w14:textId="18B982EE" w:rsidR="00AF4BBB" w:rsidRPr="006C71A4" w:rsidRDefault="00AF4BBB" w:rsidP="00736191">
      <w:pPr>
        <w:spacing w:line="360" w:lineRule="auto"/>
        <w:ind w:right="49"/>
        <w:jc w:val="both"/>
        <w:rPr>
          <w:rFonts w:ascii="Arial" w:hAnsi="Arial" w:cs="Arial"/>
          <w:lang w:val="es-ES"/>
        </w:rPr>
      </w:pPr>
      <w:r w:rsidRPr="00BC0C26">
        <w:rPr>
          <w:rFonts w:ascii="Arial" w:hAnsi="Arial" w:cs="Arial"/>
          <w:iCs/>
        </w:rPr>
        <w:t xml:space="preserve">Durante el ejercicio auditado, el ente </w:t>
      </w:r>
      <w:proofErr w:type="spellStart"/>
      <w:r w:rsidRPr="00BC0C26">
        <w:rPr>
          <w:rFonts w:ascii="Arial" w:hAnsi="Arial" w:cs="Arial"/>
          <w:iCs/>
        </w:rPr>
        <w:t>fiscalizado</w:t>
      </w:r>
      <w:proofErr w:type="spellEnd"/>
      <w:r w:rsidRPr="00BC0C26">
        <w:rPr>
          <w:rFonts w:ascii="Arial" w:hAnsi="Arial" w:cs="Arial"/>
          <w:iCs/>
        </w:rPr>
        <w:t xml:space="preserve"> no recibió recursos federales, por lo cual el Universo y la Población Objetivo quedaron integradas únicamente por recursos municipales.</w:t>
      </w:r>
    </w:p>
    <w:p w14:paraId="1908EDE2" w14:textId="77777777" w:rsidR="00AF4BBB" w:rsidRPr="006C71A4" w:rsidRDefault="00AF4BBB" w:rsidP="00AF4BBB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1111342" w14:textId="28E3B680" w:rsidR="00AF4BBB" w:rsidRDefault="00AF4BBB" w:rsidP="00736191">
      <w:pPr>
        <w:spacing w:line="360" w:lineRule="auto"/>
        <w:ind w:right="49"/>
        <w:jc w:val="both"/>
        <w:rPr>
          <w:rFonts w:ascii="Arial" w:hAnsi="Arial" w:cs="Arial"/>
        </w:rPr>
      </w:pPr>
      <w:r w:rsidRPr="006C71A4">
        <w:rPr>
          <w:rFonts w:ascii="Arial" w:hAnsi="Arial" w:cs="Arial"/>
          <w:lang w:val="es-ES"/>
        </w:rPr>
        <w:t xml:space="preserve">La población objetivo se determinó sobre la base de los </w:t>
      </w:r>
      <w:r w:rsidRPr="006C71A4">
        <w:rPr>
          <w:rFonts w:ascii="Arial" w:hAnsi="Arial" w:cs="Arial"/>
          <w:bCs/>
          <w:color w:val="000000"/>
        </w:rPr>
        <w:t>gastos y otras pérdidas</w:t>
      </w:r>
      <w:r w:rsidRPr="006C71A4">
        <w:rPr>
          <w:rFonts w:ascii="Arial" w:hAnsi="Arial" w:cs="Arial"/>
          <w:lang w:val="es-ES"/>
        </w:rPr>
        <w:t xml:space="preserve"> que forman parte del Estado de Actividades por el período comprendido del 1º de enero al 31 de diciembre de 201</w:t>
      </w:r>
      <w:r w:rsidR="00880678">
        <w:rPr>
          <w:rFonts w:ascii="Arial" w:hAnsi="Arial" w:cs="Arial"/>
          <w:lang w:val="es-ES"/>
        </w:rPr>
        <w:t>9</w:t>
      </w:r>
      <w:r w:rsidR="00FD752E">
        <w:rPr>
          <w:rFonts w:ascii="Arial" w:hAnsi="Arial" w:cs="Arial"/>
          <w:lang w:val="es-ES"/>
        </w:rPr>
        <w:t>.</w:t>
      </w:r>
    </w:p>
    <w:p w14:paraId="15D0005C" w14:textId="72CD2611" w:rsidR="005274CB" w:rsidRDefault="005274CB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225F6A6F" w14:textId="5FA34662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01E899D7" w:rsidR="002E1AEF" w:rsidRPr="009879F6" w:rsidRDefault="00035255" w:rsidP="00736191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CC6295" w:rsidRPr="009879F6">
        <w:rPr>
          <w:rFonts w:ascii="Arial" w:hAnsi="Arial" w:cs="Arial"/>
          <w:bCs/>
        </w:rPr>
        <w:t xml:space="preserve">de los </w:t>
      </w:r>
      <w:r w:rsidR="00CC6295">
        <w:rPr>
          <w:rFonts w:ascii="Arial" w:hAnsi="Arial" w:cs="Arial"/>
        </w:rPr>
        <w:t>ingresos y otros beneficios así como de los gastos y otras pérdidas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</w:t>
      </w:r>
      <w:r w:rsidR="003A721E" w:rsidRPr="009879F6">
        <w:rPr>
          <w:rFonts w:ascii="Arial" w:hAnsi="Arial" w:cs="Arial"/>
          <w:bCs/>
        </w:rPr>
        <w:lastRenderedPageBreak/>
        <w:t xml:space="preserve">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3562CAC0" w:rsidR="003A721E" w:rsidRDefault="003A721E" w:rsidP="00736191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toda la información con</w:t>
      </w:r>
      <w:r w:rsidR="00CE62F2">
        <w:rPr>
          <w:rFonts w:ascii="Arial" w:hAnsi="Arial" w:cs="Arial"/>
          <w:bCs/>
        </w:rPr>
        <w:t>cerniente a</w:t>
      </w:r>
      <w:r w:rsidRPr="009879F6">
        <w:rPr>
          <w:rFonts w:ascii="Arial" w:hAnsi="Arial" w:cs="Arial"/>
          <w:bCs/>
        </w:rPr>
        <w:t xml:space="preserve">l </w:t>
      </w:r>
      <w:r w:rsidR="00CE62F2" w:rsidRPr="00F80AEE">
        <w:rPr>
          <w:rFonts w:ascii="Arial" w:hAnsi="Arial" w:cs="Arial"/>
          <w:b/>
        </w:rPr>
        <w:t>Instituto de Planeación de Desarrollo Urbano del Municipio de Benito Juárez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1E35DB">
        <w:rPr>
          <w:rFonts w:ascii="Arial" w:hAnsi="Arial" w:cs="Arial"/>
          <w:bCs/>
        </w:rPr>
        <w:t xml:space="preserve"> </w:t>
      </w:r>
      <w:r w:rsidR="00AA56ED">
        <w:rPr>
          <w:rFonts w:ascii="Arial" w:hAnsi="Arial" w:cs="Arial"/>
          <w:bCs/>
        </w:rPr>
        <w:t xml:space="preserve">Asimismo, se consideró como base de evaluación de riesgo, </w:t>
      </w:r>
      <w:r w:rsidR="00AA56ED" w:rsidRPr="00364B02">
        <w:rPr>
          <w:rFonts w:ascii="Arial" w:hAnsi="Arial" w:cs="Arial"/>
          <w:bCs/>
        </w:rPr>
        <w:t xml:space="preserve">la observancia de la información histórica que se encuentra en los antecedentes de las auditorías practicadas </w:t>
      </w:r>
      <w:r w:rsidR="00AA56ED" w:rsidRPr="00313CE5">
        <w:rPr>
          <w:rFonts w:ascii="Arial" w:hAnsi="Arial" w:cs="Arial"/>
          <w:bCs/>
        </w:rPr>
        <w:t>y</w:t>
      </w:r>
      <w:r w:rsidR="00AA56ED">
        <w:rPr>
          <w:rFonts w:ascii="Arial" w:hAnsi="Arial" w:cs="Arial"/>
          <w:bCs/>
        </w:rPr>
        <w:t xml:space="preserve"> del marco jurídico institucional,</w:t>
      </w:r>
      <w:r w:rsidR="00AA56ED" w:rsidRPr="003E13AB">
        <w:rPr>
          <w:rFonts w:ascii="Arial" w:hAnsi="Arial" w:cs="Arial"/>
          <w:bCs/>
        </w:rPr>
        <w:t xml:space="preserve"> </w:t>
      </w:r>
      <w:r w:rsidR="00AA56ED">
        <w:rPr>
          <w:rFonts w:ascii="Arial" w:hAnsi="Arial" w:cs="Arial"/>
          <w:bCs/>
        </w:rPr>
        <w:t xml:space="preserve">tales como leyes, reglamentos, normas y lineamientos </w:t>
      </w:r>
      <w:r w:rsidR="00AA56ED" w:rsidRPr="003E13AB">
        <w:rPr>
          <w:rFonts w:ascii="Arial" w:hAnsi="Arial" w:cs="Arial"/>
          <w:bCs/>
        </w:rPr>
        <w:t>que regula</w:t>
      </w:r>
      <w:r w:rsidR="00AA56ED">
        <w:rPr>
          <w:rFonts w:ascii="Arial" w:hAnsi="Arial" w:cs="Arial"/>
          <w:bCs/>
        </w:rPr>
        <w:t>n</w:t>
      </w:r>
      <w:r w:rsidR="00AA56ED" w:rsidRPr="003E13AB">
        <w:rPr>
          <w:rFonts w:ascii="Arial" w:hAnsi="Arial" w:cs="Arial"/>
          <w:bCs/>
        </w:rPr>
        <w:t xml:space="preserve"> la operatividad de la </w:t>
      </w:r>
      <w:r w:rsidR="00AA56ED">
        <w:rPr>
          <w:rFonts w:ascii="Arial" w:hAnsi="Arial" w:cs="Arial"/>
          <w:bCs/>
        </w:rPr>
        <w:t>entidad fiscalizada, y de los cuales se pudiesen determinar hallazgo</w:t>
      </w:r>
      <w:r w:rsidR="00A14E93">
        <w:rPr>
          <w:rFonts w:ascii="Arial" w:hAnsi="Arial" w:cs="Arial"/>
          <w:bCs/>
        </w:rPr>
        <w:t>s de auditoría que se reflejasen</w:t>
      </w:r>
      <w:r w:rsidR="00AA56ED">
        <w:rPr>
          <w:rFonts w:ascii="Arial" w:hAnsi="Arial" w:cs="Arial"/>
          <w:bCs/>
        </w:rPr>
        <w:t xml:space="preserve"> en los resultados del objetivo de auditoría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7B02E3B2" w:rsidR="003A721E" w:rsidRDefault="00AA56ED" w:rsidP="00736191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="00B34598" w:rsidRPr="00B34598">
        <w:rPr>
          <w:rFonts w:ascii="Arial" w:hAnsi="Arial" w:cs="Arial"/>
          <w:bCs/>
        </w:rPr>
        <w:t>determinándose mediante la competencia técnica y profesional</w:t>
      </w:r>
      <w:r w:rsidRPr="00A055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B34598">
        <w:rPr>
          <w:rFonts w:ascii="Arial" w:hAnsi="Arial" w:cs="Arial"/>
          <w:bCs/>
        </w:rPr>
        <w:t>la actuación fiscalizadora basándose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54BFD614" w14:textId="77777777" w:rsidR="00812970" w:rsidRPr="008D4630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77777777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1B40AA36" w:rsidR="008D4630" w:rsidRPr="008D4630" w:rsidRDefault="00AA56ED" w:rsidP="00B93F1F">
      <w:pPr>
        <w:spacing w:line="360" w:lineRule="auto"/>
        <w:jc w:val="both"/>
        <w:rPr>
          <w:rFonts w:ascii="Arial" w:hAnsi="Arial" w:cs="Arial"/>
        </w:rPr>
      </w:pPr>
      <w:r w:rsidRPr="00971AFA">
        <w:rPr>
          <w:rFonts w:ascii="Arial" w:hAnsi="Arial" w:cs="Arial"/>
        </w:rPr>
        <w:t xml:space="preserve">Se revisaron las </w:t>
      </w:r>
      <w:r>
        <w:rPr>
          <w:rFonts w:ascii="Arial" w:hAnsi="Arial" w:cs="Arial"/>
        </w:rPr>
        <w:t xml:space="preserve">áreas de </w:t>
      </w:r>
      <w:r w:rsidRPr="000B4B92">
        <w:rPr>
          <w:rFonts w:ascii="Arial" w:hAnsi="Arial" w:cs="Arial"/>
        </w:rPr>
        <w:t>Dirección General</w:t>
      </w:r>
      <w:r>
        <w:rPr>
          <w:rFonts w:ascii="Arial" w:hAnsi="Arial" w:cs="Arial"/>
        </w:rPr>
        <w:t xml:space="preserve"> y</w:t>
      </w:r>
      <w:r w:rsidRPr="000B4B92">
        <w:rPr>
          <w:rFonts w:ascii="Arial" w:hAnsi="Arial" w:cs="Arial"/>
        </w:rPr>
        <w:t xml:space="preserve"> Dirección Administrativa</w:t>
      </w:r>
      <w:r w:rsidRPr="000B4B92">
        <w:rPr>
          <w:rFonts w:ascii="Arial" w:hAnsi="Arial" w:cs="Arial"/>
          <w:b/>
        </w:rPr>
        <w:t xml:space="preserve"> </w:t>
      </w:r>
      <w:r w:rsidRPr="000B4B92">
        <w:rPr>
          <w:rFonts w:ascii="Arial" w:hAnsi="Arial" w:cs="Arial"/>
        </w:rPr>
        <w:t>de</w:t>
      </w:r>
      <w:r>
        <w:rPr>
          <w:rFonts w:ascii="Arial" w:hAnsi="Arial" w:cs="Arial"/>
        </w:rPr>
        <w:t>l</w:t>
      </w:r>
      <w:r w:rsidRPr="000B4B92">
        <w:rPr>
          <w:rFonts w:ascii="Arial" w:hAnsi="Arial" w:cs="Arial"/>
        </w:rPr>
        <w:t xml:space="preserve"> </w:t>
      </w:r>
      <w:r w:rsidR="001E35DB" w:rsidRPr="00F80AEE">
        <w:rPr>
          <w:rFonts w:ascii="Arial" w:hAnsi="Arial" w:cs="Arial"/>
          <w:b/>
        </w:rPr>
        <w:t>Instituto de Planeación de Desarrollo Urbano del Municipio de Benito Juárez</w:t>
      </w:r>
      <w:r w:rsidRPr="009879F6">
        <w:rPr>
          <w:rFonts w:ascii="Arial" w:hAnsi="Arial" w:cs="Arial"/>
          <w:bCs/>
        </w:rPr>
        <w:t>.</w:t>
      </w:r>
    </w:p>
    <w:p w14:paraId="0E436379" w14:textId="77777777" w:rsidR="00A26BAE" w:rsidRDefault="00A26BAE" w:rsidP="00CA7E5D">
      <w:pPr>
        <w:spacing w:line="360" w:lineRule="auto"/>
        <w:jc w:val="center"/>
        <w:rPr>
          <w:rFonts w:ascii="Arial" w:hAnsi="Arial" w:cs="Arial"/>
          <w:b/>
        </w:rPr>
      </w:pP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736191">
      <w:pPr>
        <w:tabs>
          <w:tab w:val="left" w:pos="9498"/>
        </w:tabs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736191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736191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</w:t>
      </w:r>
      <w:r w:rsidRPr="00C47B98">
        <w:rPr>
          <w:rFonts w:ascii="Arial" w:hAnsi="Arial" w:cs="Arial"/>
          <w:bCs/>
        </w:rPr>
        <w:lastRenderedPageBreak/>
        <w:t>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634CBE36" w:rsidR="00E66F94" w:rsidRDefault="00456EF2" w:rsidP="00736191">
      <w:pPr>
        <w:spacing w:line="360" w:lineRule="auto"/>
        <w:ind w:right="4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6578A7CC" w14:textId="6E1B8C4D" w:rsidR="002D3F68" w:rsidRDefault="002D3F68" w:rsidP="00FB15C2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18D4EBAB" w14:textId="524CBF1A" w:rsidR="00736191" w:rsidRDefault="00736191" w:rsidP="00736191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36191">
        <w:rPr>
          <w:rFonts w:ascii="Arial" w:hAnsi="Arial" w:cs="Arial"/>
          <w:bCs/>
          <w:iCs/>
        </w:rPr>
        <w:t>1. Verificar que los controles internos implementados permitieron la adecuada gestión administrativa para el desarrollo eficiente de las operaciones y la obtención de información confiable y oportuna.</w:t>
      </w:r>
    </w:p>
    <w:p w14:paraId="654C2CD9" w14:textId="77777777" w:rsidR="00AA37FF" w:rsidRPr="00736191" w:rsidRDefault="00AA37FF" w:rsidP="00736191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32041B9A" w14:textId="77777777" w:rsidR="00736191" w:rsidRPr="00736191" w:rsidRDefault="00736191" w:rsidP="00736191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36191">
        <w:rPr>
          <w:rFonts w:ascii="Arial" w:hAnsi="Arial" w:cs="Arial"/>
          <w:bCs/>
          <w:iCs/>
        </w:rPr>
        <w:t>2. Comprobar que el ejercicio del presupuesto se ajustó a los montos aprobados; que las modificaciones presupuestales tuvieron sustento financiero.</w:t>
      </w:r>
    </w:p>
    <w:p w14:paraId="62A3BF68" w14:textId="77777777" w:rsidR="00736191" w:rsidRPr="00736191" w:rsidRDefault="00736191" w:rsidP="0073619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</w:p>
    <w:p w14:paraId="3EF2D82A" w14:textId="77777777" w:rsidR="00736191" w:rsidRPr="00736191" w:rsidRDefault="00736191" w:rsidP="00736191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36191">
        <w:rPr>
          <w:rFonts w:ascii="Arial" w:hAnsi="Arial" w:cs="Arial"/>
          <w:bCs/>
          <w:iCs/>
        </w:rPr>
        <w:t>3. Verificar la correcta revelación de estados financieros e informes contables, presupuestarios y programáticos de conformidad con la Ley General de Contabilidad Gubernamental y demás normativa aplicable.</w:t>
      </w:r>
    </w:p>
    <w:p w14:paraId="055BA5DE" w14:textId="77777777" w:rsidR="00736191" w:rsidRPr="00736191" w:rsidRDefault="00736191" w:rsidP="0073619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</w:p>
    <w:p w14:paraId="27F6EAA0" w14:textId="77777777" w:rsidR="00736191" w:rsidRPr="00736191" w:rsidRDefault="00736191" w:rsidP="0073619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  <w:r w:rsidRPr="00736191">
        <w:rPr>
          <w:rFonts w:ascii="Arial" w:hAnsi="Arial" w:cs="Arial"/>
          <w:bCs/>
          <w:iCs/>
        </w:rPr>
        <w:t>4. Verificar la apertura de las cuentas bancarias y su utilización.</w:t>
      </w:r>
    </w:p>
    <w:p w14:paraId="4693BFB6" w14:textId="77777777" w:rsidR="00736191" w:rsidRPr="00736191" w:rsidRDefault="00736191" w:rsidP="0073619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</w:p>
    <w:p w14:paraId="2D2E7CD0" w14:textId="77777777" w:rsidR="00736191" w:rsidRPr="00736191" w:rsidRDefault="00736191" w:rsidP="00736191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36191">
        <w:rPr>
          <w:rFonts w:ascii="Arial" w:hAnsi="Arial" w:cs="Arial"/>
          <w:bCs/>
          <w:iCs/>
        </w:rPr>
        <w:t>5. Verificar que se comprobaron y justificaron los ingresos obtenidos por los conceptos considerados en el presupuesto de ingresos.</w:t>
      </w:r>
    </w:p>
    <w:p w14:paraId="6B770D47" w14:textId="77777777" w:rsidR="00736191" w:rsidRPr="00736191" w:rsidRDefault="00736191" w:rsidP="0073619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</w:p>
    <w:p w14:paraId="51455534" w14:textId="77777777" w:rsidR="00736191" w:rsidRPr="00736191" w:rsidRDefault="00736191" w:rsidP="00736191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36191">
        <w:rPr>
          <w:rFonts w:ascii="Arial" w:hAnsi="Arial" w:cs="Arial"/>
          <w:bCs/>
          <w:iCs/>
        </w:rPr>
        <w:t>6. Verificar que se comprobó y justificó el gasto por los diferentes conceptos considerados en los respectivos presupuestos de egresos.</w:t>
      </w:r>
    </w:p>
    <w:p w14:paraId="6BE281D5" w14:textId="77777777" w:rsidR="00736191" w:rsidRPr="00736191" w:rsidRDefault="00736191" w:rsidP="00736191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</w:p>
    <w:p w14:paraId="2DD229D0" w14:textId="540A35F6" w:rsidR="008610C0" w:rsidRDefault="00736191" w:rsidP="00736191">
      <w:pPr>
        <w:spacing w:line="360" w:lineRule="auto"/>
        <w:ind w:right="49"/>
        <w:jc w:val="both"/>
        <w:rPr>
          <w:rFonts w:ascii="Arial" w:hAnsi="Arial" w:cs="Arial"/>
          <w:bCs/>
          <w:iCs/>
        </w:rPr>
      </w:pPr>
      <w:r w:rsidRPr="00736191">
        <w:rPr>
          <w:rFonts w:ascii="Arial" w:hAnsi="Arial" w:cs="Arial"/>
          <w:bCs/>
          <w:iCs/>
        </w:rPr>
        <w:lastRenderedPageBreak/>
        <w:t>7. Verificar que los procedimientos para la adquisición de bienes y prestación de servicios cumplieron con lo dispuesto en la normativa aplicable.</w:t>
      </w:r>
    </w:p>
    <w:p w14:paraId="26C507A5" w14:textId="77777777" w:rsidR="00736191" w:rsidRPr="00C47B98" w:rsidRDefault="00736191" w:rsidP="0073619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9AD3FF" w14:textId="42A2080C" w:rsidR="008610C0" w:rsidRPr="00C47B98" w:rsidRDefault="008610C0" w:rsidP="00736191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68C64B41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</w:t>
      </w:r>
      <w:r w:rsidR="000F73BB" w:rsidRPr="000F73BB">
        <w:rPr>
          <w:rFonts w:ascii="Arial" w:hAnsi="Arial" w:cs="Arial"/>
          <w:b/>
        </w:rPr>
        <w:t>Servidores Públicos que intervinieron en la Auditoría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45669B1E" w:rsidR="00855650" w:rsidRDefault="00855650" w:rsidP="00736191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BB482E" w:rsidRPr="00BB482E">
        <w:rPr>
          <w:rFonts w:ascii="Arial" w:hAnsi="Arial" w:cs="Arial"/>
          <w:bCs/>
        </w:rPr>
        <w:t>se encuentra referido en la orden emitida con oficio número</w:t>
      </w:r>
      <w:r w:rsidR="00BB482E">
        <w:rPr>
          <w:rFonts w:ascii="Arial" w:hAnsi="Arial" w:cs="Arial"/>
          <w:bCs/>
        </w:rPr>
        <w:t xml:space="preserve"> </w:t>
      </w:r>
      <w:r w:rsidR="00BB482E" w:rsidRPr="00BB482E">
        <w:rPr>
          <w:rFonts w:ascii="Arial" w:hAnsi="Arial" w:cs="Arial"/>
          <w:bCs/>
        </w:rPr>
        <w:t>ASEQROO/ASE/AEMF/0550/08/2020, siendo los servidores públicos a cargo de coordinar y supervisar la auditoría, los siguientes:</w:t>
      </w:r>
    </w:p>
    <w:p w14:paraId="38FD7AF5" w14:textId="77777777" w:rsidR="00BB482E" w:rsidRDefault="00BB482E" w:rsidP="00736191">
      <w:pPr>
        <w:spacing w:line="360" w:lineRule="auto"/>
        <w:ind w:right="49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AA56ED" w14:paraId="34A271CE" w14:textId="77777777" w:rsidTr="009F7638">
        <w:trPr>
          <w:trHeight w:val="70"/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AA56ED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A56ED">
              <w:rPr>
                <w:rFonts w:ascii="Arial" w:hAnsi="Arial" w:cs="Arial"/>
                <w:bCs/>
              </w:rPr>
              <w:t xml:space="preserve"> </w:t>
            </w:r>
            <w:r w:rsidRPr="00AA56ED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AA56ED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AA56ED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AA56ED" w:rsidRPr="00AA56ED" w14:paraId="134EFBDA" w14:textId="77777777" w:rsidTr="009F7638">
        <w:trPr>
          <w:trHeight w:val="172"/>
          <w:jc w:val="center"/>
        </w:trPr>
        <w:tc>
          <w:tcPr>
            <w:tcW w:w="6374" w:type="dxa"/>
            <w:shd w:val="clear" w:color="auto" w:fill="auto"/>
          </w:tcPr>
          <w:p w14:paraId="56F4CBBE" w14:textId="5D1A277A" w:rsidR="00AA56ED" w:rsidRPr="00AA56ED" w:rsidRDefault="00AA56ED" w:rsidP="00AA56ED">
            <w:pPr>
              <w:spacing w:line="360" w:lineRule="auto"/>
              <w:rPr>
                <w:rFonts w:ascii="Arial" w:hAnsi="Arial" w:cs="Arial"/>
                <w:bCs/>
              </w:rPr>
            </w:pPr>
            <w:r w:rsidRPr="00AA56ED">
              <w:rPr>
                <w:rFonts w:ascii="Arial" w:hAnsi="Arial" w:cs="Arial"/>
              </w:rPr>
              <w:t xml:space="preserve">M.A. San Juanita Basurto </w:t>
            </w:r>
            <w:proofErr w:type="spellStart"/>
            <w:r w:rsidRPr="00AA56ED">
              <w:rPr>
                <w:rFonts w:ascii="Arial" w:hAnsi="Arial" w:cs="Arial"/>
              </w:rPr>
              <w:t>Oláguez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839250C" w14:textId="17DE5742" w:rsidR="00AA56ED" w:rsidRPr="00AA56ED" w:rsidRDefault="00AA56ED" w:rsidP="00AA56E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AA56ED">
              <w:rPr>
                <w:rFonts w:ascii="Arial" w:hAnsi="Arial" w:cs="Arial"/>
              </w:rPr>
              <w:t>Coordinador</w:t>
            </w:r>
          </w:p>
        </w:tc>
      </w:tr>
      <w:tr w:rsidR="00AA56ED" w:rsidRPr="00AA56ED" w14:paraId="50132D96" w14:textId="77777777" w:rsidTr="009F7638">
        <w:trPr>
          <w:trHeight w:val="70"/>
          <w:jc w:val="center"/>
        </w:trPr>
        <w:tc>
          <w:tcPr>
            <w:tcW w:w="6374" w:type="dxa"/>
            <w:shd w:val="clear" w:color="auto" w:fill="auto"/>
          </w:tcPr>
          <w:p w14:paraId="5820A067" w14:textId="1859AB86" w:rsidR="00AA56ED" w:rsidRPr="00AA56ED" w:rsidRDefault="00AA56ED" w:rsidP="00AA56ED">
            <w:pPr>
              <w:spacing w:line="360" w:lineRule="auto"/>
              <w:rPr>
                <w:rFonts w:ascii="Arial" w:hAnsi="Arial" w:cs="Arial"/>
                <w:bCs/>
              </w:rPr>
            </w:pPr>
            <w:r w:rsidRPr="00AA56ED">
              <w:rPr>
                <w:rFonts w:ascii="Arial" w:hAnsi="Arial" w:cs="Arial"/>
              </w:rPr>
              <w:t>C.P.A. Araceli Alanís Rodríguez</w:t>
            </w:r>
          </w:p>
        </w:tc>
        <w:tc>
          <w:tcPr>
            <w:tcW w:w="2977" w:type="dxa"/>
            <w:shd w:val="clear" w:color="auto" w:fill="auto"/>
          </w:tcPr>
          <w:p w14:paraId="76B670D2" w14:textId="3C79A260" w:rsidR="00AA56ED" w:rsidRPr="00AA56ED" w:rsidRDefault="00AA56ED" w:rsidP="00AA56ED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AA56ED">
              <w:rPr>
                <w:rFonts w:ascii="Arial" w:hAnsi="Arial" w:cs="Arial"/>
              </w:rPr>
              <w:t>Supervisor</w:t>
            </w:r>
          </w:p>
        </w:tc>
      </w:tr>
    </w:tbl>
    <w:p w14:paraId="0AC8B2BB" w14:textId="77777777" w:rsidR="002E1AEF" w:rsidRPr="009F7638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  <w:sz w:val="22"/>
          <w:szCs w:val="26"/>
        </w:rPr>
      </w:pPr>
    </w:p>
    <w:p w14:paraId="507D5E3D" w14:textId="77777777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AA1F59" w:rsidRDefault="005E4A7A" w:rsidP="00711F68">
      <w:pPr>
        <w:spacing w:line="360" w:lineRule="auto"/>
        <w:ind w:right="48"/>
        <w:jc w:val="both"/>
        <w:rPr>
          <w:rFonts w:ascii="Arial" w:hAnsi="Arial" w:cs="Arial"/>
          <w:szCs w:val="26"/>
        </w:rPr>
      </w:pPr>
    </w:p>
    <w:p w14:paraId="35FC8FA5" w14:textId="0C30E038" w:rsidR="000F3999" w:rsidRPr="00845B1A" w:rsidRDefault="000F3999" w:rsidP="00736191">
      <w:pPr>
        <w:spacing w:line="360" w:lineRule="auto"/>
        <w:ind w:right="49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A308DB" w:rsidRPr="00A308DB">
        <w:rPr>
          <w:rFonts w:ascii="Arial" w:hAnsi="Arial" w:cs="Arial"/>
        </w:rPr>
        <w:t>a los Presupuestos de Ingresos y de Egresos</w:t>
      </w:r>
      <w:r w:rsidR="00AA1F59">
        <w:rPr>
          <w:rFonts w:ascii="Arial" w:hAnsi="Arial" w:cs="Arial"/>
        </w:rPr>
        <w:t xml:space="preserve"> </w:t>
      </w:r>
      <w:r w:rsidR="00AA1F59">
        <w:rPr>
          <w:rFonts w:ascii="Arial" w:hAnsi="Arial" w:cs="Arial"/>
          <w:bCs/>
        </w:rPr>
        <w:t xml:space="preserve">del </w:t>
      </w:r>
      <w:r w:rsidR="00AA1F59" w:rsidRPr="00D21B75">
        <w:rPr>
          <w:rFonts w:ascii="Arial" w:hAnsi="Arial" w:cs="Arial"/>
          <w:b/>
          <w:bCs/>
        </w:rPr>
        <w:t>Instituto de Planeación de Desarrollo Urbano del Municipio de Benito Juárez</w:t>
      </w:r>
      <w:r w:rsidR="00AA1F59">
        <w:rPr>
          <w:rFonts w:ascii="Arial" w:hAnsi="Arial" w:cs="Arial"/>
          <w:b/>
          <w:bCs/>
        </w:rPr>
        <w:t xml:space="preserve"> </w:t>
      </w:r>
      <w:r w:rsidR="00AA1F59" w:rsidRPr="00CB3EC7">
        <w:rPr>
          <w:rFonts w:ascii="Arial" w:hAnsi="Arial" w:cs="Arial"/>
          <w:bCs/>
        </w:rPr>
        <w:t>para el ejercicio fiscal 2019</w:t>
      </w:r>
      <w:r w:rsidRPr="00845B1A">
        <w:rPr>
          <w:rFonts w:ascii="Arial" w:hAnsi="Arial" w:cs="Arial"/>
        </w:rPr>
        <w:t xml:space="preserve"> 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 xml:space="preserve">las diversas disposiciones legales y normativas aplicables, por lo que se incluyeron </w:t>
      </w:r>
      <w:r w:rsidRPr="00845B1A">
        <w:rPr>
          <w:rFonts w:ascii="Arial" w:hAnsi="Arial" w:cs="Arial"/>
        </w:rPr>
        <w:lastRenderedPageBreak/>
        <w:t>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7777777" w:rsidR="000F3999" w:rsidRPr="00AA1F59" w:rsidRDefault="000F3999" w:rsidP="00335AD2">
      <w:pPr>
        <w:spacing w:line="360" w:lineRule="auto"/>
        <w:ind w:right="48"/>
        <w:jc w:val="both"/>
        <w:rPr>
          <w:rFonts w:ascii="Arial" w:hAnsi="Arial" w:cs="Arial"/>
          <w:szCs w:val="26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AA1F59" w:rsidRDefault="006F2571" w:rsidP="00B93F1F">
      <w:pPr>
        <w:spacing w:line="360" w:lineRule="auto"/>
        <w:ind w:right="190"/>
        <w:jc w:val="both"/>
        <w:rPr>
          <w:rFonts w:ascii="Arial" w:hAnsi="Arial" w:cs="Arial"/>
          <w:szCs w:val="26"/>
        </w:rPr>
      </w:pPr>
    </w:p>
    <w:p w14:paraId="1A1F0F6C" w14:textId="494AFAEB" w:rsidR="00EA41C8" w:rsidRDefault="008D2177" w:rsidP="00736191">
      <w:pPr>
        <w:tabs>
          <w:tab w:val="left" w:pos="2160"/>
        </w:tabs>
        <w:spacing w:line="360" w:lineRule="auto"/>
        <w:ind w:right="49"/>
        <w:jc w:val="both"/>
      </w:pPr>
      <w:r w:rsidRPr="00272DC1">
        <w:rPr>
          <w:rFonts w:ascii="Arial" w:hAnsi="Arial" w:cs="Arial"/>
          <w:bCs/>
        </w:rPr>
        <w:t>Se constató el cumplimiento de la Ley General de Contabilidad Gubernamental</w:t>
      </w:r>
      <w:r>
        <w:rPr>
          <w:rFonts w:ascii="Arial" w:hAnsi="Arial" w:cs="Arial"/>
          <w:bCs/>
        </w:rPr>
        <w:t xml:space="preserve">, </w:t>
      </w:r>
      <w:r w:rsidRPr="001776F5">
        <w:rPr>
          <w:rFonts w:ascii="Arial" w:hAnsi="Arial" w:cs="Arial"/>
        </w:rPr>
        <w:t>los Presupuesto</w:t>
      </w:r>
      <w:r>
        <w:rPr>
          <w:rFonts w:ascii="Arial" w:hAnsi="Arial" w:cs="Arial"/>
        </w:rPr>
        <w:t>s</w:t>
      </w:r>
      <w:r w:rsidRPr="001776F5">
        <w:rPr>
          <w:rFonts w:ascii="Arial" w:hAnsi="Arial" w:cs="Arial"/>
        </w:rPr>
        <w:t xml:space="preserve"> de Ingresos y</w:t>
      </w:r>
      <w:r>
        <w:rPr>
          <w:rFonts w:ascii="Arial" w:hAnsi="Arial" w:cs="Arial"/>
        </w:rPr>
        <w:t xml:space="preserve"> de</w:t>
      </w:r>
      <w:r w:rsidRPr="001776F5">
        <w:rPr>
          <w:rFonts w:ascii="Arial" w:hAnsi="Arial" w:cs="Arial"/>
        </w:rPr>
        <w:t xml:space="preserve"> Egresos</w:t>
      </w:r>
      <w:r w:rsidR="00CB3EC7">
        <w:rPr>
          <w:rFonts w:ascii="Arial" w:hAnsi="Arial" w:cs="Arial"/>
        </w:rPr>
        <w:t xml:space="preserve"> </w:t>
      </w:r>
      <w:r w:rsidR="00CB3EC7">
        <w:rPr>
          <w:rFonts w:ascii="Arial" w:hAnsi="Arial" w:cs="Arial"/>
          <w:bCs/>
        </w:rPr>
        <w:t xml:space="preserve">del </w:t>
      </w:r>
      <w:r w:rsidR="00CB3EC7" w:rsidRPr="00D21B75">
        <w:rPr>
          <w:rFonts w:ascii="Arial" w:hAnsi="Arial" w:cs="Arial"/>
          <w:b/>
          <w:bCs/>
        </w:rPr>
        <w:t>Instituto de Planeación de Desarrollo Urbano del Municipio de Benito Juárez</w:t>
      </w:r>
      <w:r w:rsidR="00CB3EC7">
        <w:rPr>
          <w:rFonts w:ascii="Arial" w:hAnsi="Arial" w:cs="Arial"/>
          <w:b/>
          <w:bCs/>
        </w:rPr>
        <w:t xml:space="preserve"> </w:t>
      </w:r>
      <w:r w:rsidR="00CB3EC7" w:rsidRPr="00CB3EC7">
        <w:rPr>
          <w:rFonts w:ascii="Arial" w:hAnsi="Arial" w:cs="Arial"/>
          <w:bCs/>
        </w:rPr>
        <w:t>para el ejercicio fiscal 2019</w:t>
      </w:r>
      <w:r w:rsidRPr="001776F5">
        <w:rPr>
          <w:rFonts w:ascii="Arial" w:hAnsi="Arial" w:cs="Arial"/>
          <w:bCs/>
        </w:rPr>
        <w:t>, así como de lo emitido por el Consejo Nacio</w:t>
      </w:r>
      <w:r w:rsidRPr="00272DC1">
        <w:rPr>
          <w:rFonts w:ascii="Arial" w:hAnsi="Arial" w:cs="Arial"/>
          <w:bCs/>
        </w:rPr>
        <w:t>nal de Armonización Contable (CONAC), y demás disposiciones</w:t>
      </w:r>
      <w:r>
        <w:rPr>
          <w:rFonts w:ascii="Arial" w:hAnsi="Arial" w:cs="Arial"/>
          <w:bCs/>
        </w:rPr>
        <w:t xml:space="preserve"> legales y normativas aplicables</w:t>
      </w:r>
      <w:r w:rsidR="007C37B0">
        <w:rPr>
          <w:rFonts w:ascii="Arial" w:hAnsi="Arial" w:cs="Arial"/>
          <w:bCs/>
        </w:rPr>
        <w:t>.</w:t>
      </w:r>
      <w:r w:rsidR="002043D9" w:rsidRPr="002043D9">
        <w:t xml:space="preserve"> </w:t>
      </w:r>
    </w:p>
    <w:p w14:paraId="5C88F591" w14:textId="77777777" w:rsidR="007C37B0" w:rsidRPr="005274CB" w:rsidRDefault="007C37B0" w:rsidP="00736191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Cs/>
          <w:i/>
          <w:iCs/>
        </w:rPr>
      </w:pPr>
    </w:p>
    <w:p w14:paraId="709275CB" w14:textId="77777777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5D8ACB0E" w14:textId="77777777" w:rsidR="009F7638" w:rsidRDefault="009F7638" w:rsidP="00443666">
      <w:pPr>
        <w:spacing w:line="360" w:lineRule="auto"/>
        <w:ind w:right="49"/>
        <w:jc w:val="both"/>
        <w:rPr>
          <w:rFonts w:ascii="Arial" w:hAnsi="Arial" w:cs="Arial"/>
        </w:rPr>
      </w:pPr>
    </w:p>
    <w:p w14:paraId="3B7AB8FC" w14:textId="30729A32" w:rsidR="005274CB" w:rsidRDefault="00183532" w:rsidP="00443666">
      <w:pPr>
        <w:spacing w:line="360" w:lineRule="auto"/>
        <w:ind w:right="49"/>
        <w:jc w:val="both"/>
        <w:rPr>
          <w:rFonts w:ascii="Arial" w:hAnsi="Arial" w:cs="Arial"/>
          <w:iCs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bookmarkStart w:id="9" w:name="_Hlk11408938"/>
      <w:bookmarkStart w:id="10" w:name="_Hlk11408885"/>
      <w:r w:rsidR="00443666" w:rsidRPr="00443666">
        <w:rPr>
          <w:rFonts w:ascii="Arial" w:hAnsi="Arial" w:cs="Arial"/>
          <w:iCs/>
        </w:rPr>
        <w:t xml:space="preserve">durante este proceso de </w:t>
      </w:r>
      <w:r w:rsidR="00443666" w:rsidRPr="0090793E">
        <w:rPr>
          <w:rFonts w:ascii="Arial" w:hAnsi="Arial" w:cs="Arial"/>
          <w:iCs/>
        </w:rPr>
        <w:t xml:space="preserve">fiscalización se presentaron </w:t>
      </w:r>
      <w:r w:rsidR="00880678" w:rsidRPr="0090793E">
        <w:rPr>
          <w:rFonts w:ascii="Arial" w:hAnsi="Arial" w:cs="Arial"/>
          <w:b/>
          <w:iCs/>
        </w:rPr>
        <w:t>3</w:t>
      </w:r>
      <w:r w:rsidR="00443666" w:rsidRPr="0090793E">
        <w:rPr>
          <w:rFonts w:ascii="Arial" w:hAnsi="Arial" w:cs="Arial"/>
          <w:iCs/>
        </w:rPr>
        <w:t xml:space="preserve"> resultados finales de auditoría y se determinaron </w:t>
      </w:r>
      <w:r w:rsidR="00880678" w:rsidRPr="0090793E">
        <w:rPr>
          <w:rFonts w:ascii="Arial" w:hAnsi="Arial" w:cs="Arial"/>
          <w:b/>
          <w:iCs/>
        </w:rPr>
        <w:t>10</w:t>
      </w:r>
      <w:r w:rsidR="00443666" w:rsidRPr="0090793E">
        <w:rPr>
          <w:rFonts w:ascii="Arial" w:hAnsi="Arial" w:cs="Arial"/>
          <w:iCs/>
        </w:rPr>
        <w:t xml:space="preserve"> observaciones</w:t>
      </w:r>
      <w:r w:rsidR="00F02EC5" w:rsidRPr="0090793E">
        <w:rPr>
          <w:rFonts w:ascii="Arial" w:hAnsi="Arial" w:cs="Arial"/>
        </w:rPr>
        <w:t xml:space="preserve">, de las cuales </w:t>
      </w:r>
      <w:r w:rsidR="00257443">
        <w:rPr>
          <w:rFonts w:ascii="Arial" w:hAnsi="Arial" w:cs="Arial"/>
        </w:rPr>
        <w:t>8</w:t>
      </w:r>
      <w:r w:rsidR="00F02EC5" w:rsidRPr="0090793E">
        <w:rPr>
          <w:rFonts w:ascii="Arial" w:hAnsi="Arial" w:cs="Arial"/>
        </w:rPr>
        <w:t xml:space="preserve"> fueron solventadas</w:t>
      </w:r>
      <w:r w:rsidR="00006D99">
        <w:rPr>
          <w:rFonts w:ascii="Arial" w:hAnsi="Arial" w:cs="Arial"/>
        </w:rPr>
        <w:t xml:space="preserve"> en su totalidad</w:t>
      </w:r>
      <w:r w:rsidR="00F02EC5" w:rsidRPr="0090793E">
        <w:rPr>
          <w:rFonts w:ascii="Arial" w:hAnsi="Arial" w:cs="Arial"/>
        </w:rPr>
        <w:t xml:space="preserve">, </w:t>
      </w:r>
      <w:r w:rsidR="00F02EC5" w:rsidRPr="00CF5EC2">
        <w:rPr>
          <w:rFonts w:ascii="Arial" w:hAnsi="Arial" w:cs="Arial"/>
        </w:rPr>
        <w:t xml:space="preserve">y </w:t>
      </w:r>
      <w:r w:rsidR="00923EDE">
        <w:rPr>
          <w:rFonts w:ascii="Arial" w:hAnsi="Arial" w:cs="Arial"/>
        </w:rPr>
        <w:t>2</w:t>
      </w:r>
      <w:r w:rsidR="002043D9">
        <w:rPr>
          <w:rFonts w:ascii="Arial" w:hAnsi="Arial" w:cs="Arial"/>
        </w:rPr>
        <w:t xml:space="preserve"> se encuentra</w:t>
      </w:r>
      <w:r w:rsidR="00923EDE">
        <w:rPr>
          <w:rFonts w:ascii="Arial" w:hAnsi="Arial" w:cs="Arial"/>
        </w:rPr>
        <w:t>n</w:t>
      </w:r>
      <w:r w:rsidR="00F02EC5" w:rsidRPr="0090793E">
        <w:rPr>
          <w:rFonts w:ascii="Arial" w:hAnsi="Arial" w:cs="Arial"/>
        </w:rPr>
        <w:t xml:space="preserve"> pendiente</w:t>
      </w:r>
      <w:r w:rsidR="00923EDE">
        <w:rPr>
          <w:rFonts w:ascii="Arial" w:hAnsi="Arial" w:cs="Arial"/>
        </w:rPr>
        <w:t>s</w:t>
      </w:r>
      <w:r w:rsidR="00F02EC5" w:rsidRPr="0090793E">
        <w:rPr>
          <w:rFonts w:ascii="Arial" w:hAnsi="Arial" w:cs="Arial"/>
        </w:rPr>
        <w:t xml:space="preserve"> de solventar; emitiéndose </w:t>
      </w:r>
      <w:r w:rsidR="00923EDE">
        <w:rPr>
          <w:rFonts w:ascii="Arial" w:hAnsi="Arial" w:cs="Arial"/>
        </w:rPr>
        <w:t>1</w:t>
      </w:r>
      <w:r w:rsidR="0090793E" w:rsidRPr="0090793E">
        <w:rPr>
          <w:rFonts w:ascii="Arial" w:hAnsi="Arial" w:cs="Arial"/>
        </w:rPr>
        <w:t xml:space="preserve"> </w:t>
      </w:r>
      <w:r w:rsidR="00923EDE">
        <w:rPr>
          <w:rFonts w:ascii="Arial" w:hAnsi="Arial" w:cs="Arial"/>
        </w:rPr>
        <w:t xml:space="preserve">recomendación y 1 </w:t>
      </w:r>
      <w:r w:rsidR="00C37F3D">
        <w:rPr>
          <w:rFonts w:ascii="Arial" w:hAnsi="Arial" w:cs="Arial"/>
        </w:rPr>
        <w:t>promoción</w:t>
      </w:r>
      <w:r w:rsidR="00C37F3D" w:rsidRPr="00925461">
        <w:rPr>
          <w:rFonts w:ascii="Arial" w:hAnsi="Arial" w:cs="Arial"/>
        </w:rPr>
        <w:t xml:space="preserve"> de responsabilidad administrativa sancionatoria</w:t>
      </w:r>
      <w:r w:rsidR="002043D9">
        <w:rPr>
          <w:rFonts w:ascii="Arial" w:hAnsi="Arial" w:cs="Arial"/>
        </w:rPr>
        <w:t>.</w:t>
      </w:r>
    </w:p>
    <w:p w14:paraId="66FEAC90" w14:textId="77777777" w:rsidR="00C37F3D" w:rsidRPr="009F7638" w:rsidRDefault="00C37F3D" w:rsidP="002367AD">
      <w:pPr>
        <w:spacing w:line="360" w:lineRule="auto"/>
        <w:ind w:right="190"/>
        <w:jc w:val="both"/>
        <w:rPr>
          <w:rFonts w:ascii="Arial" w:hAnsi="Arial" w:cs="Arial"/>
          <w:iCs/>
          <w:szCs w:val="26"/>
        </w:rPr>
      </w:pPr>
    </w:p>
    <w:bookmarkEnd w:id="9"/>
    <w:bookmarkEnd w:id="10"/>
    <w:p w14:paraId="48F04B82" w14:textId="3C591038" w:rsidR="002F7D2D" w:rsidRPr="00C404BF" w:rsidRDefault="002F7D2D" w:rsidP="00736191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1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1"/>
    </w:p>
    <w:p w14:paraId="458D97BD" w14:textId="77777777" w:rsidR="00A93AE5" w:rsidRPr="009F7638" w:rsidRDefault="00A93AE5" w:rsidP="002367AD">
      <w:pPr>
        <w:spacing w:line="360" w:lineRule="auto"/>
        <w:ind w:right="332"/>
        <w:jc w:val="both"/>
        <w:rPr>
          <w:rFonts w:ascii="Arial" w:hAnsi="Arial" w:cs="Arial"/>
          <w:szCs w:val="26"/>
        </w:rPr>
      </w:pPr>
    </w:p>
    <w:p w14:paraId="6402FB82" w14:textId="77777777" w:rsidR="00640CCA" w:rsidRDefault="00640CCA" w:rsidP="00736191">
      <w:pPr>
        <w:spacing w:line="360" w:lineRule="auto"/>
        <w:ind w:right="49"/>
        <w:jc w:val="both"/>
        <w:rPr>
          <w:rFonts w:ascii="Arial" w:hAnsi="Arial" w:cs="Arial"/>
        </w:rPr>
      </w:pPr>
      <w:bookmarkStart w:id="12" w:name="_Hlk11361172"/>
      <w:r>
        <w:rPr>
          <w:rFonts w:ascii="Arial" w:hAnsi="Arial" w:cs="Arial"/>
        </w:rPr>
        <w:lastRenderedPageBreak/>
        <w:t xml:space="preserve">Derivado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bookmarkEnd w:id="12"/>
    <w:p w14:paraId="139A4DA3" w14:textId="4C85C48F" w:rsidR="005B4384" w:rsidRPr="009F7638" w:rsidRDefault="005B4384" w:rsidP="00B16F60">
      <w:pPr>
        <w:spacing w:line="360" w:lineRule="auto"/>
        <w:jc w:val="both"/>
        <w:rPr>
          <w:rFonts w:ascii="Arial" w:hAnsi="Arial" w:cs="Arial"/>
          <w:b/>
          <w:bCs/>
          <w:szCs w:val="26"/>
        </w:rPr>
      </w:pPr>
    </w:p>
    <w:p w14:paraId="09D3CE8A" w14:textId="05D05720" w:rsidR="00707F2F" w:rsidRDefault="00707F2F" w:rsidP="00707F2F">
      <w:pPr>
        <w:spacing w:line="360" w:lineRule="auto"/>
        <w:jc w:val="both"/>
        <w:rPr>
          <w:rFonts w:ascii="Arial" w:hAnsi="Arial" w:cs="Arial"/>
          <w:b/>
          <w:bCs/>
        </w:rPr>
      </w:pPr>
      <w:bookmarkStart w:id="13" w:name="_Hlk11419882"/>
      <w:r>
        <w:rPr>
          <w:rFonts w:ascii="Arial" w:hAnsi="Arial" w:cs="Arial"/>
          <w:b/>
          <w:bCs/>
        </w:rPr>
        <w:t>Egresos</w:t>
      </w:r>
    </w:p>
    <w:p w14:paraId="24AB1F33" w14:textId="0275ABC5" w:rsidR="00C226C5" w:rsidRPr="009F7638" w:rsidRDefault="00C226C5" w:rsidP="00707F2F">
      <w:pPr>
        <w:spacing w:line="360" w:lineRule="auto"/>
        <w:jc w:val="both"/>
        <w:rPr>
          <w:rFonts w:ascii="Arial" w:hAnsi="Arial" w:cs="Arial"/>
          <w:b/>
          <w:bCs/>
          <w:szCs w:val="26"/>
        </w:rPr>
      </w:pPr>
    </w:p>
    <w:tbl>
      <w:tblPr>
        <w:tblStyle w:val="Tablaconcuadrcula"/>
        <w:tblW w:w="4903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980"/>
        <w:gridCol w:w="3259"/>
        <w:gridCol w:w="1414"/>
      </w:tblGrid>
      <w:tr w:rsidR="00C226C5" w:rsidRPr="00C226C5" w14:paraId="6BF2E6ED" w14:textId="77777777" w:rsidTr="001802B9">
        <w:trPr>
          <w:trHeight w:val="660"/>
          <w:tblHeader/>
          <w:jc w:val="center"/>
        </w:trPr>
        <w:tc>
          <w:tcPr>
            <w:tcW w:w="968" w:type="pct"/>
            <w:shd w:val="clear" w:color="auto" w:fill="D0CECE" w:themeFill="background2" w:themeFillShade="E6"/>
            <w:vAlign w:val="center"/>
          </w:tcPr>
          <w:p w14:paraId="5646289B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1570" w:type="pct"/>
            <w:shd w:val="clear" w:color="auto" w:fill="D0CECE" w:themeFill="background2" w:themeFillShade="E6"/>
            <w:vAlign w:val="center"/>
          </w:tcPr>
          <w:p w14:paraId="5C9098ED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b/>
                <w:sz w:val="18"/>
                <w:szCs w:val="18"/>
              </w:rPr>
              <w:t>Concepto del Resultado</w:t>
            </w:r>
          </w:p>
        </w:tc>
        <w:tc>
          <w:tcPr>
            <w:tcW w:w="1717" w:type="pct"/>
            <w:shd w:val="clear" w:color="auto" w:fill="D0CECE" w:themeFill="background2" w:themeFillShade="E6"/>
            <w:vAlign w:val="center"/>
          </w:tcPr>
          <w:p w14:paraId="3247950A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b/>
                <w:sz w:val="18"/>
                <w:szCs w:val="18"/>
              </w:rPr>
              <w:t>Tipo de Observación</w:t>
            </w:r>
          </w:p>
        </w:tc>
        <w:tc>
          <w:tcPr>
            <w:tcW w:w="746" w:type="pct"/>
            <w:shd w:val="clear" w:color="auto" w:fill="D0CECE" w:themeFill="background2" w:themeFillShade="E6"/>
            <w:vAlign w:val="center"/>
          </w:tcPr>
          <w:p w14:paraId="7F2D6B68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b/>
                <w:sz w:val="18"/>
                <w:szCs w:val="18"/>
              </w:rPr>
              <w:t>Importe</w:t>
            </w:r>
          </w:p>
          <w:p w14:paraId="0C7E7FA0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b/>
                <w:sz w:val="18"/>
                <w:szCs w:val="18"/>
              </w:rPr>
              <w:t>Observado</w:t>
            </w:r>
          </w:p>
        </w:tc>
      </w:tr>
      <w:tr w:rsidR="00C226C5" w:rsidRPr="00C226C5" w14:paraId="5E303550" w14:textId="77777777" w:rsidTr="001802B9">
        <w:trPr>
          <w:jc w:val="center"/>
        </w:trPr>
        <w:tc>
          <w:tcPr>
            <w:tcW w:w="968" w:type="pct"/>
          </w:tcPr>
          <w:p w14:paraId="60920F14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5E594B34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1</w:t>
            </w:r>
          </w:p>
        </w:tc>
        <w:tc>
          <w:tcPr>
            <w:tcW w:w="1570" w:type="pct"/>
          </w:tcPr>
          <w:p w14:paraId="22A6FB09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Análisis de gastos por adquisición de servicios</w:t>
            </w:r>
          </w:p>
        </w:tc>
        <w:tc>
          <w:tcPr>
            <w:tcW w:w="1717" w:type="pct"/>
          </w:tcPr>
          <w:p w14:paraId="7AF94662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(1B) Falta de documentación comprobatoria de las erogaciones o que no reúne requisitos fiscales</w:t>
            </w:r>
          </w:p>
        </w:tc>
        <w:tc>
          <w:tcPr>
            <w:tcW w:w="746" w:type="pct"/>
          </w:tcPr>
          <w:p w14:paraId="480E0DB2" w14:textId="77777777" w:rsidR="00C226C5" w:rsidRPr="00C226C5" w:rsidRDefault="00C226C5" w:rsidP="0018059F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$561,351.43</w:t>
            </w:r>
          </w:p>
        </w:tc>
      </w:tr>
      <w:tr w:rsidR="00C226C5" w:rsidRPr="00C226C5" w14:paraId="7C6D528A" w14:textId="77777777" w:rsidTr="001802B9">
        <w:trPr>
          <w:jc w:val="center"/>
        </w:trPr>
        <w:tc>
          <w:tcPr>
            <w:tcW w:w="968" w:type="pct"/>
          </w:tcPr>
          <w:p w14:paraId="7A7A1B1F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396F6508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2</w:t>
            </w:r>
          </w:p>
        </w:tc>
        <w:tc>
          <w:tcPr>
            <w:tcW w:w="1570" w:type="pct"/>
          </w:tcPr>
          <w:p w14:paraId="0183A59F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Análisis de gastos por adquisición de servicios</w:t>
            </w:r>
          </w:p>
        </w:tc>
        <w:tc>
          <w:tcPr>
            <w:tcW w:w="1717" w:type="pct"/>
          </w:tcPr>
          <w:p w14:paraId="327583B4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(1C) Falta de autorización o justificación de las erogaciones</w:t>
            </w:r>
          </w:p>
        </w:tc>
        <w:tc>
          <w:tcPr>
            <w:tcW w:w="746" w:type="pct"/>
          </w:tcPr>
          <w:p w14:paraId="614A5A0B" w14:textId="77777777" w:rsidR="00C226C5" w:rsidRPr="00C226C5" w:rsidRDefault="00C226C5" w:rsidP="0018059F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100,145.10</w:t>
            </w:r>
          </w:p>
        </w:tc>
      </w:tr>
      <w:tr w:rsidR="00C226C5" w:rsidRPr="00C226C5" w14:paraId="2FD7481D" w14:textId="77777777" w:rsidTr="001802B9">
        <w:trPr>
          <w:trHeight w:val="560"/>
          <w:jc w:val="center"/>
        </w:trPr>
        <w:tc>
          <w:tcPr>
            <w:tcW w:w="968" w:type="pct"/>
          </w:tcPr>
          <w:p w14:paraId="090467EE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0913C93D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3</w:t>
            </w:r>
          </w:p>
        </w:tc>
        <w:tc>
          <w:tcPr>
            <w:tcW w:w="1570" w:type="pct"/>
          </w:tcPr>
          <w:p w14:paraId="571BF057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Análisis de gastos por adquisición de servicios</w:t>
            </w:r>
          </w:p>
        </w:tc>
        <w:tc>
          <w:tcPr>
            <w:tcW w:w="1717" w:type="pct"/>
          </w:tcPr>
          <w:p w14:paraId="65E028DF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(1C) Falta de autorización o justificación de las erogaciones</w:t>
            </w:r>
          </w:p>
        </w:tc>
        <w:tc>
          <w:tcPr>
            <w:tcW w:w="746" w:type="pct"/>
          </w:tcPr>
          <w:p w14:paraId="638CE919" w14:textId="77777777" w:rsidR="00C226C5" w:rsidRPr="00C226C5" w:rsidRDefault="00C226C5" w:rsidP="0018059F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230,000.00</w:t>
            </w:r>
          </w:p>
        </w:tc>
      </w:tr>
      <w:tr w:rsidR="00C226C5" w:rsidRPr="00C226C5" w14:paraId="5C163980" w14:textId="77777777" w:rsidTr="001802B9">
        <w:trPr>
          <w:trHeight w:val="444"/>
          <w:jc w:val="center"/>
        </w:trPr>
        <w:tc>
          <w:tcPr>
            <w:tcW w:w="968" w:type="pct"/>
          </w:tcPr>
          <w:p w14:paraId="70F646D1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3307A84D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4</w:t>
            </w:r>
          </w:p>
        </w:tc>
        <w:tc>
          <w:tcPr>
            <w:tcW w:w="1570" w:type="pct"/>
          </w:tcPr>
          <w:p w14:paraId="47D06CDC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Análisis de gastos por adquisición de servicios</w:t>
            </w:r>
          </w:p>
        </w:tc>
        <w:tc>
          <w:tcPr>
            <w:tcW w:w="1717" w:type="pct"/>
          </w:tcPr>
          <w:p w14:paraId="21ED1A6D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(1C) Falta de autorización o justificación de las erogaciones</w:t>
            </w:r>
          </w:p>
        </w:tc>
        <w:tc>
          <w:tcPr>
            <w:tcW w:w="746" w:type="pct"/>
          </w:tcPr>
          <w:p w14:paraId="201B8DA8" w14:textId="77777777" w:rsidR="00C226C5" w:rsidRPr="00C226C5" w:rsidRDefault="00C226C5" w:rsidP="0018059F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38,418.99</w:t>
            </w:r>
          </w:p>
        </w:tc>
      </w:tr>
      <w:tr w:rsidR="00C226C5" w:rsidRPr="00C226C5" w14:paraId="312211C9" w14:textId="77777777" w:rsidTr="001802B9">
        <w:trPr>
          <w:trHeight w:val="750"/>
          <w:jc w:val="center"/>
        </w:trPr>
        <w:tc>
          <w:tcPr>
            <w:tcW w:w="968" w:type="pct"/>
          </w:tcPr>
          <w:p w14:paraId="5BA8CAAD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75742D41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5</w:t>
            </w:r>
          </w:p>
        </w:tc>
        <w:tc>
          <w:tcPr>
            <w:tcW w:w="1570" w:type="pct"/>
          </w:tcPr>
          <w:p w14:paraId="04F911B9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Análisis de gastos por adquisición de servicios</w:t>
            </w:r>
          </w:p>
        </w:tc>
        <w:tc>
          <w:tcPr>
            <w:tcW w:w="1717" w:type="pct"/>
          </w:tcPr>
          <w:p w14:paraId="6229AA77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(3D) Falta o inadecuada formalización de contratos, convenios o pedidos</w:t>
            </w:r>
          </w:p>
        </w:tc>
        <w:tc>
          <w:tcPr>
            <w:tcW w:w="746" w:type="pct"/>
          </w:tcPr>
          <w:p w14:paraId="737D8346" w14:textId="77777777" w:rsidR="00C226C5" w:rsidRPr="00C226C5" w:rsidRDefault="00C226C5" w:rsidP="0018059F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93,496.00</w:t>
            </w:r>
          </w:p>
        </w:tc>
      </w:tr>
      <w:tr w:rsidR="00C226C5" w:rsidRPr="00C226C5" w14:paraId="3ADA4568" w14:textId="77777777" w:rsidTr="001802B9">
        <w:trPr>
          <w:trHeight w:val="650"/>
          <w:jc w:val="center"/>
        </w:trPr>
        <w:tc>
          <w:tcPr>
            <w:tcW w:w="968" w:type="pct"/>
          </w:tcPr>
          <w:p w14:paraId="03112184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433F8218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6</w:t>
            </w:r>
          </w:p>
        </w:tc>
        <w:tc>
          <w:tcPr>
            <w:tcW w:w="1570" w:type="pct"/>
          </w:tcPr>
          <w:p w14:paraId="766EB4F3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Análisis de gastos por adquisición de servicios</w:t>
            </w:r>
          </w:p>
        </w:tc>
        <w:tc>
          <w:tcPr>
            <w:tcW w:w="1717" w:type="pct"/>
          </w:tcPr>
          <w:p w14:paraId="1020C425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(3D) Falta o inadecuada formalización de contratos, convenios o pedidos</w:t>
            </w:r>
          </w:p>
        </w:tc>
        <w:tc>
          <w:tcPr>
            <w:tcW w:w="746" w:type="pct"/>
          </w:tcPr>
          <w:p w14:paraId="54116847" w14:textId="77777777" w:rsidR="00C226C5" w:rsidRPr="00C226C5" w:rsidRDefault="00C226C5" w:rsidP="0018059F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219,530.00</w:t>
            </w:r>
          </w:p>
        </w:tc>
      </w:tr>
      <w:tr w:rsidR="00C226C5" w:rsidRPr="00C226C5" w14:paraId="17A3349B" w14:textId="77777777" w:rsidTr="001802B9">
        <w:trPr>
          <w:jc w:val="center"/>
        </w:trPr>
        <w:tc>
          <w:tcPr>
            <w:tcW w:w="968" w:type="pct"/>
          </w:tcPr>
          <w:p w14:paraId="62A589E9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03A89567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7</w:t>
            </w:r>
          </w:p>
        </w:tc>
        <w:tc>
          <w:tcPr>
            <w:tcW w:w="1570" w:type="pct"/>
          </w:tcPr>
          <w:p w14:paraId="75783727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Análisis de gastos por adquisición de materiales y suministros</w:t>
            </w:r>
          </w:p>
        </w:tc>
        <w:tc>
          <w:tcPr>
            <w:tcW w:w="1717" w:type="pct"/>
          </w:tcPr>
          <w:p w14:paraId="1FE8CFDA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(1C) Falta de autorización o justificación de las erogaciones</w:t>
            </w:r>
          </w:p>
        </w:tc>
        <w:tc>
          <w:tcPr>
            <w:tcW w:w="746" w:type="pct"/>
          </w:tcPr>
          <w:p w14:paraId="417A9B43" w14:textId="77777777" w:rsidR="00C226C5" w:rsidRPr="00C226C5" w:rsidRDefault="00C226C5" w:rsidP="0018059F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26,529.20</w:t>
            </w:r>
          </w:p>
        </w:tc>
      </w:tr>
      <w:tr w:rsidR="00C226C5" w:rsidRPr="00C226C5" w14:paraId="75C8AAAB" w14:textId="77777777" w:rsidTr="001802B9">
        <w:trPr>
          <w:jc w:val="center"/>
        </w:trPr>
        <w:tc>
          <w:tcPr>
            <w:tcW w:w="968" w:type="pct"/>
          </w:tcPr>
          <w:p w14:paraId="6B25DAEC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264C8DEA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8</w:t>
            </w:r>
          </w:p>
        </w:tc>
        <w:tc>
          <w:tcPr>
            <w:tcW w:w="1570" w:type="pct"/>
          </w:tcPr>
          <w:p w14:paraId="61ED1F59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Análisis de gastos por adquisición de materiales y suministros</w:t>
            </w:r>
          </w:p>
        </w:tc>
        <w:tc>
          <w:tcPr>
            <w:tcW w:w="1717" w:type="pct"/>
          </w:tcPr>
          <w:p w14:paraId="60D89543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(1C) Falta de autorización o justificación de las erogaciones</w:t>
            </w:r>
          </w:p>
        </w:tc>
        <w:tc>
          <w:tcPr>
            <w:tcW w:w="746" w:type="pct"/>
          </w:tcPr>
          <w:p w14:paraId="6FE315CF" w14:textId="568AC808" w:rsidR="00C226C5" w:rsidRPr="00C226C5" w:rsidRDefault="00257443" w:rsidP="0025744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Aspectos de Control Interno</w:t>
            </w:r>
          </w:p>
        </w:tc>
      </w:tr>
      <w:tr w:rsidR="00C226C5" w:rsidRPr="00C226C5" w14:paraId="2961987B" w14:textId="77777777" w:rsidTr="001802B9">
        <w:trPr>
          <w:jc w:val="center"/>
        </w:trPr>
        <w:tc>
          <w:tcPr>
            <w:tcW w:w="968" w:type="pct"/>
          </w:tcPr>
          <w:p w14:paraId="2E4867B8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2ABFD297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9</w:t>
            </w:r>
          </w:p>
        </w:tc>
        <w:tc>
          <w:tcPr>
            <w:tcW w:w="1570" w:type="pct"/>
          </w:tcPr>
          <w:p w14:paraId="1BFEAF0B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Análisis de gastos por adquisición de activo fijo</w:t>
            </w:r>
          </w:p>
        </w:tc>
        <w:tc>
          <w:tcPr>
            <w:tcW w:w="1717" w:type="pct"/>
          </w:tcPr>
          <w:p w14:paraId="148DF7B7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(1C) Falta de autorización o justificación de las erogaciones</w:t>
            </w:r>
          </w:p>
        </w:tc>
        <w:tc>
          <w:tcPr>
            <w:tcW w:w="746" w:type="pct"/>
          </w:tcPr>
          <w:p w14:paraId="2564DC3B" w14:textId="77777777" w:rsidR="00C226C5" w:rsidRPr="00C226C5" w:rsidRDefault="00C226C5" w:rsidP="0018059F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8,004.46</w:t>
            </w:r>
          </w:p>
        </w:tc>
      </w:tr>
      <w:tr w:rsidR="00C226C5" w:rsidRPr="00C226C5" w14:paraId="3E551A11" w14:textId="77777777" w:rsidTr="001802B9">
        <w:trPr>
          <w:trHeight w:val="219"/>
          <w:jc w:val="center"/>
        </w:trPr>
        <w:tc>
          <w:tcPr>
            <w:tcW w:w="968" w:type="pct"/>
          </w:tcPr>
          <w:p w14:paraId="20236061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08353DD6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10</w:t>
            </w:r>
          </w:p>
        </w:tc>
        <w:tc>
          <w:tcPr>
            <w:tcW w:w="1570" w:type="pct"/>
          </w:tcPr>
          <w:p w14:paraId="7D91F0FD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Análisis de gastos por adquisición de activo fijo</w:t>
            </w:r>
          </w:p>
        </w:tc>
        <w:tc>
          <w:tcPr>
            <w:tcW w:w="1717" w:type="pct"/>
          </w:tcPr>
          <w:p w14:paraId="62D7073B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(3D) Falta o inadecuada formalización de contratos, convenios o pedidos</w:t>
            </w:r>
          </w:p>
        </w:tc>
        <w:tc>
          <w:tcPr>
            <w:tcW w:w="746" w:type="pct"/>
          </w:tcPr>
          <w:p w14:paraId="6E3D3CDF" w14:textId="4DA07948" w:rsidR="00C226C5" w:rsidRPr="00C226C5" w:rsidRDefault="00257443" w:rsidP="0025744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Cumplimiento Legal</w:t>
            </w:r>
          </w:p>
        </w:tc>
      </w:tr>
      <w:tr w:rsidR="00C226C5" w:rsidRPr="00C226C5" w14:paraId="2F0C7B0E" w14:textId="77777777" w:rsidTr="001802B9">
        <w:trPr>
          <w:trHeight w:val="315"/>
          <w:jc w:val="center"/>
        </w:trPr>
        <w:tc>
          <w:tcPr>
            <w:tcW w:w="968" w:type="pct"/>
          </w:tcPr>
          <w:p w14:paraId="61D5DD1C" w14:textId="77777777" w:rsidR="00C226C5" w:rsidRPr="00C226C5" w:rsidRDefault="00C226C5" w:rsidP="0018059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70" w:type="pct"/>
          </w:tcPr>
          <w:p w14:paraId="64905A54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7" w:type="pct"/>
          </w:tcPr>
          <w:p w14:paraId="10E63C95" w14:textId="77777777" w:rsidR="00C226C5" w:rsidRPr="00C226C5" w:rsidRDefault="00C226C5" w:rsidP="0018059F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746" w:type="pct"/>
          </w:tcPr>
          <w:p w14:paraId="6BAEE177" w14:textId="4EE87699" w:rsidR="00C226C5" w:rsidRPr="00C226C5" w:rsidRDefault="00257443" w:rsidP="0018059F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57443">
              <w:rPr>
                <w:rFonts w:ascii="Arial" w:hAnsi="Arial" w:cs="Arial"/>
                <w:b/>
                <w:sz w:val="18"/>
                <w:szCs w:val="18"/>
              </w:rPr>
              <w:t>$1,277,475.18</w:t>
            </w:r>
          </w:p>
        </w:tc>
      </w:tr>
    </w:tbl>
    <w:p w14:paraId="774B5F9B" w14:textId="1D9032FE" w:rsidR="00C226C5" w:rsidRPr="001802B9" w:rsidRDefault="00C226C5" w:rsidP="00707F2F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7BCBF1CF" w14:textId="21958BF8" w:rsidR="00183532" w:rsidRPr="00761FA3" w:rsidRDefault="000F73BB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B. </w:t>
      </w:r>
      <w:r w:rsidRPr="000F73BB">
        <w:rPr>
          <w:rFonts w:ascii="Arial" w:hAnsi="Arial" w:cs="Arial"/>
          <w:b/>
          <w:bCs/>
        </w:rPr>
        <w:t>Observaciones Determinadas por Auditoría en Materia Financiera, Justificaciones y Aclaraciones de la Entidad Fiscalizada, Acciones y Recomendaciones Emitidas</w:t>
      </w:r>
    </w:p>
    <w:p w14:paraId="5A088CA1" w14:textId="77777777" w:rsidR="00761FA3" w:rsidRPr="001802B9" w:rsidRDefault="00761FA3" w:rsidP="0000347D">
      <w:pPr>
        <w:spacing w:line="276" w:lineRule="auto"/>
        <w:ind w:right="190"/>
        <w:jc w:val="both"/>
        <w:rPr>
          <w:rFonts w:ascii="Arial" w:hAnsi="Arial" w:cs="Arial"/>
          <w:b/>
          <w:sz w:val="22"/>
        </w:rPr>
      </w:pPr>
    </w:p>
    <w:p w14:paraId="1507F533" w14:textId="5C87085A" w:rsidR="00541C99" w:rsidRDefault="00656165" w:rsidP="00736191">
      <w:pPr>
        <w:spacing w:line="360" w:lineRule="auto"/>
        <w:ind w:right="49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 w:rsidR="0033190B"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se realizaron </w:t>
      </w:r>
      <w:r w:rsidR="00541C99" w:rsidRPr="00001B26">
        <w:rPr>
          <w:rFonts w:ascii="Arial" w:hAnsi="Arial" w:cs="Arial"/>
        </w:rPr>
        <w:t>observaciones</w:t>
      </w:r>
      <w:r w:rsidR="00E02928" w:rsidRPr="00001B26">
        <w:rPr>
          <w:rFonts w:ascii="Arial" w:hAnsi="Arial" w:cs="Arial"/>
        </w:rPr>
        <w:t xml:space="preserve"> de las cuales</w:t>
      </w:r>
      <w:r w:rsidR="000A5B90" w:rsidRPr="00001B26">
        <w:rPr>
          <w:rFonts w:ascii="Arial" w:hAnsi="Arial" w:cs="Arial"/>
        </w:rPr>
        <w:t xml:space="preserve"> se recibieron </w:t>
      </w:r>
      <w:proofErr w:type="spellStart"/>
      <w:r w:rsidR="000A5B90" w:rsidRPr="00001B26">
        <w:rPr>
          <w:rFonts w:ascii="Arial" w:hAnsi="Arial" w:cs="Arial"/>
        </w:rPr>
        <w:t>solventaciones</w:t>
      </w:r>
      <w:proofErr w:type="spellEnd"/>
      <w:r w:rsidR="000A5B90" w:rsidRPr="00001B26">
        <w:rPr>
          <w:rFonts w:ascii="Arial" w:hAnsi="Arial" w:cs="Arial"/>
        </w:rPr>
        <w:t xml:space="preserve"> por parte del ente auditado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4" w:name="_Hlk11419841"/>
    </w:p>
    <w:p w14:paraId="26C62254" w14:textId="77777777" w:rsidR="009E0B71" w:rsidRPr="001802B9" w:rsidRDefault="009E0B71" w:rsidP="00736191">
      <w:pPr>
        <w:spacing w:line="360" w:lineRule="auto"/>
        <w:ind w:right="49"/>
        <w:jc w:val="both"/>
        <w:rPr>
          <w:rFonts w:ascii="Arial" w:hAnsi="Arial" w:cs="Arial"/>
        </w:rPr>
      </w:pPr>
    </w:p>
    <w:p w14:paraId="1FA02303" w14:textId="10AF9504" w:rsidR="00C62BA0" w:rsidRPr="00CE2081" w:rsidRDefault="00C62BA0" w:rsidP="00736191">
      <w:pPr>
        <w:spacing w:line="360" w:lineRule="auto"/>
        <w:ind w:right="49"/>
        <w:jc w:val="both"/>
        <w:rPr>
          <w:rFonts w:ascii="Arial" w:hAnsi="Arial" w:cs="Arial"/>
          <w:b/>
        </w:rPr>
      </w:pPr>
      <w:r w:rsidRPr="00CE2081">
        <w:rPr>
          <w:rFonts w:ascii="Arial" w:hAnsi="Arial" w:cs="Arial"/>
          <w:b/>
        </w:rPr>
        <w:t>Egresos</w:t>
      </w:r>
    </w:p>
    <w:p w14:paraId="3AF48396" w14:textId="77777777" w:rsidR="00C62BA0" w:rsidRPr="001802B9" w:rsidRDefault="00C62BA0" w:rsidP="00736191">
      <w:pPr>
        <w:spacing w:line="360" w:lineRule="auto"/>
        <w:ind w:right="49"/>
        <w:jc w:val="both"/>
        <w:rPr>
          <w:rFonts w:ascii="Arial" w:hAnsi="Arial" w:cs="Arial"/>
        </w:rPr>
      </w:pPr>
    </w:p>
    <w:tbl>
      <w:tblPr>
        <w:tblW w:w="9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053"/>
        <w:gridCol w:w="1701"/>
        <w:gridCol w:w="1559"/>
        <w:gridCol w:w="1525"/>
      </w:tblGrid>
      <w:tr w:rsidR="00761FA3" w:rsidRPr="009658B6" w14:paraId="44D31EDB" w14:textId="77777777" w:rsidTr="001802B9">
        <w:trPr>
          <w:trHeight w:val="449"/>
          <w:tblHeader/>
          <w:jc w:val="center"/>
        </w:trPr>
        <w:tc>
          <w:tcPr>
            <w:tcW w:w="9668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bookmarkEnd w:id="13"/>
          <w:p w14:paraId="283643C8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761FA3" w:rsidRPr="009658B6" w14:paraId="6031F0E7" w14:textId="77777777" w:rsidTr="009F7638">
        <w:trPr>
          <w:tblHeader/>
          <w:jc w:val="center"/>
        </w:trPr>
        <w:tc>
          <w:tcPr>
            <w:tcW w:w="2830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AF5281E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Modalidades de Solventación</w:t>
            </w:r>
          </w:p>
        </w:tc>
        <w:tc>
          <w:tcPr>
            <w:tcW w:w="152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9658B6" w14:paraId="3C74268A" w14:textId="77777777" w:rsidTr="009E0B71">
        <w:trPr>
          <w:trHeight w:val="431"/>
          <w:tblHeader/>
          <w:jc w:val="center"/>
        </w:trPr>
        <w:tc>
          <w:tcPr>
            <w:tcW w:w="2830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52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081E" w:rsidRPr="009658B6" w14:paraId="0DBDF427" w14:textId="77777777" w:rsidTr="009F7638">
        <w:trPr>
          <w:trHeight w:val="974"/>
          <w:jc w:val="center"/>
        </w:trPr>
        <w:tc>
          <w:tcPr>
            <w:tcW w:w="2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24E4FDF" w14:textId="2E675FA1" w:rsidR="002043D9" w:rsidRPr="002043D9" w:rsidRDefault="00D8081E" w:rsidP="009F7638">
            <w:pPr>
              <w:spacing w:line="276" w:lineRule="auto"/>
              <w:rPr>
                <w:rFonts w:ascii="Arial" w:hAnsi="Arial" w:cs="Arial"/>
                <w:sz w:val="10"/>
                <w:szCs w:val="20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(1B) Falta de documentación comprobatoria de las erogaciones o que no reúne requisitos fiscales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421A80" w14:textId="7DEFF920" w:rsidR="00D8081E" w:rsidRPr="009658B6" w:rsidRDefault="00D8081E" w:rsidP="00D808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$561,351.43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1A0D52" w14:textId="48BA4E98" w:rsidR="00D8081E" w:rsidRPr="009658B6" w:rsidRDefault="00D8081E" w:rsidP="00D8081E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$561,351.43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67DF25B" w14:textId="79043DB0" w:rsidR="00D8081E" w:rsidRPr="00450537" w:rsidRDefault="00D8081E" w:rsidP="00D8081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537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1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0C98346" w14:textId="50CC5E48" w:rsidR="00D8081E" w:rsidRPr="00450537" w:rsidRDefault="00D8081E" w:rsidP="00D8081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537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</w:tr>
      <w:tr w:rsidR="00257443" w:rsidRPr="009658B6" w14:paraId="347A27CE" w14:textId="77777777" w:rsidTr="009F7638">
        <w:trPr>
          <w:trHeight w:val="527"/>
          <w:jc w:val="center"/>
        </w:trPr>
        <w:tc>
          <w:tcPr>
            <w:tcW w:w="2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4C448C" w14:textId="7A354C4A" w:rsidR="00257443" w:rsidRPr="009658B6" w:rsidRDefault="00257443" w:rsidP="002574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(1C) Falta de autorización o justificación de las erogaciones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EE9A88" w14:textId="1D83C3A3" w:rsidR="00257443" w:rsidRPr="00257443" w:rsidRDefault="00257443" w:rsidP="00257443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443">
              <w:rPr>
                <w:rFonts w:ascii="Arial" w:hAnsi="Arial" w:cs="Arial"/>
                <w:sz w:val="18"/>
                <w:szCs w:val="18"/>
              </w:rPr>
              <w:t>403,097.75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AB2DEC" w14:textId="7D3C8C54" w:rsidR="00257443" w:rsidRPr="009658B6" w:rsidRDefault="00257443" w:rsidP="0025744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443">
              <w:rPr>
                <w:rFonts w:ascii="Arial" w:hAnsi="Arial" w:cs="Arial"/>
                <w:sz w:val="18"/>
                <w:szCs w:val="18"/>
              </w:rPr>
              <w:t>403,097.75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0D7A64" w14:textId="06BFAA8A" w:rsidR="00257443" w:rsidRPr="00450537" w:rsidRDefault="00257443" w:rsidP="00257443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537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1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1D4F5B" w14:textId="01FE3080" w:rsidR="00257443" w:rsidRPr="00450537" w:rsidRDefault="00257443" w:rsidP="00257443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537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</w:tr>
      <w:tr w:rsidR="00257443" w:rsidRPr="009658B6" w14:paraId="21563174" w14:textId="77777777" w:rsidTr="009F7638">
        <w:trPr>
          <w:trHeight w:val="690"/>
          <w:jc w:val="center"/>
        </w:trPr>
        <w:tc>
          <w:tcPr>
            <w:tcW w:w="2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005F111" w14:textId="3EDC36C6" w:rsidR="00257443" w:rsidRPr="009658B6" w:rsidRDefault="00257443" w:rsidP="0025744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(3D) Falta o inadecuada formalización de contratos, convenios o pedidos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EFDB9EA" w14:textId="6ED9E46A" w:rsidR="00257443" w:rsidRPr="00257443" w:rsidRDefault="00257443" w:rsidP="00257443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57443">
              <w:rPr>
                <w:rFonts w:ascii="Arial" w:hAnsi="Arial" w:cs="Arial"/>
                <w:sz w:val="18"/>
                <w:szCs w:val="18"/>
              </w:rPr>
              <w:t>313,026.00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6D254AC" w14:textId="3C7E0481" w:rsidR="00257443" w:rsidRPr="009658B6" w:rsidRDefault="00257443" w:rsidP="0025744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57443">
              <w:rPr>
                <w:rFonts w:ascii="Arial" w:hAnsi="Arial" w:cs="Arial"/>
                <w:sz w:val="18"/>
                <w:szCs w:val="18"/>
              </w:rPr>
              <w:t>313,026.00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E072C44" w14:textId="4A9F8C72" w:rsidR="00257443" w:rsidRPr="00450537" w:rsidRDefault="00257443" w:rsidP="00257443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537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  <w:tc>
          <w:tcPr>
            <w:tcW w:w="1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43A081D" w14:textId="65DBD78A" w:rsidR="00257443" w:rsidRPr="00450537" w:rsidRDefault="00257443" w:rsidP="00257443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50537">
              <w:rPr>
                <w:rFonts w:ascii="Arial" w:hAnsi="Arial" w:cs="Arial"/>
                <w:sz w:val="18"/>
                <w:szCs w:val="18"/>
              </w:rPr>
              <w:t>$0.00</w:t>
            </w:r>
          </w:p>
        </w:tc>
      </w:tr>
      <w:tr w:rsidR="00257443" w:rsidRPr="009658B6" w14:paraId="50698506" w14:textId="77777777" w:rsidTr="009F7638">
        <w:trPr>
          <w:trHeight w:val="419"/>
          <w:jc w:val="center"/>
        </w:trPr>
        <w:tc>
          <w:tcPr>
            <w:tcW w:w="283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77777777" w:rsidR="00257443" w:rsidRPr="009658B6" w:rsidRDefault="00257443" w:rsidP="002574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4064A44" w14:textId="564A0564" w:rsidR="00257443" w:rsidRPr="00257443" w:rsidRDefault="00257443" w:rsidP="002574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7443">
              <w:rPr>
                <w:rFonts w:ascii="Arial" w:hAnsi="Arial" w:cs="Arial"/>
                <w:b/>
                <w:sz w:val="20"/>
                <w:szCs w:val="20"/>
              </w:rPr>
              <w:t>$1,277,475.18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05C0532" w14:textId="363334C3" w:rsidR="00257443" w:rsidRPr="00257443" w:rsidRDefault="00257443" w:rsidP="002574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57443">
              <w:rPr>
                <w:rFonts w:ascii="Arial" w:hAnsi="Arial" w:cs="Arial"/>
                <w:b/>
                <w:sz w:val="20"/>
                <w:szCs w:val="20"/>
              </w:rPr>
              <w:t>$1,277,475.18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540179E" w14:textId="24F1D88C" w:rsidR="00257443" w:rsidRPr="009658B6" w:rsidRDefault="00257443" w:rsidP="0025744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52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D6FB0B" w14:textId="1AC1A4A5" w:rsidR="00257443" w:rsidRPr="009658B6" w:rsidRDefault="00257443" w:rsidP="0025744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143F3BF9" w14:textId="77777777" w:rsidR="00707F2F" w:rsidRPr="00707F2F" w:rsidRDefault="00707F2F" w:rsidP="00B93F1F">
      <w:pPr>
        <w:tabs>
          <w:tab w:val="left" w:pos="426"/>
        </w:tabs>
        <w:spacing w:line="360" w:lineRule="auto"/>
        <w:rPr>
          <w:rFonts w:ascii="Arial" w:hAnsi="Arial" w:cs="Arial"/>
          <w:b/>
          <w:bCs/>
          <w:szCs w:val="28"/>
          <w:highlight w:val="yellow"/>
        </w:rPr>
      </w:pPr>
    </w:p>
    <w:p w14:paraId="411201E8" w14:textId="4FB38D24" w:rsidR="00F16F5B" w:rsidRPr="00443666" w:rsidRDefault="00F16F5B" w:rsidP="00736191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  <w:proofErr w:type="gramStart"/>
      <w:r w:rsidRPr="00443666">
        <w:rPr>
          <w:rFonts w:ascii="Arial" w:hAnsi="Arial" w:cs="Arial"/>
          <w:szCs w:val="28"/>
        </w:rPr>
        <w:t>Asimismo</w:t>
      </w:r>
      <w:proofErr w:type="gramEnd"/>
      <w:r w:rsidRPr="00443666">
        <w:rPr>
          <w:rFonts w:ascii="Arial" w:hAnsi="Arial" w:cs="Arial"/>
          <w:szCs w:val="28"/>
        </w:rPr>
        <w:t xml:space="preserve"> la entidad fiscalizada presentó</w:t>
      </w:r>
      <w:r w:rsidR="0070597C" w:rsidRPr="00443666">
        <w:rPr>
          <w:rFonts w:ascii="Arial" w:hAnsi="Arial" w:cs="Arial"/>
          <w:szCs w:val="28"/>
        </w:rPr>
        <w:t xml:space="preserve"> en</w:t>
      </w:r>
      <w:r w:rsidR="00A55F8C" w:rsidRPr="00443666">
        <w:rPr>
          <w:rFonts w:ascii="Arial" w:hAnsi="Arial" w:cs="Arial"/>
          <w:szCs w:val="28"/>
        </w:rPr>
        <w:t xml:space="preserve"> </w:t>
      </w:r>
      <w:r w:rsidR="0070597C" w:rsidRPr="00443666">
        <w:rPr>
          <w:rFonts w:ascii="Arial" w:hAnsi="Arial" w:cs="Arial"/>
          <w:szCs w:val="28"/>
        </w:rPr>
        <w:t xml:space="preserve">reunión de trabajo </w:t>
      </w:r>
      <w:r w:rsidR="00A55F8C" w:rsidRPr="00443666">
        <w:rPr>
          <w:rFonts w:ascii="Arial" w:hAnsi="Arial" w:cs="Arial"/>
          <w:szCs w:val="28"/>
        </w:rPr>
        <w:t>efectuada</w:t>
      </w:r>
      <w:r w:rsidR="004E302C">
        <w:rPr>
          <w:rFonts w:ascii="Arial" w:hAnsi="Arial" w:cs="Arial"/>
          <w:szCs w:val="28"/>
        </w:rPr>
        <w:t>,</w:t>
      </w:r>
      <w:r w:rsidR="0070597C" w:rsidRPr="00443666">
        <w:rPr>
          <w:rFonts w:ascii="Arial" w:hAnsi="Arial" w:cs="Arial"/>
          <w:szCs w:val="28"/>
        </w:rPr>
        <w:t xml:space="preserve"> </w:t>
      </w:r>
      <w:r w:rsidR="002A670F" w:rsidRPr="00443666">
        <w:rPr>
          <w:rFonts w:ascii="Arial" w:hAnsi="Arial" w:cs="Arial"/>
          <w:szCs w:val="28"/>
        </w:rPr>
        <w:t>las</w:t>
      </w:r>
      <w:r w:rsidR="0070597C" w:rsidRPr="00443666">
        <w:rPr>
          <w:rFonts w:ascii="Arial" w:hAnsi="Arial" w:cs="Arial"/>
          <w:szCs w:val="28"/>
        </w:rPr>
        <w:t xml:space="preserve"> </w:t>
      </w:r>
      <w:r w:rsidRPr="00443666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443666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14:paraId="1EE9135E" w14:textId="7A6C483D" w:rsidR="00025374" w:rsidRDefault="00025374" w:rsidP="00F4493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tbl>
      <w:tblPr>
        <w:tblStyle w:val="Tablaconcuadrcula"/>
        <w:tblW w:w="4903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980"/>
        <w:gridCol w:w="3117"/>
        <w:gridCol w:w="1556"/>
      </w:tblGrid>
      <w:tr w:rsidR="007D6CD6" w:rsidRPr="00C226C5" w14:paraId="77407E75" w14:textId="77777777" w:rsidTr="00C7182C">
        <w:trPr>
          <w:trHeight w:val="660"/>
          <w:tblHeader/>
          <w:jc w:val="center"/>
        </w:trPr>
        <w:tc>
          <w:tcPr>
            <w:tcW w:w="968" w:type="pct"/>
            <w:shd w:val="clear" w:color="auto" w:fill="D0CECE" w:themeFill="background2" w:themeFillShade="E6"/>
            <w:vAlign w:val="center"/>
          </w:tcPr>
          <w:p w14:paraId="71DC6794" w14:textId="77777777" w:rsidR="007D6CD6" w:rsidRPr="00C226C5" w:rsidRDefault="007D6CD6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b/>
                <w:sz w:val="18"/>
                <w:szCs w:val="18"/>
              </w:rPr>
              <w:lastRenderedPageBreak/>
              <w:t>Referencia</w:t>
            </w:r>
          </w:p>
        </w:tc>
        <w:tc>
          <w:tcPr>
            <w:tcW w:w="1570" w:type="pct"/>
            <w:shd w:val="clear" w:color="auto" w:fill="D0CECE" w:themeFill="background2" w:themeFillShade="E6"/>
            <w:vAlign w:val="center"/>
          </w:tcPr>
          <w:p w14:paraId="2F7E9E10" w14:textId="4121FC20" w:rsidR="007D6CD6" w:rsidRPr="00C226C5" w:rsidRDefault="008C61FE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 la Observación</w:t>
            </w:r>
          </w:p>
        </w:tc>
        <w:tc>
          <w:tcPr>
            <w:tcW w:w="1642" w:type="pct"/>
            <w:shd w:val="clear" w:color="auto" w:fill="D0CECE" w:themeFill="background2" w:themeFillShade="E6"/>
            <w:vAlign w:val="center"/>
          </w:tcPr>
          <w:p w14:paraId="2782AB0C" w14:textId="7A43A7B7" w:rsidR="007D6CD6" w:rsidRPr="00C226C5" w:rsidRDefault="008C61FE" w:rsidP="00561629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Síntesis de Justificaciones y Aclaraciones</w:t>
            </w:r>
          </w:p>
        </w:tc>
        <w:tc>
          <w:tcPr>
            <w:tcW w:w="820" w:type="pct"/>
            <w:shd w:val="clear" w:color="auto" w:fill="D0CECE" w:themeFill="background2" w:themeFillShade="E6"/>
            <w:vAlign w:val="center"/>
          </w:tcPr>
          <w:p w14:paraId="51A54B0B" w14:textId="77777777" w:rsidR="008C61FE" w:rsidRPr="004B1BF6" w:rsidRDefault="008C61FE" w:rsidP="008C61FE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Acción Promovida/</w:t>
            </w:r>
          </w:p>
          <w:p w14:paraId="2E1BB020" w14:textId="4D3CB94B" w:rsidR="007D6CD6" w:rsidRPr="00C226C5" w:rsidRDefault="008C61FE" w:rsidP="008C61F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C7182C" w:rsidRPr="00C226C5" w14:paraId="66F603B1" w14:textId="77777777" w:rsidTr="00C7182C">
        <w:trPr>
          <w:jc w:val="center"/>
        </w:trPr>
        <w:tc>
          <w:tcPr>
            <w:tcW w:w="968" w:type="pct"/>
          </w:tcPr>
          <w:p w14:paraId="00404F9C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3E3AC5F3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1</w:t>
            </w:r>
          </w:p>
        </w:tc>
        <w:tc>
          <w:tcPr>
            <w:tcW w:w="1570" w:type="pct"/>
          </w:tcPr>
          <w:p w14:paraId="6FC8D08B" w14:textId="119413F9" w:rsidR="00C7182C" w:rsidRPr="00C226C5" w:rsidRDefault="00C7182C" w:rsidP="00C7182C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Falta de documentación comprobatoria de las erogaciones o que no reúne requisitos fiscales</w:t>
            </w:r>
          </w:p>
        </w:tc>
        <w:tc>
          <w:tcPr>
            <w:tcW w:w="1642" w:type="pct"/>
          </w:tcPr>
          <w:p w14:paraId="05F567D9" w14:textId="72EFCEEE" w:rsidR="00C7182C" w:rsidRPr="00C7182C" w:rsidRDefault="00C7182C" w:rsidP="00C718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329DB358" w14:textId="17BD8C12" w:rsidR="00C7182C" w:rsidRPr="00C7182C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C7182C" w:rsidRPr="00C226C5" w14:paraId="33DE816E" w14:textId="77777777" w:rsidTr="00C7182C">
        <w:trPr>
          <w:jc w:val="center"/>
        </w:trPr>
        <w:tc>
          <w:tcPr>
            <w:tcW w:w="968" w:type="pct"/>
          </w:tcPr>
          <w:p w14:paraId="06F89D82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0ABF2F8A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2</w:t>
            </w:r>
          </w:p>
        </w:tc>
        <w:tc>
          <w:tcPr>
            <w:tcW w:w="1570" w:type="pct"/>
          </w:tcPr>
          <w:p w14:paraId="638F7428" w14:textId="632A68B0" w:rsidR="00C7182C" w:rsidRPr="00C226C5" w:rsidRDefault="00C7182C" w:rsidP="00C7182C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Falta de autorización o justificación de las erogaciones</w:t>
            </w:r>
          </w:p>
        </w:tc>
        <w:tc>
          <w:tcPr>
            <w:tcW w:w="1642" w:type="pct"/>
          </w:tcPr>
          <w:p w14:paraId="1168171F" w14:textId="2D277145" w:rsidR="00C7182C" w:rsidRPr="00C7182C" w:rsidRDefault="00C7182C" w:rsidP="00C718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614BCC03" w14:textId="4534145E" w:rsidR="00C7182C" w:rsidRPr="00C7182C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C7182C" w:rsidRPr="00C226C5" w14:paraId="54F9D9BC" w14:textId="77777777" w:rsidTr="00C7182C">
        <w:trPr>
          <w:trHeight w:val="560"/>
          <w:jc w:val="center"/>
        </w:trPr>
        <w:tc>
          <w:tcPr>
            <w:tcW w:w="968" w:type="pct"/>
          </w:tcPr>
          <w:p w14:paraId="7A1839D7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0E6FE7FE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3</w:t>
            </w:r>
          </w:p>
        </w:tc>
        <w:tc>
          <w:tcPr>
            <w:tcW w:w="1570" w:type="pct"/>
          </w:tcPr>
          <w:p w14:paraId="7623AA8D" w14:textId="21477599" w:rsidR="00C7182C" w:rsidRPr="00C226C5" w:rsidRDefault="00C7182C" w:rsidP="00C7182C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Falta de autorización o justificación de las erogaciones</w:t>
            </w:r>
          </w:p>
        </w:tc>
        <w:tc>
          <w:tcPr>
            <w:tcW w:w="1642" w:type="pct"/>
          </w:tcPr>
          <w:p w14:paraId="5152D4AA" w14:textId="427A5D79" w:rsidR="00C7182C" w:rsidRPr="00C7182C" w:rsidRDefault="00C7182C" w:rsidP="00C718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71B557E5" w14:textId="2AEEC21F" w:rsidR="00C7182C" w:rsidRPr="00C7182C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C7182C" w:rsidRPr="00C226C5" w14:paraId="2E63CD77" w14:textId="77777777" w:rsidTr="00C7182C">
        <w:trPr>
          <w:trHeight w:val="444"/>
          <w:jc w:val="center"/>
        </w:trPr>
        <w:tc>
          <w:tcPr>
            <w:tcW w:w="968" w:type="pct"/>
          </w:tcPr>
          <w:p w14:paraId="1022F0B8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27797A25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4</w:t>
            </w:r>
          </w:p>
        </w:tc>
        <w:tc>
          <w:tcPr>
            <w:tcW w:w="1570" w:type="pct"/>
          </w:tcPr>
          <w:p w14:paraId="7A4F92DD" w14:textId="5230B2A8" w:rsidR="00C7182C" w:rsidRPr="00C226C5" w:rsidRDefault="00C7182C" w:rsidP="00C7182C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Falta de autorización o justificación de las erogaciones</w:t>
            </w:r>
          </w:p>
        </w:tc>
        <w:tc>
          <w:tcPr>
            <w:tcW w:w="1642" w:type="pct"/>
          </w:tcPr>
          <w:p w14:paraId="59C215AE" w14:textId="7C5EC146" w:rsidR="00C7182C" w:rsidRPr="00C7182C" w:rsidRDefault="00C7182C" w:rsidP="00C718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05C6958C" w14:textId="421E6A4F" w:rsidR="00C7182C" w:rsidRPr="00C7182C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C7182C" w:rsidRPr="00C226C5" w14:paraId="06AF63C9" w14:textId="77777777" w:rsidTr="00C7182C">
        <w:trPr>
          <w:trHeight w:val="750"/>
          <w:jc w:val="center"/>
        </w:trPr>
        <w:tc>
          <w:tcPr>
            <w:tcW w:w="968" w:type="pct"/>
          </w:tcPr>
          <w:p w14:paraId="45CE0B26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0C8E7E22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5</w:t>
            </w:r>
          </w:p>
        </w:tc>
        <w:tc>
          <w:tcPr>
            <w:tcW w:w="1570" w:type="pct"/>
          </w:tcPr>
          <w:p w14:paraId="5189A336" w14:textId="597CB17F" w:rsidR="00C7182C" w:rsidRPr="00C226C5" w:rsidRDefault="00C7182C" w:rsidP="00C7182C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Falta o inadecuada formalización de contratos, convenios o pedidos</w:t>
            </w:r>
          </w:p>
        </w:tc>
        <w:tc>
          <w:tcPr>
            <w:tcW w:w="1642" w:type="pct"/>
          </w:tcPr>
          <w:p w14:paraId="284725B0" w14:textId="0AD2F6F2" w:rsidR="00C7182C" w:rsidRPr="00C7182C" w:rsidRDefault="00C7182C" w:rsidP="00C718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4C7D86F6" w14:textId="0E65CBF3" w:rsidR="00C7182C" w:rsidRPr="00C7182C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C7182C" w:rsidRPr="00C226C5" w14:paraId="71742160" w14:textId="77777777" w:rsidTr="00C7182C">
        <w:trPr>
          <w:trHeight w:val="650"/>
          <w:jc w:val="center"/>
        </w:trPr>
        <w:tc>
          <w:tcPr>
            <w:tcW w:w="968" w:type="pct"/>
          </w:tcPr>
          <w:p w14:paraId="1193D663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6F944890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6</w:t>
            </w:r>
          </w:p>
        </w:tc>
        <w:tc>
          <w:tcPr>
            <w:tcW w:w="1570" w:type="pct"/>
          </w:tcPr>
          <w:p w14:paraId="26B0A9C9" w14:textId="50312A5E" w:rsidR="00C7182C" w:rsidRPr="00C226C5" w:rsidRDefault="00C7182C" w:rsidP="00C718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Falta o inadecuada formalización de contratos, convenios o pedidos</w:t>
            </w:r>
          </w:p>
        </w:tc>
        <w:tc>
          <w:tcPr>
            <w:tcW w:w="1642" w:type="pct"/>
          </w:tcPr>
          <w:p w14:paraId="626E4608" w14:textId="2B865BC9" w:rsidR="00C7182C" w:rsidRPr="00C7182C" w:rsidRDefault="00C7182C" w:rsidP="00C718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3B817BB8" w14:textId="321A52C4" w:rsidR="00C7182C" w:rsidRPr="00C7182C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C7182C" w:rsidRPr="00C226C5" w14:paraId="608A7A98" w14:textId="77777777" w:rsidTr="00C7182C">
        <w:trPr>
          <w:jc w:val="center"/>
        </w:trPr>
        <w:tc>
          <w:tcPr>
            <w:tcW w:w="968" w:type="pct"/>
          </w:tcPr>
          <w:p w14:paraId="0F31506C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71E6EC1D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7</w:t>
            </w:r>
          </w:p>
        </w:tc>
        <w:tc>
          <w:tcPr>
            <w:tcW w:w="1570" w:type="pct"/>
          </w:tcPr>
          <w:p w14:paraId="42FD0D2B" w14:textId="389E51C4" w:rsidR="00C7182C" w:rsidRPr="00C226C5" w:rsidRDefault="00C7182C" w:rsidP="00C718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Falta de autorización o justificación de las erogaciones</w:t>
            </w:r>
          </w:p>
        </w:tc>
        <w:tc>
          <w:tcPr>
            <w:tcW w:w="1642" w:type="pct"/>
          </w:tcPr>
          <w:p w14:paraId="00EF158C" w14:textId="193B8327" w:rsidR="00C7182C" w:rsidRPr="00C7182C" w:rsidRDefault="00C7182C" w:rsidP="00C718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6F1A570D" w14:textId="304C1777" w:rsidR="00C7182C" w:rsidRPr="00C7182C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C7182C" w:rsidRPr="00C226C5" w14:paraId="0FCD4F1E" w14:textId="77777777" w:rsidTr="00C7182C">
        <w:trPr>
          <w:jc w:val="center"/>
        </w:trPr>
        <w:tc>
          <w:tcPr>
            <w:tcW w:w="968" w:type="pct"/>
          </w:tcPr>
          <w:p w14:paraId="3B8DFBC0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2</w:t>
            </w:r>
          </w:p>
          <w:p w14:paraId="50FFC91E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8</w:t>
            </w:r>
          </w:p>
        </w:tc>
        <w:tc>
          <w:tcPr>
            <w:tcW w:w="1570" w:type="pct"/>
          </w:tcPr>
          <w:p w14:paraId="7FD371F7" w14:textId="3BDE83FB" w:rsidR="00C7182C" w:rsidRPr="00C226C5" w:rsidRDefault="00C7182C" w:rsidP="00C718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Falta de autorización o justificación de las erogaciones</w:t>
            </w:r>
          </w:p>
        </w:tc>
        <w:tc>
          <w:tcPr>
            <w:tcW w:w="1642" w:type="pct"/>
          </w:tcPr>
          <w:p w14:paraId="6DC80A69" w14:textId="31C079E7" w:rsidR="00C7182C" w:rsidRPr="00C7182C" w:rsidRDefault="00C7182C" w:rsidP="00C718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2E445DC0" w14:textId="2C5E4CE3" w:rsidR="00C7182C" w:rsidRPr="00C7182C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Recomendación</w:t>
            </w:r>
          </w:p>
        </w:tc>
      </w:tr>
      <w:tr w:rsidR="00C7182C" w:rsidRPr="00C226C5" w14:paraId="4EC0BA7A" w14:textId="77777777" w:rsidTr="00C7182C">
        <w:trPr>
          <w:jc w:val="center"/>
        </w:trPr>
        <w:tc>
          <w:tcPr>
            <w:tcW w:w="968" w:type="pct"/>
          </w:tcPr>
          <w:p w14:paraId="5260E67F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6A77839B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9</w:t>
            </w:r>
          </w:p>
        </w:tc>
        <w:tc>
          <w:tcPr>
            <w:tcW w:w="1570" w:type="pct"/>
          </w:tcPr>
          <w:p w14:paraId="0600B99D" w14:textId="1C57F3F0" w:rsidR="00C7182C" w:rsidRPr="00C226C5" w:rsidRDefault="00C7182C" w:rsidP="00C718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Falta de autorización o justificación de las erogaciones</w:t>
            </w:r>
          </w:p>
        </w:tc>
        <w:tc>
          <w:tcPr>
            <w:tcW w:w="1642" w:type="pct"/>
          </w:tcPr>
          <w:p w14:paraId="64DD6984" w14:textId="75AEB55B" w:rsidR="00C7182C" w:rsidRPr="00C7182C" w:rsidRDefault="00C7182C" w:rsidP="00C718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1D25D09C" w14:textId="3D5289DD" w:rsidR="00C7182C" w:rsidRPr="00C7182C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C7182C" w:rsidRPr="00C226C5" w14:paraId="147471C5" w14:textId="77777777" w:rsidTr="00C7182C">
        <w:trPr>
          <w:trHeight w:val="219"/>
          <w:jc w:val="center"/>
        </w:trPr>
        <w:tc>
          <w:tcPr>
            <w:tcW w:w="968" w:type="pct"/>
          </w:tcPr>
          <w:p w14:paraId="52BEB0F0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3</w:t>
            </w:r>
          </w:p>
          <w:p w14:paraId="7896C020" w14:textId="77777777" w:rsidR="00C7182C" w:rsidRPr="00C226C5" w:rsidRDefault="00C7182C" w:rsidP="00C7182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10</w:t>
            </w:r>
          </w:p>
        </w:tc>
        <w:tc>
          <w:tcPr>
            <w:tcW w:w="1570" w:type="pct"/>
          </w:tcPr>
          <w:p w14:paraId="4A557CC4" w14:textId="08500909" w:rsidR="00C7182C" w:rsidRPr="00C226C5" w:rsidRDefault="00C7182C" w:rsidP="00C718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Falta o inadecuada formalización de contratos, convenios o pedidos</w:t>
            </w:r>
          </w:p>
        </w:tc>
        <w:tc>
          <w:tcPr>
            <w:tcW w:w="1642" w:type="pct"/>
          </w:tcPr>
          <w:p w14:paraId="4CA04FD5" w14:textId="527E8A36" w:rsidR="00C7182C" w:rsidRPr="00C7182C" w:rsidRDefault="00C7182C" w:rsidP="00C7182C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3D23760C" w14:textId="7C9C9F64" w:rsidR="00C7182C" w:rsidRPr="00C7182C" w:rsidRDefault="00C7182C" w:rsidP="00C7182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Promoción d</w:t>
            </w:r>
            <w:r w:rsidRPr="00C7182C">
              <w:rPr>
                <w:rFonts w:ascii="Arial" w:hAnsi="Arial" w:cs="Arial"/>
                <w:sz w:val="18"/>
                <w:szCs w:val="18"/>
              </w:rPr>
              <w:t>e Responsabilidad Administrativa Sancionatoria</w:t>
            </w:r>
          </w:p>
        </w:tc>
      </w:tr>
    </w:tbl>
    <w:p w14:paraId="271C54AE" w14:textId="77777777" w:rsidR="007D6CD6" w:rsidRDefault="007D6CD6" w:rsidP="00F4493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bookmarkEnd w:id="14"/>
    <w:p w14:paraId="6424A28D" w14:textId="663D9047" w:rsidR="00112484" w:rsidRPr="001D40E8" w:rsidRDefault="00B93E82" w:rsidP="00B6118B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/>
        </w:rPr>
      </w:pPr>
      <w:r w:rsidRPr="001D40E8">
        <w:rPr>
          <w:rFonts w:ascii="Arial" w:hAnsi="Arial" w:cs="Arial"/>
          <w:b/>
        </w:rPr>
        <w:t>I</w:t>
      </w:r>
      <w:r w:rsidR="00AE5FF6" w:rsidRPr="001D40E8">
        <w:rPr>
          <w:rFonts w:ascii="Arial" w:hAnsi="Arial" w:cs="Arial"/>
          <w:b/>
        </w:rPr>
        <w:t>I</w:t>
      </w:r>
      <w:r w:rsidR="00183532" w:rsidRPr="001D40E8">
        <w:rPr>
          <w:rFonts w:ascii="Arial" w:hAnsi="Arial" w:cs="Arial"/>
          <w:b/>
        </w:rPr>
        <w:t xml:space="preserve">. </w:t>
      </w:r>
      <w:r w:rsidR="004D403C" w:rsidRPr="001D40E8">
        <w:rPr>
          <w:rFonts w:ascii="Arial" w:hAnsi="Arial" w:cs="Arial"/>
          <w:b/>
        </w:rPr>
        <w:t>DICTAMEN DEL INFORME INDIVIDUAL DE AUDITORÍA</w:t>
      </w:r>
    </w:p>
    <w:p w14:paraId="6C7CDD60" w14:textId="77777777" w:rsidR="00BE445E" w:rsidRPr="001D40E8" w:rsidRDefault="00BE445E" w:rsidP="00B6118B">
      <w:pPr>
        <w:tabs>
          <w:tab w:val="left" w:pos="2160"/>
        </w:tabs>
        <w:spacing w:line="360" w:lineRule="auto"/>
        <w:ind w:right="49"/>
        <w:jc w:val="both"/>
        <w:rPr>
          <w:rFonts w:ascii="Arial" w:hAnsi="Arial" w:cs="Arial"/>
          <w:b/>
        </w:rPr>
      </w:pPr>
    </w:p>
    <w:p w14:paraId="3AC06E62" w14:textId="26F6AEEA" w:rsidR="00E024A3" w:rsidRPr="001D40E8" w:rsidRDefault="00E024A3" w:rsidP="00B6118B">
      <w:pPr>
        <w:spacing w:line="360" w:lineRule="auto"/>
        <w:ind w:right="49"/>
        <w:jc w:val="both"/>
        <w:rPr>
          <w:rFonts w:ascii="Arial" w:hAnsi="Arial" w:cs="Arial"/>
        </w:rPr>
      </w:pPr>
      <w:r w:rsidRPr="001D40E8">
        <w:rPr>
          <w:rFonts w:ascii="Arial" w:hAnsi="Arial" w:cs="Arial"/>
        </w:rPr>
        <w:t xml:space="preserve">El presente dictamen se emite el </w:t>
      </w:r>
      <w:r w:rsidR="002A0F1D" w:rsidRPr="001D40E8">
        <w:rPr>
          <w:rFonts w:ascii="Arial" w:hAnsi="Arial" w:cs="Arial"/>
        </w:rPr>
        <w:t>26</w:t>
      </w:r>
      <w:r w:rsidR="009C546C" w:rsidRPr="001D40E8">
        <w:rPr>
          <w:rFonts w:ascii="Arial" w:hAnsi="Arial" w:cs="Arial"/>
        </w:rPr>
        <w:t xml:space="preserve"> de octubre de 2020</w:t>
      </w:r>
      <w:r w:rsidRPr="001D40E8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</w:t>
      </w:r>
      <w:r w:rsidRPr="001D40E8">
        <w:rPr>
          <w:rFonts w:ascii="Arial" w:hAnsi="Arial" w:cs="Arial"/>
        </w:rPr>
        <w:lastRenderedPageBreak/>
        <w:t xml:space="preserve">la Cuenta Pública del ejercicio fiscal </w:t>
      </w:r>
      <w:r w:rsidR="009C546C" w:rsidRPr="001D40E8">
        <w:rPr>
          <w:rFonts w:ascii="Arial" w:hAnsi="Arial" w:cs="Arial"/>
          <w:bCs/>
        </w:rPr>
        <w:t>2019</w:t>
      </w:r>
      <w:r w:rsidRPr="001D40E8">
        <w:rPr>
          <w:rFonts w:ascii="Arial" w:hAnsi="Arial" w:cs="Arial"/>
        </w:rPr>
        <w:t xml:space="preserve">, formulados, integrados y presentados por </w:t>
      </w:r>
      <w:r w:rsidR="004D403C" w:rsidRPr="001D40E8">
        <w:rPr>
          <w:rFonts w:ascii="Arial" w:hAnsi="Arial" w:cs="Arial"/>
        </w:rPr>
        <w:t>el</w:t>
      </w:r>
      <w:r w:rsidRPr="001D40E8">
        <w:rPr>
          <w:rFonts w:ascii="Arial" w:hAnsi="Arial" w:cs="Arial"/>
        </w:rPr>
        <w:t xml:space="preserve"> </w:t>
      </w:r>
      <w:r w:rsidR="001222F4" w:rsidRPr="001D40E8">
        <w:rPr>
          <w:rFonts w:ascii="Arial" w:hAnsi="Arial" w:cs="Arial"/>
          <w:b/>
          <w:bCs/>
        </w:rPr>
        <w:t>Instituto de Planeación de Desarrollo Urbano del Municipio de Benito Juárez</w:t>
      </w:r>
      <w:r w:rsidRPr="001D40E8">
        <w:rPr>
          <w:rFonts w:ascii="Arial" w:hAnsi="Arial" w:cs="Arial"/>
          <w:b/>
          <w:bCs/>
        </w:rPr>
        <w:t>.</w:t>
      </w:r>
    </w:p>
    <w:p w14:paraId="03578969" w14:textId="77777777" w:rsidR="00E024A3" w:rsidRPr="001D40E8" w:rsidRDefault="00E024A3" w:rsidP="00B6118B">
      <w:pPr>
        <w:spacing w:line="360" w:lineRule="auto"/>
        <w:ind w:right="49"/>
        <w:jc w:val="both"/>
        <w:rPr>
          <w:rFonts w:ascii="Arial" w:hAnsi="Arial" w:cs="Arial"/>
        </w:rPr>
      </w:pPr>
    </w:p>
    <w:p w14:paraId="503F3286" w14:textId="5831479E" w:rsidR="00E024A3" w:rsidRPr="001D40E8" w:rsidRDefault="00E024A3" w:rsidP="00B6118B">
      <w:pPr>
        <w:spacing w:line="360" w:lineRule="auto"/>
        <w:ind w:right="49"/>
        <w:jc w:val="both"/>
        <w:rPr>
          <w:rFonts w:ascii="Arial" w:hAnsi="Arial" w:cs="Arial"/>
        </w:rPr>
      </w:pPr>
      <w:r w:rsidRPr="001D40E8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75955FA6" w14:textId="77777777" w:rsidR="009221A6" w:rsidRPr="001D40E8" w:rsidRDefault="009221A6" w:rsidP="00B6118B">
      <w:pPr>
        <w:spacing w:line="360" w:lineRule="auto"/>
        <w:ind w:right="49"/>
        <w:jc w:val="both"/>
        <w:rPr>
          <w:rFonts w:ascii="Arial" w:hAnsi="Arial" w:cs="Arial"/>
        </w:rPr>
      </w:pPr>
    </w:p>
    <w:p w14:paraId="4F3BABC6" w14:textId="387050A9" w:rsidR="00E024A3" w:rsidRPr="001D40E8" w:rsidRDefault="00E024A3" w:rsidP="00B6118B">
      <w:pPr>
        <w:spacing w:line="360" w:lineRule="auto"/>
        <w:ind w:right="49"/>
        <w:jc w:val="both"/>
        <w:rPr>
          <w:rFonts w:ascii="Arial" w:hAnsi="Arial" w:cs="Arial"/>
        </w:rPr>
      </w:pPr>
      <w:r w:rsidRPr="001D40E8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1D40E8">
        <w:rPr>
          <w:rFonts w:ascii="Arial" w:hAnsi="Arial" w:cs="Arial"/>
        </w:rPr>
        <w:t>en</w:t>
      </w:r>
      <w:r w:rsidRPr="001D40E8">
        <w:rPr>
          <w:rFonts w:ascii="Arial" w:hAnsi="Arial" w:cs="Arial"/>
        </w:rPr>
        <w:t xml:space="preserve"> la normatividad de la materia y los Postulados Básicos de Contabilidad Gubernamental</w:t>
      </w:r>
      <w:r w:rsidR="001D40E8">
        <w:rPr>
          <w:rFonts w:ascii="Arial" w:hAnsi="Arial" w:cs="Arial"/>
        </w:rPr>
        <w:t>.</w:t>
      </w:r>
      <w:r w:rsidR="001D40E8" w:rsidRPr="001D40E8">
        <w:t xml:space="preserve"> </w:t>
      </w:r>
      <w:r w:rsidR="001D40E8" w:rsidRPr="001D40E8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auditoria, incluida la evaluación de los riesgos de irregularidad financiera y la materialidad en los estados contables y presupuestarios.</w:t>
      </w:r>
      <w:r w:rsidRPr="001D40E8">
        <w:rPr>
          <w:rFonts w:ascii="Arial" w:hAnsi="Arial" w:cs="Arial"/>
        </w:rPr>
        <w:t xml:space="preserve">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1D40E8">
        <w:rPr>
          <w:rFonts w:ascii="Arial" w:hAnsi="Arial" w:cs="Arial"/>
        </w:rPr>
        <w:t>y</w:t>
      </w:r>
      <w:proofErr w:type="gramEnd"/>
      <w:r w:rsidRPr="001D40E8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746970EA" w14:textId="77777777" w:rsidR="000F2DD8" w:rsidRPr="001D40E8" w:rsidRDefault="000F2DD8" w:rsidP="00B6118B">
      <w:pPr>
        <w:spacing w:line="360" w:lineRule="auto"/>
        <w:ind w:right="49"/>
        <w:jc w:val="both"/>
        <w:rPr>
          <w:rFonts w:ascii="Arial" w:hAnsi="Arial" w:cs="Arial"/>
        </w:rPr>
      </w:pPr>
    </w:p>
    <w:p w14:paraId="655F996B" w14:textId="1B59EFCA" w:rsidR="00125128" w:rsidRDefault="00125128" w:rsidP="00B6118B">
      <w:pPr>
        <w:spacing w:line="360" w:lineRule="auto"/>
        <w:ind w:right="49"/>
        <w:jc w:val="both"/>
        <w:rPr>
          <w:rFonts w:ascii="Arial" w:hAnsi="Arial" w:cs="Arial"/>
        </w:rPr>
      </w:pPr>
      <w:r w:rsidRPr="001D40E8">
        <w:rPr>
          <w:rFonts w:ascii="Arial" w:hAnsi="Arial" w:cs="Arial"/>
        </w:rPr>
        <w:t xml:space="preserve">Con base en los resultados obtenidos en la auditoría practicada al </w:t>
      </w:r>
      <w:r w:rsidRPr="001D40E8">
        <w:rPr>
          <w:rFonts w:ascii="Arial" w:hAnsi="Arial" w:cs="Arial"/>
          <w:b/>
          <w:bCs/>
        </w:rPr>
        <w:t>Instituto de Planeación de Desarrollo Urbano del Municipio de Benito Juárez</w:t>
      </w:r>
      <w:r w:rsidRPr="001D40E8">
        <w:rPr>
          <w:rFonts w:ascii="Arial" w:hAnsi="Arial" w:cs="Arial"/>
        </w:rPr>
        <w:t>,</w:t>
      </w:r>
      <w:r w:rsidRPr="001D40E8">
        <w:rPr>
          <w:rFonts w:ascii="Arial" w:hAnsi="Arial" w:cs="Arial"/>
          <w:b/>
        </w:rPr>
        <w:t xml:space="preserve"> </w:t>
      </w:r>
      <w:r w:rsidRPr="001D40E8">
        <w:rPr>
          <w:rFonts w:ascii="Arial" w:hAnsi="Arial" w:cs="Arial"/>
        </w:rPr>
        <w:t xml:space="preserve">número </w:t>
      </w:r>
      <w:r w:rsidR="004D403C" w:rsidRPr="001D40E8">
        <w:rPr>
          <w:rFonts w:ascii="Arial" w:hAnsi="Arial" w:cs="Arial"/>
          <w:b/>
        </w:rPr>
        <w:t>19-AEMF-E-GOB-085-</w:t>
      </w:r>
      <w:r w:rsidR="004D403C" w:rsidRPr="001D40E8">
        <w:rPr>
          <w:rFonts w:ascii="Arial" w:hAnsi="Arial" w:cs="Arial"/>
          <w:b/>
        </w:rPr>
        <w:lastRenderedPageBreak/>
        <w:t>216</w:t>
      </w:r>
      <w:r w:rsidRPr="001D40E8">
        <w:rPr>
          <w:rFonts w:ascii="Arial" w:hAnsi="Arial" w:cs="Arial"/>
        </w:rPr>
        <w:t xml:space="preserve">, denominada </w:t>
      </w:r>
      <w:r w:rsidRPr="001D40E8">
        <w:rPr>
          <w:rFonts w:ascii="Arial" w:hAnsi="Arial" w:cs="Arial"/>
          <w:bCs/>
        </w:rPr>
        <w:t>“Auditoría de Cumplimiento Financiero de Ingresos y Otros Beneficios; Gastos y Otras Pérdidas”</w:t>
      </w:r>
      <w:r w:rsidRPr="001D40E8">
        <w:rPr>
          <w:rFonts w:ascii="Arial" w:hAnsi="Arial" w:cs="Arial"/>
        </w:rPr>
        <w:t>, cuyo objetivo fue f</w:t>
      </w:r>
      <w:r w:rsidRPr="001D40E8">
        <w:rPr>
          <w:rFonts w:ascii="Arial" w:hAnsi="Arial" w:cs="Arial"/>
          <w:bCs/>
        </w:rPr>
        <w:t>iscalizar la gestión financiera para comprobar el cumplimiento de lo dispuesto en los Presupuestos de Ingresos y Egresos</w:t>
      </w:r>
      <w:r w:rsidR="009221A6" w:rsidRPr="001D40E8">
        <w:rPr>
          <w:rFonts w:ascii="Arial" w:hAnsi="Arial" w:cs="Arial"/>
          <w:bCs/>
        </w:rPr>
        <w:t xml:space="preserve"> del </w:t>
      </w:r>
      <w:r w:rsidR="009221A6" w:rsidRPr="001D40E8">
        <w:rPr>
          <w:rFonts w:ascii="Arial" w:hAnsi="Arial" w:cs="Arial"/>
          <w:b/>
          <w:bCs/>
        </w:rPr>
        <w:t xml:space="preserve">Instituto de Planeación de Desarrollo Urbano del Municipio de Benito Juárez </w:t>
      </w:r>
      <w:r w:rsidR="009221A6" w:rsidRPr="001D40E8">
        <w:rPr>
          <w:rFonts w:ascii="Arial" w:hAnsi="Arial" w:cs="Arial"/>
          <w:bCs/>
        </w:rPr>
        <w:t>para el ejercicio fiscal 2019</w:t>
      </w:r>
      <w:r w:rsidRPr="001D40E8">
        <w:rPr>
          <w:rFonts w:ascii="Arial" w:hAnsi="Arial" w:cs="Arial"/>
          <w:bCs/>
        </w:rPr>
        <w:t>, y demás disposiciones legales aplicables, en cuanto a los ingresos y gastos públicos, incluyendo la revisión del manejo, la custodia y la aplicación de recursos públicos municipales y propios, así como de la demás información, financiera, contable, patrimonial, presupuestaria y programática, conforme las disposiciones aplicables,</w:t>
      </w:r>
      <w:r w:rsidRPr="001D40E8">
        <w:rPr>
          <w:rFonts w:ascii="Arial" w:hAnsi="Arial" w:cs="Arial"/>
        </w:rPr>
        <w:t xml:space="preserve"> para verificar que el presupuesto asignado al </w:t>
      </w:r>
      <w:r w:rsidR="004F2061" w:rsidRPr="001D40E8">
        <w:rPr>
          <w:rFonts w:ascii="Arial" w:hAnsi="Arial" w:cs="Arial"/>
          <w:b/>
          <w:bCs/>
        </w:rPr>
        <w:t>Instituto de Planeación de Desarrollo Urbano del Municipio de Benito Juárez</w:t>
      </w:r>
      <w:r w:rsidRPr="001D40E8">
        <w:rPr>
          <w:rFonts w:ascii="Arial" w:hAnsi="Arial" w:cs="Arial"/>
        </w:rPr>
        <w:t xml:space="preserve">, se haya ejercido y registrado conforme a los montos aprobados, y específicamente, respecto de la muestra auditada señalada en el apartado relativo al alcance, en nuestra opinión se concluye que en términos generales, el </w:t>
      </w:r>
      <w:r w:rsidR="004F2061" w:rsidRPr="001D40E8">
        <w:rPr>
          <w:rFonts w:ascii="Arial" w:hAnsi="Arial" w:cs="Arial"/>
          <w:b/>
          <w:bCs/>
        </w:rPr>
        <w:t>Instituto de Planeación de Desarrollo Urbano del Municipio de Benito Juárez</w:t>
      </w:r>
      <w:r w:rsidRPr="001D40E8">
        <w:rPr>
          <w:rFonts w:ascii="Arial" w:hAnsi="Arial" w:cs="Arial"/>
        </w:rPr>
        <w:t xml:space="preserve"> cumplió con las disposiciones legales y normativas que son aplicables en la materia</w:t>
      </w:r>
      <w:r w:rsidR="00957E37">
        <w:rPr>
          <w:rFonts w:ascii="Arial" w:hAnsi="Arial" w:cs="Arial"/>
        </w:rPr>
        <w:t>.</w:t>
      </w:r>
      <w:r w:rsidR="00116A5A" w:rsidRPr="001D40E8">
        <w:rPr>
          <w:rFonts w:ascii="Arial" w:hAnsi="Arial" w:cs="Arial"/>
        </w:rPr>
        <w:t xml:space="preserve"> </w:t>
      </w:r>
    </w:p>
    <w:p w14:paraId="6450E21C" w14:textId="77777777" w:rsidR="00957E37" w:rsidRPr="001D40E8" w:rsidRDefault="00957E37" w:rsidP="00B6118B">
      <w:pPr>
        <w:spacing w:line="360" w:lineRule="auto"/>
        <w:ind w:right="49"/>
        <w:jc w:val="both"/>
        <w:rPr>
          <w:rFonts w:ascii="Arial" w:hAnsi="Arial" w:cs="Arial"/>
        </w:rPr>
      </w:pPr>
    </w:p>
    <w:p w14:paraId="0AC93F1B" w14:textId="77777777" w:rsidR="000D2418" w:rsidRPr="00E024A3" w:rsidRDefault="000D2418" w:rsidP="000D2418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acciones y recomendaciones emitidas quedarán formalmente promovidas a partir de la notificación del Informe Individual de Auditoría al ente </w:t>
      </w:r>
      <w:proofErr w:type="spellStart"/>
      <w:r w:rsidRPr="00E024A3">
        <w:rPr>
          <w:rFonts w:ascii="Arial" w:hAnsi="Arial" w:cs="Arial"/>
        </w:rPr>
        <w:t>fiscalizado</w:t>
      </w:r>
      <w:proofErr w:type="spellEnd"/>
      <w:r w:rsidRPr="00E024A3">
        <w:rPr>
          <w:rFonts w:ascii="Arial" w:hAnsi="Arial" w:cs="Arial"/>
        </w:rPr>
        <w:t>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así como las mejoras realizadas y las acciones emprendidas por las recomendaciones, realizando las consideraciones pertinentes de acuerdo a la Ley de Fiscalización y Rendición de Cuentas del Estado de Quintana Roo.</w:t>
      </w:r>
    </w:p>
    <w:p w14:paraId="0AFD9E3A" w14:textId="2AE8E34C" w:rsidR="00125128" w:rsidRPr="001D40E8" w:rsidRDefault="00125128" w:rsidP="00125128">
      <w:pPr>
        <w:spacing w:line="360" w:lineRule="auto"/>
        <w:ind w:right="49"/>
        <w:jc w:val="both"/>
        <w:rPr>
          <w:rFonts w:ascii="Arial" w:hAnsi="Arial" w:cs="Arial"/>
        </w:rPr>
      </w:pPr>
    </w:p>
    <w:p w14:paraId="3EABC23B" w14:textId="77777777" w:rsidR="00125128" w:rsidRPr="001D40E8" w:rsidRDefault="00125128" w:rsidP="00125128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1D40E8">
        <w:rPr>
          <w:rFonts w:ascii="Arial" w:hAnsi="Arial" w:cs="Arial"/>
          <w:b/>
        </w:rPr>
        <w:t>EL AUDITOR SUPERIOR DEL ESTADO</w:t>
      </w:r>
    </w:p>
    <w:p w14:paraId="5E471CE3" w14:textId="77777777" w:rsidR="00125128" w:rsidRPr="001D40E8" w:rsidRDefault="00125128" w:rsidP="00125128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692C06EE" w14:textId="77777777" w:rsidR="00125128" w:rsidRPr="001D40E8" w:rsidRDefault="00125128" w:rsidP="00125128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75C43A8A" w14:textId="639E62FF" w:rsidR="0060250B" w:rsidRPr="005677C1" w:rsidRDefault="00125128" w:rsidP="005677C1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1D40E8">
        <w:rPr>
          <w:rFonts w:ascii="Arial" w:hAnsi="Arial" w:cs="Arial"/>
          <w:b/>
        </w:rPr>
        <w:t>L.C.C. MANUEL PALACIOS HERRERA</w:t>
      </w:r>
    </w:p>
    <w:sectPr w:rsidR="0060250B" w:rsidRPr="005677C1" w:rsidSect="000F5895">
      <w:headerReference w:type="default" r:id="rId8"/>
      <w:footerReference w:type="even" r:id="rId9"/>
      <w:footerReference w:type="default" r:id="rId10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88BF4" w14:textId="77777777" w:rsidR="00C1186D" w:rsidRDefault="00C1186D">
      <w:r>
        <w:separator/>
      </w:r>
    </w:p>
  </w:endnote>
  <w:endnote w:type="continuationSeparator" w:id="0">
    <w:p w14:paraId="487D723B" w14:textId="77777777" w:rsidR="00C1186D" w:rsidRDefault="00C1186D">
      <w:r>
        <w:continuationSeparator/>
      </w:r>
    </w:p>
  </w:endnote>
  <w:endnote w:type="continuationNotice" w:id="1">
    <w:p w14:paraId="416B2CA5" w14:textId="77777777" w:rsidR="00C1186D" w:rsidRDefault="00C118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9F70A" w14:textId="77777777" w:rsidR="001802B9" w:rsidRDefault="001802B9">
    <w:pPr>
      <w:pStyle w:val="Piedepgina"/>
    </w:pPr>
  </w:p>
  <w:p w14:paraId="48EC363F" w14:textId="77777777" w:rsidR="001802B9" w:rsidRDefault="001802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64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764"/>
    </w:tblGrid>
    <w:tr w:rsidR="001802B9" w:rsidRPr="00D875E2" w14:paraId="4AB64A37" w14:textId="77777777" w:rsidTr="001E35DB">
      <w:trPr>
        <w:trHeight w:val="367"/>
      </w:trPr>
      <w:tc>
        <w:tcPr>
          <w:tcW w:w="9764" w:type="dxa"/>
          <w:shd w:val="clear" w:color="auto" w:fill="auto"/>
        </w:tcPr>
        <w:p w14:paraId="478B6BE0" w14:textId="77777777" w:rsidR="001802B9" w:rsidRPr="005106B8" w:rsidRDefault="001802B9" w:rsidP="008532E7">
          <w:pPr>
            <w:rPr>
              <w:rStyle w:val="nfasis"/>
              <w:i w:val="0"/>
              <w:iCs w:val="0"/>
              <w:sz w:val="14"/>
            </w:rPr>
          </w:pPr>
        </w:p>
      </w:tc>
    </w:tr>
  </w:tbl>
  <w:p w14:paraId="4E49F1A7" w14:textId="51731171" w:rsidR="001802B9" w:rsidRPr="00880D13" w:rsidRDefault="001802B9" w:rsidP="00801BB1">
    <w:pPr>
      <w:pStyle w:val="Piedepgina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  <w:lang w:val="es-ES"/>
      </w:rPr>
      <w:t xml:space="preserve">         </w:t>
    </w:r>
    <w:r>
      <w:rPr>
        <w:rFonts w:ascii="Arial" w:hAnsi="Arial" w:cs="Arial"/>
        <w:b/>
        <w:sz w:val="18"/>
        <w:szCs w:val="18"/>
        <w:lang w:val="es-ES"/>
      </w:rPr>
      <w:tab/>
    </w:r>
    <w:r>
      <w:rPr>
        <w:rFonts w:ascii="Arial" w:hAnsi="Arial" w:cs="Arial"/>
        <w:b/>
        <w:sz w:val="18"/>
        <w:szCs w:val="18"/>
        <w:lang w:val="es-ES"/>
      </w:rPr>
      <w:tab/>
    </w: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4E302C">
      <w:rPr>
        <w:rFonts w:ascii="Arial" w:hAnsi="Arial" w:cs="Arial"/>
        <w:b/>
        <w:bCs/>
        <w:noProof/>
        <w:sz w:val="18"/>
        <w:szCs w:val="18"/>
        <w:lang w:val="es-ES"/>
      </w:rPr>
      <w:t>1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4E302C">
      <w:rPr>
        <w:rFonts w:ascii="Arial" w:hAnsi="Arial" w:cs="Arial"/>
        <w:b/>
        <w:bCs/>
        <w:noProof/>
        <w:sz w:val="18"/>
        <w:szCs w:val="18"/>
        <w:lang w:val="es-ES"/>
      </w:rPr>
      <w:t>17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2BF8C" w14:textId="77777777" w:rsidR="00C1186D" w:rsidRDefault="00C1186D">
      <w:r>
        <w:separator/>
      </w:r>
    </w:p>
  </w:footnote>
  <w:footnote w:type="continuationSeparator" w:id="0">
    <w:p w14:paraId="7F684CD0" w14:textId="77777777" w:rsidR="00C1186D" w:rsidRDefault="00C1186D">
      <w:r>
        <w:continuationSeparator/>
      </w:r>
    </w:p>
  </w:footnote>
  <w:footnote w:type="continuationNotice" w:id="1">
    <w:p w14:paraId="4757E7C6" w14:textId="77777777" w:rsidR="00C1186D" w:rsidRDefault="00C118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6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97"/>
      <w:gridCol w:w="5568"/>
      <w:gridCol w:w="2071"/>
    </w:tblGrid>
    <w:tr w:rsidR="001802B9" w:rsidRPr="006F757C" w14:paraId="1C70C49D" w14:textId="77777777" w:rsidTr="001E35DB">
      <w:trPr>
        <w:trHeight w:val="218"/>
      </w:trPr>
      <w:tc>
        <w:tcPr>
          <w:tcW w:w="2097" w:type="dxa"/>
          <w:vAlign w:val="center"/>
        </w:tcPr>
        <w:p w14:paraId="0C20FB24" w14:textId="77777777" w:rsidR="001802B9" w:rsidRPr="00CF3DF4" w:rsidRDefault="001802B9" w:rsidP="001E35DB">
          <w:pPr>
            <w:tabs>
              <w:tab w:val="center" w:pos="4419"/>
              <w:tab w:val="right" w:pos="8838"/>
            </w:tabs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568" w:type="dxa"/>
          <w:vAlign w:val="center"/>
        </w:tcPr>
        <w:p w14:paraId="684F3A5D" w14:textId="77777777" w:rsidR="001802B9" w:rsidRPr="00CF3DF4" w:rsidRDefault="001802B9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71" w:type="dxa"/>
          <w:vAlign w:val="center"/>
        </w:tcPr>
        <w:p w14:paraId="427EFB05" w14:textId="654E86CF" w:rsidR="001802B9" w:rsidRPr="00207E4F" w:rsidRDefault="001802B9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  <w:r w:rsidRPr="00207E4F">
            <w:rPr>
              <w:rFonts w:ascii="Arial" w:hAnsi="Arial" w:cs="Arial"/>
              <w:noProof/>
              <w:sz w:val="16"/>
              <w:szCs w:val="16"/>
              <w:lang w:eastAsia="es-MX"/>
            </w:rPr>
            <w:t>AEMF-FO-009-R01</w:t>
          </w:r>
        </w:p>
      </w:tc>
    </w:tr>
    <w:tr w:rsidR="001802B9" w:rsidRPr="003316E8" w14:paraId="49BEFB96" w14:textId="77777777" w:rsidTr="001E35DB">
      <w:trPr>
        <w:trHeight w:val="2024"/>
      </w:trPr>
      <w:tc>
        <w:tcPr>
          <w:tcW w:w="2097" w:type="dxa"/>
          <w:vAlign w:val="center"/>
          <w:hideMark/>
        </w:tcPr>
        <w:p w14:paraId="2D336DB0" w14:textId="0B5ECC88" w:rsidR="001802B9" w:rsidRPr="003316E8" w:rsidRDefault="001802B9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4ED93707" wp14:editId="474B2B99">
                <wp:extent cx="885825" cy="1231240"/>
                <wp:effectExtent l="0" t="0" r="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68" w:type="dxa"/>
          <w:vAlign w:val="center"/>
          <w:hideMark/>
        </w:tcPr>
        <w:p w14:paraId="2903CAB0" w14:textId="77777777" w:rsidR="001802B9" w:rsidRDefault="001802B9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11837BEF" w14:textId="77777777" w:rsidR="001802B9" w:rsidRPr="003316E8" w:rsidRDefault="001802B9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71" w:type="dxa"/>
          <w:vAlign w:val="center"/>
          <w:hideMark/>
        </w:tcPr>
        <w:p w14:paraId="7C3649ED" w14:textId="77777777" w:rsidR="001802B9" w:rsidRPr="003316E8" w:rsidRDefault="001802B9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2DC8F6AB" wp14:editId="11ABBABE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802B9" w:rsidRPr="003316E8" w14:paraId="7D2EED08" w14:textId="77777777" w:rsidTr="001E35DB">
      <w:trPr>
        <w:trHeight w:val="109"/>
      </w:trPr>
      <w:tc>
        <w:tcPr>
          <w:tcW w:w="209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EC69850" w14:textId="77777777" w:rsidR="001802B9" w:rsidRPr="003316E8" w:rsidRDefault="001802B9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568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3CE0156" w14:textId="77777777" w:rsidR="001802B9" w:rsidRPr="003316E8" w:rsidRDefault="001802B9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71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1163CFF" w14:textId="77777777" w:rsidR="001802B9" w:rsidRPr="003316E8" w:rsidRDefault="001802B9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A9CFF26" w14:textId="77777777" w:rsidR="001802B9" w:rsidRPr="003C2FE7" w:rsidRDefault="001802B9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6"/>
  </w:num>
  <w:num w:numId="6">
    <w:abstractNumId w:val="7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18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D99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961"/>
    <w:rsid w:val="00016B06"/>
    <w:rsid w:val="00016B70"/>
    <w:rsid w:val="00016E14"/>
    <w:rsid w:val="00017F67"/>
    <w:rsid w:val="00017FCA"/>
    <w:rsid w:val="00020BA8"/>
    <w:rsid w:val="00020F17"/>
    <w:rsid w:val="00021670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5374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6AAE"/>
    <w:rsid w:val="00057151"/>
    <w:rsid w:val="00057542"/>
    <w:rsid w:val="000579FE"/>
    <w:rsid w:val="00060AE7"/>
    <w:rsid w:val="00060E1E"/>
    <w:rsid w:val="00061C2B"/>
    <w:rsid w:val="000639F3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675D"/>
    <w:rsid w:val="00070DAC"/>
    <w:rsid w:val="00070DE6"/>
    <w:rsid w:val="00072578"/>
    <w:rsid w:val="00072BEF"/>
    <w:rsid w:val="00073637"/>
    <w:rsid w:val="00073C40"/>
    <w:rsid w:val="000747BF"/>
    <w:rsid w:val="00075601"/>
    <w:rsid w:val="00077A67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4E39"/>
    <w:rsid w:val="000854A5"/>
    <w:rsid w:val="00085682"/>
    <w:rsid w:val="000858B0"/>
    <w:rsid w:val="000860D3"/>
    <w:rsid w:val="00086D09"/>
    <w:rsid w:val="00086E0F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0F6"/>
    <w:rsid w:val="000968B9"/>
    <w:rsid w:val="00096C51"/>
    <w:rsid w:val="00097EC4"/>
    <w:rsid w:val="00097F6F"/>
    <w:rsid w:val="000A063B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574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02B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418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DD8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38F"/>
    <w:rsid w:val="000F73BB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A5A"/>
    <w:rsid w:val="00116D21"/>
    <w:rsid w:val="00117FAD"/>
    <w:rsid w:val="001207F3"/>
    <w:rsid w:val="0012096C"/>
    <w:rsid w:val="00120E9B"/>
    <w:rsid w:val="0012139F"/>
    <w:rsid w:val="001222F4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128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1D54"/>
    <w:rsid w:val="001423EB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BB"/>
    <w:rsid w:val="00147304"/>
    <w:rsid w:val="00147DB1"/>
    <w:rsid w:val="00150790"/>
    <w:rsid w:val="00150B34"/>
    <w:rsid w:val="0015102B"/>
    <w:rsid w:val="00151CA2"/>
    <w:rsid w:val="00151DF1"/>
    <w:rsid w:val="001520D6"/>
    <w:rsid w:val="00152310"/>
    <w:rsid w:val="00152CEE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1CE0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6D27"/>
    <w:rsid w:val="001775AF"/>
    <w:rsid w:val="00177D30"/>
    <w:rsid w:val="00177E0A"/>
    <w:rsid w:val="001802B9"/>
    <w:rsid w:val="0018059F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466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3D01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07CF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40E8"/>
    <w:rsid w:val="001D5367"/>
    <w:rsid w:val="001D5685"/>
    <w:rsid w:val="001D58B4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5D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3D9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5A1E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43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A0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75B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80"/>
    <w:rsid w:val="00277ADD"/>
    <w:rsid w:val="00277D62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0F1D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79C"/>
    <w:rsid w:val="002B0D9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6C8B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E20"/>
    <w:rsid w:val="002D0F83"/>
    <w:rsid w:val="002D161B"/>
    <w:rsid w:val="002D1923"/>
    <w:rsid w:val="002D19D6"/>
    <w:rsid w:val="002D1C41"/>
    <w:rsid w:val="002D1D9B"/>
    <w:rsid w:val="002D2413"/>
    <w:rsid w:val="002D25B1"/>
    <w:rsid w:val="002D2A47"/>
    <w:rsid w:val="002D2C23"/>
    <w:rsid w:val="002D30CE"/>
    <w:rsid w:val="002D33E3"/>
    <w:rsid w:val="002D341E"/>
    <w:rsid w:val="002D3ACE"/>
    <w:rsid w:val="002D3B05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56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BD8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53BC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88E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29A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2E29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73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5E2F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06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869"/>
    <w:rsid w:val="003579A8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6A0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044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3AD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486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552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1614"/>
    <w:rsid w:val="0044354A"/>
    <w:rsid w:val="00443666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537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579A3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45C4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3AD"/>
    <w:rsid w:val="00484462"/>
    <w:rsid w:val="00484472"/>
    <w:rsid w:val="00484636"/>
    <w:rsid w:val="004846C5"/>
    <w:rsid w:val="00484A28"/>
    <w:rsid w:val="00484B74"/>
    <w:rsid w:val="00484BFA"/>
    <w:rsid w:val="00485383"/>
    <w:rsid w:val="0048557F"/>
    <w:rsid w:val="004857A7"/>
    <w:rsid w:val="00485962"/>
    <w:rsid w:val="00485E6A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2A37"/>
    <w:rsid w:val="00493994"/>
    <w:rsid w:val="00493C3F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D9D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403C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02C"/>
    <w:rsid w:val="004E319E"/>
    <w:rsid w:val="004E32DA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061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6B8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5E17"/>
    <w:rsid w:val="00536763"/>
    <w:rsid w:val="005377EE"/>
    <w:rsid w:val="00537E62"/>
    <w:rsid w:val="00540143"/>
    <w:rsid w:val="00540194"/>
    <w:rsid w:val="005401DA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877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7C1"/>
    <w:rsid w:val="00567820"/>
    <w:rsid w:val="0056791A"/>
    <w:rsid w:val="005701AD"/>
    <w:rsid w:val="00571E3C"/>
    <w:rsid w:val="005727B2"/>
    <w:rsid w:val="00572B42"/>
    <w:rsid w:val="00572B51"/>
    <w:rsid w:val="005735C2"/>
    <w:rsid w:val="0057398E"/>
    <w:rsid w:val="005747A4"/>
    <w:rsid w:val="0057497A"/>
    <w:rsid w:val="0057500B"/>
    <w:rsid w:val="00576976"/>
    <w:rsid w:val="00576FE9"/>
    <w:rsid w:val="005770B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0B8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0FE"/>
    <w:rsid w:val="005A42B2"/>
    <w:rsid w:val="005A4458"/>
    <w:rsid w:val="005A4806"/>
    <w:rsid w:val="005A58CC"/>
    <w:rsid w:val="005A603D"/>
    <w:rsid w:val="005A60BF"/>
    <w:rsid w:val="005A6A37"/>
    <w:rsid w:val="005A6C46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0B9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2F5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8EA"/>
    <w:rsid w:val="005D4AD7"/>
    <w:rsid w:val="005D5276"/>
    <w:rsid w:val="005D6463"/>
    <w:rsid w:val="005D6E45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6CD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3DA"/>
    <w:rsid w:val="00624C96"/>
    <w:rsid w:val="00624FA0"/>
    <w:rsid w:val="00624FFD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02C"/>
    <w:rsid w:val="0063027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865"/>
    <w:rsid w:val="00637FFA"/>
    <w:rsid w:val="006402B2"/>
    <w:rsid w:val="006407F4"/>
    <w:rsid w:val="00640CCA"/>
    <w:rsid w:val="00640FF7"/>
    <w:rsid w:val="00641469"/>
    <w:rsid w:val="006418B9"/>
    <w:rsid w:val="00641AA0"/>
    <w:rsid w:val="00641B5A"/>
    <w:rsid w:val="006424E9"/>
    <w:rsid w:val="006427F1"/>
    <w:rsid w:val="00643084"/>
    <w:rsid w:val="006432B2"/>
    <w:rsid w:val="00643D09"/>
    <w:rsid w:val="0064406D"/>
    <w:rsid w:val="00644127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4D8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79"/>
    <w:rsid w:val="00680EAC"/>
    <w:rsid w:val="00681C7C"/>
    <w:rsid w:val="00681E55"/>
    <w:rsid w:val="0068254F"/>
    <w:rsid w:val="00682645"/>
    <w:rsid w:val="00682F51"/>
    <w:rsid w:val="00683B19"/>
    <w:rsid w:val="00683EE5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578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0CA"/>
    <w:rsid w:val="006B52CB"/>
    <w:rsid w:val="006B5546"/>
    <w:rsid w:val="006B5612"/>
    <w:rsid w:val="006B5F7F"/>
    <w:rsid w:val="006B7552"/>
    <w:rsid w:val="006B7779"/>
    <w:rsid w:val="006B7CD7"/>
    <w:rsid w:val="006B7E0B"/>
    <w:rsid w:val="006B7E37"/>
    <w:rsid w:val="006C07F4"/>
    <w:rsid w:val="006C0BC7"/>
    <w:rsid w:val="006C0DDC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6EC0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635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D62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191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0F21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5B0F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528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1E9D"/>
    <w:rsid w:val="007C285E"/>
    <w:rsid w:val="007C2C14"/>
    <w:rsid w:val="007C2CAB"/>
    <w:rsid w:val="007C2D45"/>
    <w:rsid w:val="007C33BF"/>
    <w:rsid w:val="007C3609"/>
    <w:rsid w:val="007C37B0"/>
    <w:rsid w:val="007C3B2D"/>
    <w:rsid w:val="007C3F55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2EA3"/>
    <w:rsid w:val="007D3A8B"/>
    <w:rsid w:val="007D48A8"/>
    <w:rsid w:val="007D5179"/>
    <w:rsid w:val="007D545A"/>
    <w:rsid w:val="007D5B57"/>
    <w:rsid w:val="007D6CD6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3D79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400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AD4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678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021"/>
    <w:rsid w:val="008831A4"/>
    <w:rsid w:val="008837F0"/>
    <w:rsid w:val="00883C5B"/>
    <w:rsid w:val="008858DB"/>
    <w:rsid w:val="00885A65"/>
    <w:rsid w:val="0088606A"/>
    <w:rsid w:val="00887C62"/>
    <w:rsid w:val="00887D74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977D1"/>
    <w:rsid w:val="008A0337"/>
    <w:rsid w:val="008A07F0"/>
    <w:rsid w:val="008A1106"/>
    <w:rsid w:val="008A15F0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3B35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1FE"/>
    <w:rsid w:val="008C6AF0"/>
    <w:rsid w:val="008C6C5D"/>
    <w:rsid w:val="008C74BC"/>
    <w:rsid w:val="008C7630"/>
    <w:rsid w:val="008C789F"/>
    <w:rsid w:val="008C7A27"/>
    <w:rsid w:val="008D217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5A7"/>
    <w:rsid w:val="008E7B5C"/>
    <w:rsid w:val="008E7E4B"/>
    <w:rsid w:val="008E7F68"/>
    <w:rsid w:val="008F0880"/>
    <w:rsid w:val="008F1661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93E"/>
    <w:rsid w:val="00907CC4"/>
    <w:rsid w:val="0091196D"/>
    <w:rsid w:val="00911D3C"/>
    <w:rsid w:val="00911DB5"/>
    <w:rsid w:val="00912285"/>
    <w:rsid w:val="00912359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1A6"/>
    <w:rsid w:val="0092228C"/>
    <w:rsid w:val="00922471"/>
    <w:rsid w:val="009229BF"/>
    <w:rsid w:val="00922C6F"/>
    <w:rsid w:val="009232C1"/>
    <w:rsid w:val="00923AC1"/>
    <w:rsid w:val="00923B8D"/>
    <w:rsid w:val="00923C29"/>
    <w:rsid w:val="00923EDE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2DF3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57E37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749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0E4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0D5B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B7C49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46C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4D7"/>
    <w:rsid w:val="009D0AE7"/>
    <w:rsid w:val="009D10E8"/>
    <w:rsid w:val="009D13FA"/>
    <w:rsid w:val="009D18A3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4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0B71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1DD3"/>
    <w:rsid w:val="009F25D5"/>
    <w:rsid w:val="009F3A64"/>
    <w:rsid w:val="009F435A"/>
    <w:rsid w:val="009F4614"/>
    <w:rsid w:val="009F5CF4"/>
    <w:rsid w:val="009F6C8C"/>
    <w:rsid w:val="009F7638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2D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822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E9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A76"/>
    <w:rsid w:val="00A27D1C"/>
    <w:rsid w:val="00A27E72"/>
    <w:rsid w:val="00A308DB"/>
    <w:rsid w:val="00A308E6"/>
    <w:rsid w:val="00A30A3D"/>
    <w:rsid w:val="00A30C30"/>
    <w:rsid w:val="00A30D80"/>
    <w:rsid w:val="00A3231D"/>
    <w:rsid w:val="00A3281F"/>
    <w:rsid w:val="00A329C9"/>
    <w:rsid w:val="00A329D4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2BA"/>
    <w:rsid w:val="00A4090A"/>
    <w:rsid w:val="00A409D1"/>
    <w:rsid w:val="00A40CA8"/>
    <w:rsid w:val="00A40F4D"/>
    <w:rsid w:val="00A42B82"/>
    <w:rsid w:val="00A432D5"/>
    <w:rsid w:val="00A438A9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6D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3C1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1F59"/>
    <w:rsid w:val="00AA211D"/>
    <w:rsid w:val="00AA231B"/>
    <w:rsid w:val="00AA25C5"/>
    <w:rsid w:val="00AA2BC2"/>
    <w:rsid w:val="00AA37FF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6ED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5DA"/>
    <w:rsid w:val="00AC09A0"/>
    <w:rsid w:val="00AC1182"/>
    <w:rsid w:val="00AC1188"/>
    <w:rsid w:val="00AC1393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739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5FF6"/>
    <w:rsid w:val="00AE6180"/>
    <w:rsid w:val="00AE620E"/>
    <w:rsid w:val="00AE698A"/>
    <w:rsid w:val="00AE6A63"/>
    <w:rsid w:val="00AE6F00"/>
    <w:rsid w:val="00AE745B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BBB"/>
    <w:rsid w:val="00AF4D12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4D2"/>
    <w:rsid w:val="00B00A42"/>
    <w:rsid w:val="00B0165B"/>
    <w:rsid w:val="00B01BD6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684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1904"/>
    <w:rsid w:val="00B32E47"/>
    <w:rsid w:val="00B33314"/>
    <w:rsid w:val="00B33E6D"/>
    <w:rsid w:val="00B34178"/>
    <w:rsid w:val="00B341E4"/>
    <w:rsid w:val="00B34598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50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18B"/>
    <w:rsid w:val="00B61918"/>
    <w:rsid w:val="00B61B0B"/>
    <w:rsid w:val="00B61FF1"/>
    <w:rsid w:val="00B62836"/>
    <w:rsid w:val="00B6345D"/>
    <w:rsid w:val="00B63F9A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6D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692F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82E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0C26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7C9"/>
    <w:rsid w:val="00BD6A2F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3ED8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86D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6C5"/>
    <w:rsid w:val="00C228FE"/>
    <w:rsid w:val="00C22B1C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9C3"/>
    <w:rsid w:val="00C37AA7"/>
    <w:rsid w:val="00C37BAF"/>
    <w:rsid w:val="00C37CDD"/>
    <w:rsid w:val="00C37F3D"/>
    <w:rsid w:val="00C405E0"/>
    <w:rsid w:val="00C40FFE"/>
    <w:rsid w:val="00C412FC"/>
    <w:rsid w:val="00C4132A"/>
    <w:rsid w:val="00C41A2D"/>
    <w:rsid w:val="00C428A1"/>
    <w:rsid w:val="00C42E9C"/>
    <w:rsid w:val="00C4334F"/>
    <w:rsid w:val="00C433B3"/>
    <w:rsid w:val="00C43E62"/>
    <w:rsid w:val="00C44CD9"/>
    <w:rsid w:val="00C44DDF"/>
    <w:rsid w:val="00C456BD"/>
    <w:rsid w:val="00C46189"/>
    <w:rsid w:val="00C46482"/>
    <w:rsid w:val="00C46747"/>
    <w:rsid w:val="00C46C1F"/>
    <w:rsid w:val="00C46CD1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A90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BA0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182C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348"/>
    <w:rsid w:val="00C82AF0"/>
    <w:rsid w:val="00C82F76"/>
    <w:rsid w:val="00C83763"/>
    <w:rsid w:val="00C8419D"/>
    <w:rsid w:val="00C8437C"/>
    <w:rsid w:val="00C84572"/>
    <w:rsid w:val="00C84584"/>
    <w:rsid w:val="00C84D7F"/>
    <w:rsid w:val="00C84F52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3EC7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295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04B"/>
    <w:rsid w:val="00CD799B"/>
    <w:rsid w:val="00CD7BD9"/>
    <w:rsid w:val="00CE05D6"/>
    <w:rsid w:val="00CE062D"/>
    <w:rsid w:val="00CE0694"/>
    <w:rsid w:val="00CE1010"/>
    <w:rsid w:val="00CE12D8"/>
    <w:rsid w:val="00CE17BE"/>
    <w:rsid w:val="00CE2081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2F2"/>
    <w:rsid w:val="00CE64A6"/>
    <w:rsid w:val="00CE69D0"/>
    <w:rsid w:val="00CE69DD"/>
    <w:rsid w:val="00CE777A"/>
    <w:rsid w:val="00CE7C9D"/>
    <w:rsid w:val="00CE7DB0"/>
    <w:rsid w:val="00CF0923"/>
    <w:rsid w:val="00CF0DC7"/>
    <w:rsid w:val="00CF0E04"/>
    <w:rsid w:val="00CF159E"/>
    <w:rsid w:val="00CF19C5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EC2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14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1B75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2C5A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70B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6BE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81E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B37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919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0BB6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5FF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1B11"/>
    <w:rsid w:val="00E11EF5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DBA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B72BF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23B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D5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2EC5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57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1B3F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B3A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52E"/>
    <w:rsid w:val="00FD7788"/>
    <w:rsid w:val="00FD7F6A"/>
    <w:rsid w:val="00FE0310"/>
    <w:rsid w:val="00FE0933"/>
    <w:rsid w:val="00FE165F"/>
    <w:rsid w:val="00FE1C80"/>
    <w:rsid w:val="00FE25B6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E7D08"/>
    <w:rsid w:val="00FF022F"/>
    <w:rsid w:val="00FF08D1"/>
    <w:rsid w:val="00FF0C53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428A1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D7200-AEB4-4DA1-B7B3-CB4475ED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3999</Words>
  <Characters>21995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Rene Gomez Hernandez</cp:lastModifiedBy>
  <cp:revision>13</cp:revision>
  <cp:lastPrinted>2020-11-25T16:25:00Z</cp:lastPrinted>
  <dcterms:created xsi:type="dcterms:W3CDTF">2020-11-06T16:33:00Z</dcterms:created>
  <dcterms:modified xsi:type="dcterms:W3CDTF">2020-12-01T15:11:00Z</dcterms:modified>
</cp:coreProperties>
</file>