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15382F">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15382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15382F">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15382F">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4702F8C6" w:rsidR="003F1CB6" w:rsidRPr="00403D69" w:rsidRDefault="00C85939"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15382F">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15382F">
        <w:trPr>
          <w:trHeight w:val="414"/>
        </w:trPr>
        <w:tc>
          <w:tcPr>
            <w:tcW w:w="4439" w:type="pct"/>
            <w:vMerge w:val="restart"/>
            <w:shd w:val="clear" w:color="auto" w:fill="auto"/>
            <w:hideMark/>
          </w:tcPr>
          <w:p w14:paraId="5FBACFE5" w14:textId="77777777" w:rsidR="003F1CB6" w:rsidRPr="00403D69" w:rsidRDefault="003F1CB6" w:rsidP="004746C0">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FBCBBA2" w:rsidR="003F1CB6" w:rsidRPr="00403D69" w:rsidRDefault="006F757C" w:rsidP="004746C0">
            <w:pPr>
              <w:tabs>
                <w:tab w:val="left" w:pos="380"/>
                <w:tab w:val="center" w:pos="455"/>
              </w:tabs>
              <w:spacing w:line="360" w:lineRule="auto"/>
              <w:rPr>
                <w:rFonts w:ascii="Arial" w:hAnsi="Arial" w:cs="Arial"/>
                <w:b/>
              </w:rPr>
            </w:pPr>
            <w:r>
              <w:rPr>
                <w:rFonts w:ascii="Arial" w:hAnsi="Arial" w:cs="Arial"/>
                <w:b/>
              </w:rPr>
              <w:tab/>
            </w:r>
            <w:r w:rsidR="00C85939">
              <w:rPr>
                <w:rFonts w:ascii="Arial" w:hAnsi="Arial" w:cs="Arial"/>
                <w:b/>
              </w:rPr>
              <w:t>5</w:t>
            </w:r>
          </w:p>
        </w:tc>
      </w:tr>
      <w:tr w:rsidR="003F1CB6" w:rsidRPr="00403D69" w14:paraId="454B2811" w14:textId="77777777" w:rsidTr="0015382F">
        <w:trPr>
          <w:trHeight w:val="414"/>
        </w:trPr>
        <w:tc>
          <w:tcPr>
            <w:tcW w:w="4439" w:type="pct"/>
            <w:vMerge/>
            <w:shd w:val="clear" w:color="auto" w:fill="auto"/>
            <w:hideMark/>
          </w:tcPr>
          <w:p w14:paraId="43FD31CB" w14:textId="77777777" w:rsidR="003F1CB6" w:rsidRPr="00403D69" w:rsidRDefault="003F1CB6" w:rsidP="004746C0">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4746C0">
            <w:pPr>
              <w:spacing w:line="360" w:lineRule="auto"/>
              <w:jc w:val="center"/>
              <w:rPr>
                <w:rFonts w:ascii="Arial" w:hAnsi="Arial" w:cs="Arial"/>
                <w:b/>
              </w:rPr>
            </w:pPr>
          </w:p>
        </w:tc>
      </w:tr>
      <w:tr w:rsidR="003F1CB6" w:rsidRPr="00403D69" w14:paraId="23CAD7C6" w14:textId="77777777" w:rsidTr="0015382F">
        <w:trPr>
          <w:trHeight w:val="667"/>
        </w:trPr>
        <w:tc>
          <w:tcPr>
            <w:tcW w:w="4439" w:type="pct"/>
            <w:shd w:val="clear" w:color="auto" w:fill="auto"/>
          </w:tcPr>
          <w:p w14:paraId="3F9DE16A" w14:textId="66101DEF" w:rsidR="003F1CB6" w:rsidRDefault="003F1CB6" w:rsidP="004746C0">
            <w:pPr>
              <w:spacing w:line="360" w:lineRule="auto"/>
              <w:rPr>
                <w:rFonts w:ascii="Arial" w:hAnsi="Arial" w:cs="Arial"/>
                <w:b/>
                <w:bCs/>
              </w:rPr>
            </w:pPr>
            <w:r>
              <w:rPr>
                <w:rFonts w:ascii="Arial" w:hAnsi="Arial" w:cs="Arial"/>
                <w:b/>
                <w:bCs/>
              </w:rPr>
              <w:t>I. INFORME INDIVIDUAL DE AUDITORÍA RELATIVO A EGRESOS</w:t>
            </w:r>
          </w:p>
          <w:p w14:paraId="2B60642C" w14:textId="25581803" w:rsidR="004746C0" w:rsidRDefault="004746C0" w:rsidP="004746C0">
            <w:pPr>
              <w:spacing w:line="360" w:lineRule="auto"/>
              <w:rPr>
                <w:rFonts w:ascii="Arial" w:hAnsi="Arial" w:cs="Arial"/>
                <w:b/>
                <w:bCs/>
              </w:rPr>
            </w:pPr>
          </w:p>
        </w:tc>
        <w:tc>
          <w:tcPr>
            <w:tcW w:w="561" w:type="pct"/>
            <w:shd w:val="clear" w:color="auto" w:fill="auto"/>
          </w:tcPr>
          <w:p w14:paraId="2BEFA648" w14:textId="77777777" w:rsidR="003F1CB6" w:rsidRPr="00403D69" w:rsidRDefault="003F1CB6" w:rsidP="004746C0">
            <w:pPr>
              <w:spacing w:line="360" w:lineRule="auto"/>
              <w:jc w:val="center"/>
              <w:rPr>
                <w:rFonts w:ascii="Arial" w:hAnsi="Arial" w:cs="Arial"/>
                <w:b/>
              </w:rPr>
            </w:pPr>
          </w:p>
        </w:tc>
      </w:tr>
      <w:tr w:rsidR="003F1CB6" w:rsidRPr="00403D69" w14:paraId="7D0A869C" w14:textId="77777777" w:rsidTr="0015382F">
        <w:trPr>
          <w:trHeight w:val="690"/>
        </w:trPr>
        <w:tc>
          <w:tcPr>
            <w:tcW w:w="4439" w:type="pct"/>
            <w:shd w:val="clear" w:color="auto" w:fill="auto"/>
          </w:tcPr>
          <w:p w14:paraId="37C48293" w14:textId="02A49361" w:rsidR="003F1CB6" w:rsidRDefault="00454830" w:rsidP="004746C0">
            <w:pPr>
              <w:spacing w:line="360" w:lineRule="auto"/>
              <w:rPr>
                <w:rFonts w:ascii="Arial" w:hAnsi="Arial" w:cs="Arial"/>
                <w:b/>
                <w:bCs/>
              </w:rPr>
            </w:pPr>
            <w:r>
              <w:rPr>
                <w:rFonts w:ascii="Arial" w:hAnsi="Arial" w:cs="Arial"/>
                <w:b/>
                <w:bCs/>
              </w:rPr>
              <w:t>I</w:t>
            </w:r>
            <w:r w:rsidR="003F1CB6" w:rsidRPr="00403D69">
              <w:rPr>
                <w:rFonts w:ascii="Arial" w:hAnsi="Arial" w:cs="Arial"/>
                <w:b/>
                <w:bCs/>
              </w:rPr>
              <w:t>.</w:t>
            </w:r>
            <w:r w:rsidR="003F1CB6">
              <w:rPr>
                <w:rFonts w:ascii="Arial" w:hAnsi="Arial" w:cs="Arial"/>
                <w:b/>
                <w:bCs/>
              </w:rPr>
              <w:t>1.</w:t>
            </w:r>
            <w:r w:rsidR="003F1CB6" w:rsidRPr="00403D69">
              <w:rPr>
                <w:rFonts w:ascii="Arial" w:hAnsi="Arial" w:cs="Arial"/>
                <w:b/>
                <w:bCs/>
              </w:rPr>
              <w:t xml:space="preserve"> ASPECTOS GENERALES DE LA AUDITORÍA</w:t>
            </w:r>
          </w:p>
        </w:tc>
        <w:tc>
          <w:tcPr>
            <w:tcW w:w="561" w:type="pct"/>
            <w:shd w:val="clear" w:color="auto" w:fill="auto"/>
          </w:tcPr>
          <w:p w14:paraId="08D20B5C" w14:textId="41A92A4B" w:rsidR="003F1CB6" w:rsidRPr="00403D69" w:rsidRDefault="004C5E5D" w:rsidP="004746C0">
            <w:pPr>
              <w:spacing w:line="360" w:lineRule="auto"/>
              <w:jc w:val="center"/>
              <w:rPr>
                <w:rFonts w:ascii="Arial" w:hAnsi="Arial" w:cs="Arial"/>
                <w:b/>
              </w:rPr>
            </w:pPr>
            <w:r>
              <w:rPr>
                <w:rFonts w:ascii="Arial" w:hAnsi="Arial" w:cs="Arial"/>
                <w:b/>
              </w:rPr>
              <w:t>5</w:t>
            </w:r>
          </w:p>
        </w:tc>
      </w:tr>
      <w:tr w:rsidR="003F1CB6" w:rsidRPr="00403D69" w14:paraId="366303F6" w14:textId="77777777" w:rsidTr="0015382F">
        <w:trPr>
          <w:trHeight w:val="572"/>
        </w:trPr>
        <w:tc>
          <w:tcPr>
            <w:tcW w:w="4439" w:type="pct"/>
            <w:shd w:val="clear" w:color="auto" w:fill="auto"/>
          </w:tcPr>
          <w:p w14:paraId="17DB05BC" w14:textId="77777777" w:rsidR="003F1CB6" w:rsidRDefault="003F1CB6" w:rsidP="004746C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4C7EDB7C" w:rsidR="003F1CB6" w:rsidRPr="00403D69" w:rsidRDefault="004C5E5D" w:rsidP="004746C0">
            <w:pPr>
              <w:spacing w:line="360" w:lineRule="auto"/>
              <w:jc w:val="center"/>
              <w:rPr>
                <w:rFonts w:ascii="Arial" w:hAnsi="Arial" w:cs="Arial"/>
                <w:b/>
              </w:rPr>
            </w:pPr>
            <w:r>
              <w:rPr>
                <w:rFonts w:ascii="Arial" w:hAnsi="Arial" w:cs="Arial"/>
                <w:b/>
              </w:rPr>
              <w:t>5</w:t>
            </w:r>
          </w:p>
        </w:tc>
      </w:tr>
      <w:tr w:rsidR="003F1CB6" w:rsidRPr="00403D69" w14:paraId="543A2F29" w14:textId="77777777" w:rsidTr="0015382F">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132A3056" w:rsidR="003F1CB6" w:rsidRPr="00403D69" w:rsidRDefault="00C85939" w:rsidP="00A82FD9">
            <w:pPr>
              <w:spacing w:line="360" w:lineRule="auto"/>
              <w:jc w:val="center"/>
              <w:rPr>
                <w:rFonts w:ascii="Arial" w:hAnsi="Arial" w:cs="Arial"/>
                <w:b/>
              </w:rPr>
            </w:pPr>
            <w:r>
              <w:rPr>
                <w:rFonts w:ascii="Arial" w:hAnsi="Arial" w:cs="Arial"/>
                <w:b/>
              </w:rPr>
              <w:t>6</w:t>
            </w:r>
          </w:p>
        </w:tc>
      </w:tr>
      <w:tr w:rsidR="003F1CB6" w:rsidRPr="00403D69" w14:paraId="3E0648E3" w14:textId="77777777" w:rsidTr="0015382F">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10946A14" w:rsidR="003F1CB6" w:rsidRPr="00403D69" w:rsidRDefault="00C85939" w:rsidP="00A82FD9">
            <w:pPr>
              <w:spacing w:line="360" w:lineRule="auto"/>
              <w:jc w:val="center"/>
              <w:rPr>
                <w:rFonts w:ascii="Arial" w:hAnsi="Arial" w:cs="Arial"/>
                <w:b/>
              </w:rPr>
            </w:pPr>
            <w:r>
              <w:rPr>
                <w:rFonts w:ascii="Arial" w:hAnsi="Arial" w:cs="Arial"/>
                <w:b/>
              </w:rPr>
              <w:t>6</w:t>
            </w:r>
          </w:p>
        </w:tc>
      </w:tr>
      <w:tr w:rsidR="003F1CB6" w:rsidRPr="00403D69" w14:paraId="57C459FF" w14:textId="77777777" w:rsidTr="0015382F">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671EEEC3" w:rsidR="003F1CB6" w:rsidRPr="00403D69" w:rsidRDefault="00C85939" w:rsidP="00A82FD9">
            <w:pPr>
              <w:spacing w:line="360" w:lineRule="auto"/>
              <w:jc w:val="center"/>
              <w:rPr>
                <w:rFonts w:ascii="Arial" w:hAnsi="Arial" w:cs="Arial"/>
                <w:b/>
              </w:rPr>
            </w:pPr>
            <w:r>
              <w:rPr>
                <w:rFonts w:ascii="Arial" w:hAnsi="Arial" w:cs="Arial"/>
                <w:b/>
              </w:rPr>
              <w:t>7</w:t>
            </w:r>
          </w:p>
        </w:tc>
      </w:tr>
      <w:tr w:rsidR="001B3167" w:rsidRPr="00403D69" w14:paraId="59C2B8B1" w14:textId="77777777" w:rsidTr="0015382F">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13DD65A7" w:rsidR="001B3167" w:rsidRDefault="004C5E5D" w:rsidP="00A82FD9">
            <w:pPr>
              <w:spacing w:line="360" w:lineRule="auto"/>
              <w:jc w:val="center"/>
              <w:rPr>
                <w:rFonts w:ascii="Arial" w:hAnsi="Arial" w:cs="Arial"/>
                <w:b/>
              </w:rPr>
            </w:pPr>
            <w:r>
              <w:rPr>
                <w:rFonts w:ascii="Arial" w:hAnsi="Arial" w:cs="Arial"/>
                <w:b/>
              </w:rPr>
              <w:t>8</w:t>
            </w:r>
          </w:p>
        </w:tc>
      </w:tr>
      <w:tr w:rsidR="003F1CB6" w:rsidRPr="00403D69" w14:paraId="2B710375" w14:textId="77777777" w:rsidTr="0015382F">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54A89B32" w:rsidR="003F1CB6" w:rsidRPr="00403D69" w:rsidRDefault="004E6A9F" w:rsidP="00A82FD9">
            <w:pPr>
              <w:spacing w:line="360" w:lineRule="auto"/>
              <w:jc w:val="center"/>
              <w:rPr>
                <w:rFonts w:ascii="Arial" w:hAnsi="Arial" w:cs="Arial"/>
                <w:b/>
              </w:rPr>
            </w:pPr>
            <w:r>
              <w:rPr>
                <w:rFonts w:ascii="Arial" w:hAnsi="Arial" w:cs="Arial"/>
                <w:b/>
              </w:rPr>
              <w:t>8</w:t>
            </w:r>
          </w:p>
        </w:tc>
      </w:tr>
      <w:tr w:rsidR="003F1CB6" w:rsidRPr="00403D69" w14:paraId="0733ECD1" w14:textId="77777777" w:rsidTr="0015382F">
        <w:trPr>
          <w:trHeight w:val="563"/>
        </w:trPr>
        <w:tc>
          <w:tcPr>
            <w:tcW w:w="4439" w:type="pct"/>
            <w:shd w:val="clear" w:color="auto" w:fill="auto"/>
          </w:tcPr>
          <w:p w14:paraId="299E5B4C" w14:textId="65851DCF" w:rsidR="003F1CB6" w:rsidRDefault="003F1CB6" w:rsidP="003F1CB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454830">
              <w:rPr>
                <w:rFonts w:ascii="Arial" w:hAnsi="Arial" w:cs="Arial"/>
                <w:b/>
                <w:bCs/>
              </w:rPr>
              <w:t xml:space="preserve">que </w:t>
            </w:r>
            <w:r w:rsidR="004A7967" w:rsidRPr="000A62D0">
              <w:rPr>
                <w:rFonts w:ascii="Arial" w:hAnsi="Arial" w:cs="Arial"/>
                <w:b/>
                <w:bCs/>
              </w:rPr>
              <w:t>i</w:t>
            </w:r>
            <w:r w:rsidR="00454830" w:rsidRPr="000A62D0">
              <w:rPr>
                <w:rFonts w:ascii="Arial" w:hAnsi="Arial" w:cs="Arial"/>
                <w:b/>
                <w:bCs/>
              </w:rPr>
              <w:t>ntervinieron e</w:t>
            </w:r>
            <w:r w:rsidR="00454830">
              <w:rPr>
                <w:rFonts w:ascii="Arial" w:hAnsi="Arial" w:cs="Arial"/>
                <w:b/>
                <w:bCs/>
              </w:rPr>
              <w:t>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B214A80" w14:textId="71386EE0" w:rsidR="003F1CB6" w:rsidRPr="00403D69" w:rsidRDefault="003F1CB6" w:rsidP="00CF04C6">
            <w:pPr>
              <w:spacing w:line="360" w:lineRule="auto"/>
              <w:jc w:val="center"/>
              <w:rPr>
                <w:rFonts w:ascii="Arial" w:hAnsi="Arial" w:cs="Arial"/>
                <w:b/>
              </w:rPr>
            </w:pPr>
            <w:r>
              <w:rPr>
                <w:rFonts w:ascii="Arial" w:hAnsi="Arial" w:cs="Arial"/>
                <w:b/>
              </w:rPr>
              <w:t>1</w:t>
            </w:r>
            <w:r w:rsidR="00CF04C6">
              <w:rPr>
                <w:rFonts w:ascii="Arial" w:hAnsi="Arial" w:cs="Arial"/>
                <w:b/>
              </w:rPr>
              <w:t>0</w:t>
            </w:r>
          </w:p>
        </w:tc>
      </w:tr>
      <w:tr w:rsidR="003F1CB6" w:rsidRPr="00403D69" w14:paraId="2FD01E24" w14:textId="77777777" w:rsidTr="0015382F">
        <w:trPr>
          <w:trHeight w:val="557"/>
        </w:trPr>
        <w:tc>
          <w:tcPr>
            <w:tcW w:w="4439" w:type="pct"/>
            <w:shd w:val="clear" w:color="auto" w:fill="auto"/>
          </w:tcPr>
          <w:p w14:paraId="6E10B902" w14:textId="0E03C765" w:rsidR="003F1CB6" w:rsidRPr="001B3167" w:rsidRDefault="003F1CB6" w:rsidP="003F1CB6">
            <w:pPr>
              <w:spacing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12966C94" w14:textId="5CC01D78" w:rsidR="003F1CB6" w:rsidRPr="00403D69" w:rsidRDefault="003F1CB6" w:rsidP="00A82FD9">
            <w:pPr>
              <w:spacing w:line="360" w:lineRule="auto"/>
              <w:jc w:val="center"/>
              <w:rPr>
                <w:rFonts w:ascii="Arial" w:hAnsi="Arial" w:cs="Arial"/>
                <w:b/>
              </w:rPr>
            </w:pPr>
            <w:r w:rsidRPr="001B3167">
              <w:rPr>
                <w:rFonts w:ascii="Arial" w:hAnsi="Arial" w:cs="Arial"/>
                <w:b/>
              </w:rPr>
              <w:t>1</w:t>
            </w:r>
            <w:r w:rsidR="00B97FD0">
              <w:rPr>
                <w:rFonts w:ascii="Arial" w:hAnsi="Arial" w:cs="Arial"/>
                <w:b/>
              </w:rPr>
              <w:t>1</w:t>
            </w:r>
          </w:p>
        </w:tc>
      </w:tr>
      <w:tr w:rsidR="003F1CB6" w:rsidRPr="00403D69" w14:paraId="05C40040" w14:textId="77777777" w:rsidTr="0015382F">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547816BF" w:rsidR="003F1CB6" w:rsidRPr="00403D69" w:rsidRDefault="003F1CB6" w:rsidP="00F50A88">
            <w:pPr>
              <w:spacing w:line="360" w:lineRule="auto"/>
              <w:jc w:val="center"/>
              <w:rPr>
                <w:rFonts w:ascii="Arial" w:hAnsi="Arial" w:cs="Arial"/>
                <w:b/>
              </w:rPr>
            </w:pPr>
            <w:r>
              <w:rPr>
                <w:rFonts w:ascii="Arial" w:hAnsi="Arial" w:cs="Arial"/>
                <w:b/>
              </w:rPr>
              <w:t>1</w:t>
            </w:r>
            <w:r w:rsidR="00F50A88">
              <w:rPr>
                <w:rFonts w:ascii="Arial" w:hAnsi="Arial" w:cs="Arial"/>
                <w:b/>
              </w:rPr>
              <w:t>1</w:t>
            </w:r>
          </w:p>
        </w:tc>
      </w:tr>
      <w:tr w:rsidR="003F1CB6" w:rsidRPr="00403D69" w14:paraId="4D174527" w14:textId="77777777" w:rsidTr="0015382F">
        <w:trPr>
          <w:trHeight w:val="572"/>
        </w:trPr>
        <w:tc>
          <w:tcPr>
            <w:tcW w:w="4439" w:type="pct"/>
            <w:shd w:val="clear" w:color="auto" w:fill="auto"/>
          </w:tcPr>
          <w:p w14:paraId="4B4A38BE" w14:textId="3EBF723A" w:rsidR="003F1CB6" w:rsidRDefault="003F1CB6" w:rsidP="003F1CB6">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796FB247" w14:textId="43EE408F" w:rsidR="003F1CB6" w:rsidRPr="00403D69" w:rsidRDefault="003F1CB6" w:rsidP="00F50A88">
            <w:pPr>
              <w:spacing w:line="360" w:lineRule="auto"/>
              <w:jc w:val="center"/>
              <w:rPr>
                <w:rFonts w:ascii="Arial" w:hAnsi="Arial" w:cs="Arial"/>
                <w:b/>
              </w:rPr>
            </w:pPr>
            <w:r>
              <w:rPr>
                <w:rFonts w:ascii="Arial" w:hAnsi="Arial" w:cs="Arial"/>
                <w:b/>
              </w:rPr>
              <w:t>1</w:t>
            </w:r>
            <w:r w:rsidR="00F50A88">
              <w:rPr>
                <w:rFonts w:ascii="Arial" w:hAnsi="Arial" w:cs="Arial"/>
                <w:b/>
              </w:rPr>
              <w:t>1</w:t>
            </w:r>
          </w:p>
        </w:tc>
      </w:tr>
      <w:tr w:rsidR="00E21CEA" w:rsidRPr="001B3167" w14:paraId="32D76B8C" w14:textId="77777777" w:rsidTr="0015382F">
        <w:trPr>
          <w:trHeight w:val="20"/>
        </w:trPr>
        <w:tc>
          <w:tcPr>
            <w:tcW w:w="4439" w:type="pct"/>
            <w:shd w:val="clear" w:color="auto" w:fill="auto"/>
          </w:tcPr>
          <w:p w14:paraId="10C4D0A6" w14:textId="316EC9AA" w:rsidR="00E21CEA" w:rsidRPr="001B3167" w:rsidRDefault="003B0026" w:rsidP="00E21CEA">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sidR="007D48A8">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69851DDC" w14:textId="58E87F91" w:rsidR="00E21CEA" w:rsidRPr="001B3167" w:rsidRDefault="00E21CEA" w:rsidP="00121D98">
            <w:pPr>
              <w:spacing w:line="360" w:lineRule="auto"/>
              <w:jc w:val="center"/>
              <w:rPr>
                <w:rFonts w:ascii="Arial" w:hAnsi="Arial" w:cs="Arial"/>
                <w:b/>
              </w:rPr>
            </w:pPr>
            <w:r w:rsidRPr="001B3167">
              <w:rPr>
                <w:rFonts w:ascii="Arial" w:hAnsi="Arial" w:cs="Arial"/>
                <w:b/>
              </w:rPr>
              <w:t>1</w:t>
            </w:r>
            <w:r w:rsidR="00121D98">
              <w:rPr>
                <w:rFonts w:ascii="Arial" w:hAnsi="Arial" w:cs="Arial"/>
                <w:b/>
              </w:rPr>
              <w:t>2</w:t>
            </w:r>
          </w:p>
        </w:tc>
      </w:tr>
      <w:tr w:rsidR="00E21CEA" w:rsidRPr="00403D69" w14:paraId="68C986D4" w14:textId="77777777" w:rsidTr="0015382F">
        <w:trPr>
          <w:trHeight w:val="1261"/>
        </w:trPr>
        <w:tc>
          <w:tcPr>
            <w:tcW w:w="4439" w:type="pct"/>
            <w:shd w:val="clear" w:color="auto" w:fill="auto"/>
          </w:tcPr>
          <w:p w14:paraId="0D459F8C" w14:textId="194606CE" w:rsidR="00E21CEA" w:rsidRPr="001B3167" w:rsidRDefault="00D758CB" w:rsidP="003B0026">
            <w:pPr>
              <w:pStyle w:val="Prrafodelista"/>
              <w:numPr>
                <w:ilvl w:val="0"/>
                <w:numId w:val="16"/>
              </w:numPr>
              <w:spacing w:after="180" w:line="360" w:lineRule="auto"/>
              <w:jc w:val="both"/>
              <w:rPr>
                <w:rFonts w:ascii="Arial" w:hAnsi="Arial" w:cs="Arial"/>
                <w:b/>
                <w:bCs/>
              </w:rPr>
            </w:pPr>
            <w:r w:rsidRPr="001B3167">
              <w:rPr>
                <w:rFonts w:ascii="Arial" w:hAnsi="Arial" w:cs="Arial"/>
                <w:b/>
                <w:bCs/>
              </w:rPr>
              <w:lastRenderedPageBreak/>
              <w:t>Observaciones Determinadas</w:t>
            </w:r>
            <w:r w:rsidR="00454830">
              <w:rPr>
                <w:rFonts w:ascii="Arial" w:hAnsi="Arial" w:cs="Arial"/>
                <w:b/>
                <w:bCs/>
              </w:rPr>
              <w:t xml:space="preserve"> por </w:t>
            </w:r>
            <w:r w:rsidR="00454830" w:rsidRPr="000A62D0">
              <w:rPr>
                <w:rFonts w:ascii="Arial" w:hAnsi="Arial" w:cs="Arial"/>
                <w:b/>
                <w:bCs/>
              </w:rPr>
              <w:t>Auditoría en Materia Financiera</w:t>
            </w:r>
            <w:r w:rsidRPr="000A62D0">
              <w:rPr>
                <w:rFonts w:ascii="Arial" w:hAnsi="Arial" w:cs="Arial"/>
                <w:b/>
                <w:bCs/>
              </w:rPr>
              <w:t>,</w:t>
            </w:r>
            <w:r w:rsidRPr="001B3167">
              <w:rPr>
                <w:rFonts w:ascii="Arial" w:hAnsi="Arial" w:cs="Arial"/>
                <w:b/>
                <w:bCs/>
              </w:rPr>
              <w:t xml:space="preserve"> Justificaciones y Aclaraciones de la Entidad Fiscalizada</w:t>
            </w:r>
            <w:r>
              <w:rPr>
                <w:rFonts w:ascii="Arial" w:hAnsi="Arial" w:cs="Arial"/>
                <w:b/>
                <w:bCs/>
              </w:rPr>
              <w:t>,</w:t>
            </w:r>
            <w:r w:rsidRPr="001B3167">
              <w:rPr>
                <w:rFonts w:ascii="Arial" w:hAnsi="Arial" w:cs="Arial"/>
                <w:b/>
                <w:bCs/>
              </w:rPr>
              <w:t xml:space="preserve"> Acciones </w:t>
            </w:r>
            <w:r>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43066E7D" w14:textId="773952D1" w:rsidR="00E21CEA" w:rsidRPr="007F5EFE" w:rsidRDefault="00E21CEA" w:rsidP="00A82FD9">
            <w:pPr>
              <w:spacing w:line="360" w:lineRule="auto"/>
              <w:jc w:val="center"/>
              <w:rPr>
                <w:rFonts w:ascii="Arial" w:hAnsi="Arial" w:cs="Arial"/>
                <w:b/>
                <w:highlight w:val="yellow"/>
              </w:rPr>
            </w:pPr>
            <w:r w:rsidRPr="009A77DD">
              <w:rPr>
                <w:rFonts w:ascii="Arial" w:hAnsi="Arial" w:cs="Arial"/>
                <w:b/>
              </w:rPr>
              <w:t>1</w:t>
            </w:r>
            <w:r w:rsidR="00F50A88">
              <w:rPr>
                <w:rFonts w:ascii="Arial" w:hAnsi="Arial" w:cs="Arial"/>
                <w:b/>
              </w:rPr>
              <w:t>2</w:t>
            </w:r>
          </w:p>
        </w:tc>
      </w:tr>
      <w:tr w:rsidR="00A409D1" w:rsidRPr="00403D69" w14:paraId="0AB47640" w14:textId="77777777" w:rsidTr="0015382F">
        <w:trPr>
          <w:trHeight w:val="469"/>
        </w:trPr>
        <w:tc>
          <w:tcPr>
            <w:tcW w:w="4439" w:type="pct"/>
            <w:shd w:val="clear" w:color="auto" w:fill="auto"/>
          </w:tcPr>
          <w:p w14:paraId="0FE6C69D" w14:textId="77777777" w:rsidR="00A409D1" w:rsidRDefault="00454830" w:rsidP="00BF6809">
            <w:pPr>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Pr>
                <w:rFonts w:ascii="Arial" w:hAnsi="Arial" w:cs="Arial"/>
                <w:b/>
                <w:bCs/>
              </w:rPr>
              <w:t xml:space="preserve"> DEL INFORME</w:t>
            </w:r>
            <w:r w:rsidR="00A409D1">
              <w:rPr>
                <w:rFonts w:ascii="Arial" w:hAnsi="Arial" w:cs="Arial"/>
                <w:b/>
                <w:bCs/>
              </w:rPr>
              <w:t xml:space="preserve"> INDIVIDUAL DE AUDITORÍA</w:t>
            </w:r>
          </w:p>
          <w:p w14:paraId="5DC91B61" w14:textId="77777777" w:rsidR="004329EB" w:rsidRDefault="004329EB" w:rsidP="00BF6809">
            <w:pPr>
              <w:rPr>
                <w:rFonts w:ascii="Arial" w:hAnsi="Arial" w:cs="Arial"/>
                <w:b/>
                <w:bCs/>
              </w:rPr>
            </w:pPr>
          </w:p>
          <w:p w14:paraId="7974084B" w14:textId="4265D6CF" w:rsidR="004329EB" w:rsidRDefault="004329EB" w:rsidP="00BF6809"/>
        </w:tc>
        <w:tc>
          <w:tcPr>
            <w:tcW w:w="561" w:type="pct"/>
            <w:shd w:val="clear" w:color="auto" w:fill="auto"/>
          </w:tcPr>
          <w:p w14:paraId="1B14B951" w14:textId="7F02580F" w:rsidR="00A409D1" w:rsidRPr="00B0032C" w:rsidRDefault="00B0032C" w:rsidP="001B17ED">
            <w:pPr>
              <w:jc w:val="center"/>
              <w:rPr>
                <w:rFonts w:ascii="Arial" w:hAnsi="Arial" w:cs="Arial"/>
                <w:b/>
              </w:rPr>
            </w:pPr>
            <w:r w:rsidRPr="00B0032C">
              <w:rPr>
                <w:rFonts w:ascii="Arial" w:hAnsi="Arial" w:cs="Arial"/>
                <w:b/>
              </w:rPr>
              <w:t>1</w:t>
            </w:r>
            <w:r w:rsidR="00CA72B8">
              <w:rPr>
                <w:rFonts w:ascii="Arial" w:hAnsi="Arial" w:cs="Arial"/>
                <w:b/>
              </w:rPr>
              <w:t>3</w:t>
            </w:r>
          </w:p>
          <w:p w14:paraId="680E8F65" w14:textId="77777777" w:rsidR="004329EB" w:rsidRPr="007F5EFE" w:rsidRDefault="004329EB" w:rsidP="001B17ED">
            <w:pPr>
              <w:jc w:val="center"/>
              <w:rPr>
                <w:rFonts w:ascii="Arial" w:hAnsi="Arial" w:cs="Arial"/>
                <w:b/>
                <w:highlight w:val="yellow"/>
              </w:rPr>
            </w:pPr>
          </w:p>
          <w:p w14:paraId="736F2A3E" w14:textId="1799A9FE" w:rsidR="004329EB" w:rsidRPr="007F5EFE" w:rsidRDefault="004329EB" w:rsidP="001B17ED">
            <w:pPr>
              <w:jc w:val="center"/>
              <w:rPr>
                <w:rFonts w:ascii="Arial" w:hAnsi="Arial" w:cs="Arial"/>
                <w:b/>
                <w:highlight w:val="yellow"/>
              </w:rPr>
            </w:pPr>
          </w:p>
        </w:tc>
      </w:tr>
    </w:tbl>
    <w:p w14:paraId="004F1D33" w14:textId="77777777" w:rsidR="003E2273" w:rsidRDefault="003E2273">
      <w:pPr>
        <w:rPr>
          <w:rFonts w:ascii="Arial" w:hAnsi="Arial" w:cs="Arial"/>
          <w:b/>
          <w:bCs/>
        </w:rPr>
      </w:pPr>
    </w:p>
    <w:p w14:paraId="17187A23" w14:textId="77777777" w:rsidR="003E2273" w:rsidRDefault="003E2273">
      <w:pPr>
        <w:rPr>
          <w:rFonts w:ascii="Arial" w:hAnsi="Arial" w:cs="Arial"/>
          <w:b/>
          <w:bCs/>
        </w:rPr>
      </w:pPr>
    </w:p>
    <w:p w14:paraId="6FC12595" w14:textId="1707AF66" w:rsidR="001077FF" w:rsidRDefault="001077FF">
      <w:pPr>
        <w:rPr>
          <w:rFonts w:ascii="Arial" w:hAnsi="Arial" w:cs="Arial"/>
          <w:b/>
          <w:bCs/>
        </w:rPr>
      </w:pPr>
    </w:p>
    <w:p w14:paraId="1CE0AA5B" w14:textId="77777777" w:rsidR="00BF6809" w:rsidRDefault="00BF6809">
      <w:pPr>
        <w:rPr>
          <w:rFonts w:ascii="Arial" w:hAnsi="Arial" w:cs="Arial"/>
          <w:b/>
          <w:bCs/>
        </w:rPr>
      </w:pPr>
    </w:p>
    <w:p w14:paraId="26109E96" w14:textId="0BE47938" w:rsidR="00D758CB" w:rsidRDefault="00D758CB" w:rsidP="00B93F1F">
      <w:pPr>
        <w:spacing w:line="360" w:lineRule="auto"/>
        <w:ind w:right="190"/>
        <w:rPr>
          <w:rFonts w:ascii="Arial" w:hAnsi="Arial" w:cs="Arial"/>
          <w:b/>
          <w:bCs/>
        </w:rPr>
      </w:pPr>
    </w:p>
    <w:p w14:paraId="570B0480" w14:textId="40F5897E" w:rsidR="004746C0" w:rsidRDefault="004746C0" w:rsidP="00B93F1F">
      <w:pPr>
        <w:spacing w:line="360" w:lineRule="auto"/>
        <w:ind w:right="190"/>
        <w:rPr>
          <w:rFonts w:ascii="Arial" w:hAnsi="Arial" w:cs="Arial"/>
          <w:b/>
          <w:bCs/>
        </w:rPr>
      </w:pPr>
    </w:p>
    <w:p w14:paraId="26A86C02" w14:textId="73E99E5A" w:rsidR="004746C0" w:rsidRDefault="004746C0" w:rsidP="00B93F1F">
      <w:pPr>
        <w:spacing w:line="360" w:lineRule="auto"/>
        <w:ind w:right="190"/>
        <w:rPr>
          <w:rFonts w:ascii="Arial" w:hAnsi="Arial" w:cs="Arial"/>
          <w:b/>
          <w:bCs/>
        </w:rPr>
      </w:pPr>
    </w:p>
    <w:p w14:paraId="646CE96A" w14:textId="785B4544" w:rsidR="004746C0" w:rsidRDefault="004746C0" w:rsidP="00B93F1F">
      <w:pPr>
        <w:spacing w:line="360" w:lineRule="auto"/>
        <w:ind w:right="190"/>
        <w:rPr>
          <w:rFonts w:ascii="Arial" w:hAnsi="Arial" w:cs="Arial"/>
          <w:b/>
          <w:bCs/>
        </w:rPr>
      </w:pPr>
    </w:p>
    <w:p w14:paraId="607D32B1" w14:textId="479537B4" w:rsidR="004746C0" w:rsidRDefault="004746C0" w:rsidP="00B93F1F">
      <w:pPr>
        <w:spacing w:line="360" w:lineRule="auto"/>
        <w:ind w:right="190"/>
        <w:rPr>
          <w:rFonts w:ascii="Arial" w:hAnsi="Arial" w:cs="Arial"/>
          <w:b/>
          <w:bCs/>
        </w:rPr>
      </w:pPr>
    </w:p>
    <w:p w14:paraId="4286C3E4" w14:textId="30B5F5A8" w:rsidR="004746C0" w:rsidRDefault="004746C0" w:rsidP="00B93F1F">
      <w:pPr>
        <w:spacing w:line="360" w:lineRule="auto"/>
        <w:ind w:right="190"/>
        <w:rPr>
          <w:rFonts w:ascii="Arial" w:hAnsi="Arial" w:cs="Arial"/>
          <w:b/>
          <w:bCs/>
        </w:rPr>
      </w:pPr>
    </w:p>
    <w:p w14:paraId="4F9E0147" w14:textId="75B41AD9" w:rsidR="004746C0" w:rsidRDefault="004746C0" w:rsidP="00B93F1F">
      <w:pPr>
        <w:spacing w:line="360" w:lineRule="auto"/>
        <w:ind w:right="190"/>
        <w:rPr>
          <w:rFonts w:ascii="Arial" w:hAnsi="Arial" w:cs="Arial"/>
          <w:b/>
          <w:bCs/>
        </w:rPr>
      </w:pPr>
    </w:p>
    <w:p w14:paraId="1976DEC3" w14:textId="09D9EA5F" w:rsidR="004746C0" w:rsidRDefault="004746C0" w:rsidP="00B93F1F">
      <w:pPr>
        <w:spacing w:line="360" w:lineRule="auto"/>
        <w:ind w:right="190"/>
        <w:rPr>
          <w:rFonts w:ascii="Arial" w:hAnsi="Arial" w:cs="Arial"/>
          <w:b/>
          <w:bCs/>
        </w:rPr>
      </w:pPr>
    </w:p>
    <w:p w14:paraId="0800EFBE" w14:textId="6CC902CE" w:rsidR="004746C0" w:rsidRDefault="004746C0" w:rsidP="00B93F1F">
      <w:pPr>
        <w:spacing w:line="360" w:lineRule="auto"/>
        <w:ind w:right="190"/>
        <w:rPr>
          <w:rFonts w:ascii="Arial" w:hAnsi="Arial" w:cs="Arial"/>
          <w:b/>
          <w:bCs/>
        </w:rPr>
      </w:pPr>
    </w:p>
    <w:p w14:paraId="767D91B1" w14:textId="7752C537" w:rsidR="004746C0" w:rsidRDefault="004746C0" w:rsidP="00B93F1F">
      <w:pPr>
        <w:spacing w:line="360" w:lineRule="auto"/>
        <w:ind w:right="190"/>
        <w:rPr>
          <w:rFonts w:ascii="Arial" w:hAnsi="Arial" w:cs="Arial"/>
          <w:b/>
          <w:bCs/>
        </w:rPr>
      </w:pPr>
    </w:p>
    <w:p w14:paraId="3D64C9DD" w14:textId="595BBAD5" w:rsidR="004746C0" w:rsidRDefault="004746C0" w:rsidP="00B93F1F">
      <w:pPr>
        <w:spacing w:line="360" w:lineRule="auto"/>
        <w:ind w:right="190"/>
        <w:rPr>
          <w:rFonts w:ascii="Arial" w:hAnsi="Arial" w:cs="Arial"/>
          <w:b/>
          <w:bCs/>
        </w:rPr>
      </w:pPr>
    </w:p>
    <w:p w14:paraId="2F1B65E8" w14:textId="4F1C9C23" w:rsidR="004746C0" w:rsidRDefault="004746C0" w:rsidP="00B93F1F">
      <w:pPr>
        <w:spacing w:line="360" w:lineRule="auto"/>
        <w:ind w:right="190"/>
        <w:rPr>
          <w:rFonts w:ascii="Arial" w:hAnsi="Arial" w:cs="Arial"/>
          <w:b/>
          <w:bCs/>
        </w:rPr>
      </w:pPr>
    </w:p>
    <w:p w14:paraId="179EC5AE" w14:textId="5E7F5ADD" w:rsidR="004746C0" w:rsidRDefault="004746C0" w:rsidP="00B93F1F">
      <w:pPr>
        <w:spacing w:line="360" w:lineRule="auto"/>
        <w:ind w:right="190"/>
        <w:rPr>
          <w:rFonts w:ascii="Arial" w:hAnsi="Arial" w:cs="Arial"/>
          <w:b/>
          <w:bCs/>
        </w:rPr>
      </w:pPr>
    </w:p>
    <w:p w14:paraId="56CDC5C6" w14:textId="1B762F20" w:rsidR="004746C0" w:rsidRDefault="004746C0" w:rsidP="00B93F1F">
      <w:pPr>
        <w:spacing w:line="360" w:lineRule="auto"/>
        <w:ind w:right="190"/>
        <w:rPr>
          <w:rFonts w:ascii="Arial" w:hAnsi="Arial" w:cs="Arial"/>
          <w:b/>
          <w:bCs/>
        </w:rPr>
      </w:pPr>
    </w:p>
    <w:p w14:paraId="1FFAA549" w14:textId="52ADDA12" w:rsidR="004746C0" w:rsidRDefault="004746C0" w:rsidP="00B93F1F">
      <w:pPr>
        <w:spacing w:line="360" w:lineRule="auto"/>
        <w:ind w:right="190"/>
        <w:rPr>
          <w:rFonts w:ascii="Arial" w:hAnsi="Arial" w:cs="Arial"/>
          <w:b/>
          <w:bCs/>
        </w:rPr>
      </w:pPr>
    </w:p>
    <w:p w14:paraId="7293BF59" w14:textId="7CEA936F" w:rsidR="004746C0" w:rsidRDefault="004746C0" w:rsidP="00B93F1F">
      <w:pPr>
        <w:spacing w:line="360" w:lineRule="auto"/>
        <w:ind w:right="190"/>
        <w:rPr>
          <w:rFonts w:ascii="Arial" w:hAnsi="Arial" w:cs="Arial"/>
          <w:b/>
          <w:bCs/>
        </w:rPr>
      </w:pPr>
    </w:p>
    <w:p w14:paraId="4E26F931" w14:textId="0C3A2185" w:rsidR="004746C0" w:rsidRDefault="004746C0" w:rsidP="00B93F1F">
      <w:pPr>
        <w:spacing w:line="360" w:lineRule="auto"/>
        <w:ind w:right="190"/>
        <w:rPr>
          <w:rFonts w:ascii="Arial" w:hAnsi="Arial" w:cs="Arial"/>
          <w:b/>
          <w:bCs/>
        </w:rPr>
      </w:pPr>
    </w:p>
    <w:p w14:paraId="2D249BA6" w14:textId="728CC88D" w:rsidR="004746C0" w:rsidRDefault="004746C0" w:rsidP="00B93F1F">
      <w:pPr>
        <w:spacing w:line="360" w:lineRule="auto"/>
        <w:ind w:right="190"/>
        <w:rPr>
          <w:rFonts w:ascii="Arial" w:hAnsi="Arial" w:cs="Arial"/>
          <w:b/>
          <w:bCs/>
        </w:rPr>
      </w:pPr>
    </w:p>
    <w:p w14:paraId="1DF6D08C" w14:textId="1371A205" w:rsidR="004746C0" w:rsidRDefault="004746C0" w:rsidP="00B93F1F">
      <w:pPr>
        <w:spacing w:line="360" w:lineRule="auto"/>
        <w:ind w:right="190"/>
        <w:rPr>
          <w:rFonts w:ascii="Arial" w:hAnsi="Arial" w:cs="Arial"/>
          <w:b/>
          <w:bCs/>
        </w:rPr>
      </w:pPr>
    </w:p>
    <w:p w14:paraId="09615397" w14:textId="7A6E8308" w:rsidR="004746C0" w:rsidRDefault="004746C0" w:rsidP="00B93F1F">
      <w:pPr>
        <w:spacing w:line="360" w:lineRule="auto"/>
        <w:ind w:right="190"/>
        <w:rPr>
          <w:rFonts w:ascii="Arial" w:hAnsi="Arial" w:cs="Arial"/>
          <w:b/>
          <w:bCs/>
        </w:rPr>
      </w:pPr>
    </w:p>
    <w:p w14:paraId="5FCBB84B" w14:textId="3836B6D3" w:rsidR="005164C1" w:rsidRPr="00A05588" w:rsidRDefault="006447D4" w:rsidP="006F64CA">
      <w:pPr>
        <w:spacing w:line="360" w:lineRule="auto"/>
        <w:ind w:right="49"/>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6F64CA">
      <w:pPr>
        <w:spacing w:line="360" w:lineRule="auto"/>
        <w:ind w:right="49"/>
        <w:rPr>
          <w:rFonts w:ascii="Arial" w:hAnsi="Arial" w:cs="Arial"/>
          <w:b/>
          <w:bCs/>
        </w:rPr>
      </w:pPr>
    </w:p>
    <w:p w14:paraId="156E27BA" w14:textId="7716C8ED" w:rsidR="00C85BAC" w:rsidRDefault="00C85BAC" w:rsidP="006F64CA">
      <w:pPr>
        <w:spacing w:line="360" w:lineRule="auto"/>
        <w:ind w:right="49"/>
        <w:jc w:val="both"/>
        <w:rPr>
          <w:rFonts w:ascii="Arial" w:hAnsi="Arial" w:cs="Arial"/>
        </w:rPr>
      </w:pPr>
      <w:r w:rsidRPr="00C85BAC">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el Gobierno del Estado le presente sobre su gestión financiera. Esta revisión comprende la fiscalización a las entidades fiscalizables, que se traduce a su vez, en la obligación de los funcionarios correspondientes de presentar su Cuenta Pública 2019 para efectos de que sea revisada, analizada y fiscalizada.</w:t>
      </w:r>
    </w:p>
    <w:p w14:paraId="40272688" w14:textId="123992CC" w:rsidR="00E21A1D" w:rsidRDefault="00E21A1D" w:rsidP="006F64CA">
      <w:pPr>
        <w:spacing w:line="360" w:lineRule="auto"/>
        <w:ind w:right="49"/>
        <w:jc w:val="both"/>
        <w:rPr>
          <w:rFonts w:ascii="Arial" w:hAnsi="Arial" w:cs="Arial"/>
        </w:rPr>
      </w:pPr>
    </w:p>
    <w:p w14:paraId="45C16A09" w14:textId="1170B2AA" w:rsidR="00E21A1D" w:rsidRPr="00C85BAC" w:rsidRDefault="00E21A1D" w:rsidP="006F64CA">
      <w:pPr>
        <w:spacing w:line="360" w:lineRule="auto"/>
        <w:ind w:right="49"/>
        <w:jc w:val="both"/>
        <w:rPr>
          <w:rFonts w:ascii="Arial" w:hAnsi="Arial" w:cs="Arial"/>
        </w:rPr>
      </w:pPr>
      <w:r w:rsidRPr="00E21A1D">
        <w:rPr>
          <w:rFonts w:ascii="Arial" w:hAnsi="Arial" w:cs="Arial"/>
        </w:rPr>
        <w:t>Esta revisión se realiza con el objeto de hacer un análisis de las Cuentas Públicas a efecto de poder rendir el presente informe a esta H. XV</w:t>
      </w:r>
      <w:r w:rsidR="00420A7D">
        <w:rPr>
          <w:rFonts w:ascii="Arial" w:hAnsi="Arial" w:cs="Arial"/>
        </w:rPr>
        <w:t>I</w:t>
      </w:r>
      <w:r w:rsidRPr="00E21A1D">
        <w:rPr>
          <w:rFonts w:ascii="Arial" w:hAnsi="Arial" w:cs="Arial"/>
        </w:rPr>
        <w:t xml:space="preserve"> Legislatura del Estado de Quintana Roo, con relación al manejo de las mismas por parte de las autoridades correspondientes.</w:t>
      </w:r>
    </w:p>
    <w:p w14:paraId="3DF6D44D" w14:textId="77777777" w:rsidR="00C85BAC" w:rsidRPr="00C85BAC" w:rsidRDefault="00C85BAC" w:rsidP="006F64CA">
      <w:pPr>
        <w:spacing w:line="360" w:lineRule="auto"/>
        <w:ind w:right="49"/>
        <w:jc w:val="both"/>
        <w:rPr>
          <w:rFonts w:ascii="Arial" w:hAnsi="Arial" w:cs="Arial"/>
        </w:rPr>
      </w:pPr>
    </w:p>
    <w:p w14:paraId="413B5D9F" w14:textId="77777777" w:rsidR="00C85BAC" w:rsidRPr="00C85BAC" w:rsidRDefault="00C85BAC" w:rsidP="006F64CA">
      <w:pPr>
        <w:spacing w:line="360" w:lineRule="auto"/>
        <w:ind w:right="49"/>
        <w:jc w:val="both"/>
        <w:rPr>
          <w:rFonts w:ascii="Arial" w:hAnsi="Arial" w:cs="Arial"/>
        </w:rPr>
      </w:pPr>
      <w:r w:rsidRPr="00C85BAC">
        <w:rPr>
          <w:rFonts w:ascii="Arial" w:hAnsi="Arial" w:cs="Arial"/>
        </w:rPr>
        <w:t xml:space="preserve">La formulación, revisión y aprobación de la Cuenta Pública de la </w:t>
      </w:r>
      <w:r w:rsidRPr="00C85BAC">
        <w:rPr>
          <w:rFonts w:ascii="Arial" w:hAnsi="Arial" w:cs="Arial"/>
          <w:b/>
        </w:rPr>
        <w:t>Oficialía Mayor del Gobierno del Estado de Quintana Roo</w:t>
      </w:r>
      <w:r w:rsidRPr="00C85BAC">
        <w:rPr>
          <w:rFonts w:ascii="Arial" w:hAnsi="Arial" w:cs="Arial"/>
        </w:rPr>
        <w:t>, comprende la realización de actividades en las que participa la Legislatura del Estado, las cuales comprenden:</w:t>
      </w:r>
    </w:p>
    <w:p w14:paraId="1D8379D3" w14:textId="77777777" w:rsidR="00C85BAC" w:rsidRPr="00C85BAC" w:rsidRDefault="00C85BAC" w:rsidP="006F64CA">
      <w:pPr>
        <w:spacing w:line="360" w:lineRule="auto"/>
        <w:ind w:right="49"/>
        <w:jc w:val="both"/>
        <w:rPr>
          <w:rFonts w:ascii="Arial" w:hAnsi="Arial" w:cs="Arial"/>
        </w:rPr>
      </w:pPr>
    </w:p>
    <w:p w14:paraId="57E55E0E" w14:textId="77777777" w:rsidR="00C85BAC" w:rsidRPr="00C85BAC" w:rsidRDefault="00C85BAC" w:rsidP="006F64CA">
      <w:pPr>
        <w:spacing w:line="360" w:lineRule="auto"/>
        <w:ind w:right="49"/>
        <w:jc w:val="both"/>
        <w:rPr>
          <w:rFonts w:ascii="Arial" w:hAnsi="Arial" w:cs="Arial"/>
        </w:rPr>
      </w:pPr>
      <w:r w:rsidRPr="00C85BAC">
        <w:rPr>
          <w:rFonts w:ascii="Arial" w:hAnsi="Arial" w:cs="Arial"/>
          <w:b/>
        </w:rPr>
        <w:t>A.- El Proceso Administrativo;</w:t>
      </w:r>
      <w:r w:rsidRPr="00C85BAC">
        <w:rPr>
          <w:rFonts w:ascii="Arial" w:hAnsi="Arial" w:cs="Arial"/>
        </w:rPr>
        <w:t xml:space="preserve"> que es desarrollado fundamentalmente por la Secretaría de Finanzas y Planeación del Estado (</w:t>
      </w:r>
      <w:proofErr w:type="spellStart"/>
      <w:r w:rsidRPr="00C85BAC">
        <w:rPr>
          <w:rFonts w:ascii="Arial" w:hAnsi="Arial" w:cs="Arial"/>
        </w:rPr>
        <w:t>Sefiplan</w:t>
      </w:r>
      <w:proofErr w:type="spellEnd"/>
      <w:r w:rsidRPr="00C85BAC">
        <w:rPr>
          <w:rFonts w:ascii="Arial" w:hAnsi="Arial" w:cs="Arial"/>
        </w:rPr>
        <w:t xml:space="preserve">), en coordinación con la </w:t>
      </w:r>
      <w:r w:rsidRPr="00C85BAC">
        <w:rPr>
          <w:rFonts w:ascii="Arial" w:hAnsi="Arial" w:cs="Arial"/>
          <w:b/>
        </w:rPr>
        <w:t>Oficialía Mayor del Gobierno del Estado de Quintana Roo</w:t>
      </w:r>
      <w:r w:rsidRPr="00C85BAC">
        <w:rPr>
          <w:rFonts w:ascii="Arial" w:hAnsi="Arial" w:cs="Arial"/>
        </w:rPr>
        <w:t>, en la integración de la Cuenta Pública, la cual comprende los resultados de las labores administrativas realizadas en el ejercicio fiscal 2019, así como las principales políticas financieras, económicas y sociales que influyeron en el resultado de los gastos ejercidos por la entidad fiscalizada.</w:t>
      </w:r>
    </w:p>
    <w:p w14:paraId="15562717" w14:textId="77777777" w:rsidR="00C85BAC" w:rsidRPr="00C85BAC" w:rsidRDefault="00C85BAC" w:rsidP="006F64CA">
      <w:pPr>
        <w:spacing w:line="360" w:lineRule="auto"/>
        <w:ind w:right="49"/>
        <w:jc w:val="both"/>
        <w:rPr>
          <w:rFonts w:ascii="Arial" w:hAnsi="Arial" w:cs="Arial"/>
        </w:rPr>
      </w:pPr>
    </w:p>
    <w:p w14:paraId="25265554" w14:textId="7AC1AB50" w:rsidR="00C85BAC" w:rsidRDefault="00C85BAC" w:rsidP="006F64CA">
      <w:pPr>
        <w:spacing w:line="360" w:lineRule="auto"/>
        <w:ind w:right="49"/>
        <w:jc w:val="both"/>
        <w:rPr>
          <w:rFonts w:ascii="Arial" w:hAnsi="Arial" w:cs="Arial"/>
        </w:rPr>
      </w:pPr>
      <w:r w:rsidRPr="00C85BAC">
        <w:rPr>
          <w:rFonts w:ascii="Arial" w:hAnsi="Arial" w:cs="Arial"/>
          <w:b/>
        </w:rPr>
        <w:t>B.- El Proceso de Vigilancia;</w:t>
      </w:r>
      <w:r w:rsidRPr="00C85BAC">
        <w:rPr>
          <w:rFonts w:ascii="Arial" w:hAnsi="Arial" w:cs="Arial"/>
        </w:rPr>
        <w:t xml:space="preserve"> que es desarrollado por la Legislatura del Estado con apoyo de la Auditoría Superior del Estado, cuya función es la revisión y fiscalización superior de la gestión financiera para comprobar el cumplimiento de las disposiciones legales y </w:t>
      </w:r>
      <w:r w:rsidRPr="00C85BAC">
        <w:rPr>
          <w:rFonts w:ascii="Arial" w:hAnsi="Arial" w:cs="Arial"/>
        </w:rPr>
        <w:lastRenderedPageBreak/>
        <w:t xml:space="preserve">normativas aplicables, en cuanto a los gastos públicos, y todo lo relacionado con la actividad financiera-administrativa de la </w:t>
      </w:r>
      <w:r w:rsidRPr="00C85BAC">
        <w:rPr>
          <w:rFonts w:ascii="Arial" w:hAnsi="Arial" w:cs="Arial"/>
          <w:b/>
        </w:rPr>
        <w:t>Oficialía Mayor del Gobierno del Estado de Quintana Roo</w:t>
      </w:r>
      <w:r w:rsidRPr="00C85BAC">
        <w:rPr>
          <w:rFonts w:ascii="Arial" w:hAnsi="Arial" w:cs="Arial"/>
        </w:rPr>
        <w:t>.</w:t>
      </w:r>
    </w:p>
    <w:p w14:paraId="72D603D6" w14:textId="77777777" w:rsidR="00C90BDE" w:rsidRPr="00C85BAC" w:rsidRDefault="00C90BDE" w:rsidP="006F64CA">
      <w:pPr>
        <w:spacing w:line="360" w:lineRule="auto"/>
        <w:ind w:right="49"/>
        <w:jc w:val="both"/>
        <w:rPr>
          <w:rFonts w:ascii="Arial" w:hAnsi="Arial" w:cs="Arial"/>
        </w:rPr>
      </w:pPr>
    </w:p>
    <w:p w14:paraId="4AA4454A" w14:textId="2690424A" w:rsidR="00C85BAC" w:rsidRPr="00C85BAC" w:rsidRDefault="00C85BAC" w:rsidP="006F64CA">
      <w:pPr>
        <w:spacing w:line="360" w:lineRule="auto"/>
        <w:ind w:right="49"/>
        <w:jc w:val="both"/>
        <w:rPr>
          <w:rFonts w:ascii="Arial" w:hAnsi="Arial" w:cs="Arial"/>
        </w:rPr>
      </w:pPr>
      <w:r w:rsidRPr="00C85BAC">
        <w:rPr>
          <w:rFonts w:ascii="Arial" w:hAnsi="Arial" w:cs="Arial"/>
        </w:rPr>
        <w:t xml:space="preserve">En la Cuenta Pública del H. Poder Ejecutivo del Gobierno del Estado Libre y Soberano de Quintana Roo, correspondiente al ejercicio fiscal 2019, se encuentra reflejada la recaudación del ingreso, el ejercicio del gasto público y el financiamiento obtenido de la  de la Administración Pública Central, integrada </w:t>
      </w:r>
      <w:r w:rsidR="00C90BDE">
        <w:rPr>
          <w:rFonts w:ascii="Arial" w:hAnsi="Arial" w:cs="Arial"/>
        </w:rPr>
        <w:t xml:space="preserve">por el Despacho del Gobernador y las </w:t>
      </w:r>
      <w:r w:rsidRPr="00C85BAC">
        <w:rPr>
          <w:rFonts w:ascii="Arial" w:hAnsi="Arial" w:cs="Arial"/>
        </w:rPr>
        <w:t xml:space="preserve">Dependencias, dentro de las cuales </w:t>
      </w:r>
      <w:r>
        <w:rPr>
          <w:rFonts w:ascii="Arial" w:hAnsi="Arial" w:cs="Arial"/>
        </w:rPr>
        <w:t>está</w:t>
      </w:r>
      <w:r w:rsidRPr="00C85BAC">
        <w:rPr>
          <w:rFonts w:ascii="Arial" w:hAnsi="Arial" w:cs="Arial"/>
        </w:rPr>
        <w:t xml:space="preserve"> la </w:t>
      </w:r>
      <w:r w:rsidRPr="00C85BAC">
        <w:rPr>
          <w:rFonts w:ascii="Arial" w:hAnsi="Arial" w:cs="Arial"/>
          <w:b/>
        </w:rPr>
        <w:t>Oficialía Mayor del Gobierno del Estado de Quintana Roo</w:t>
      </w:r>
      <w:r w:rsidRPr="00C85BAC">
        <w:rPr>
          <w:rFonts w:ascii="Arial" w:hAnsi="Arial" w:cs="Arial"/>
        </w:rPr>
        <w:t>, registrando la ap</w:t>
      </w:r>
      <w:r w:rsidR="001978FD">
        <w:rPr>
          <w:rFonts w:ascii="Arial" w:hAnsi="Arial" w:cs="Arial"/>
        </w:rPr>
        <w:t>licación de recursos estatales,</w:t>
      </w:r>
      <w:r w:rsidRPr="00C85BAC">
        <w:rPr>
          <w:rFonts w:ascii="Arial" w:hAnsi="Arial" w:cs="Arial"/>
        </w:rPr>
        <w:t xml:space="preserve"> federales</w:t>
      </w:r>
      <w:r w:rsidR="001978FD">
        <w:rPr>
          <w:rFonts w:ascii="Arial" w:hAnsi="Arial" w:cs="Arial"/>
        </w:rPr>
        <w:t xml:space="preserve"> y derivados de financiamientos</w:t>
      </w:r>
      <w:r w:rsidRPr="00C85BAC">
        <w:rPr>
          <w:rFonts w:ascii="Arial" w:hAnsi="Arial" w:cs="Arial"/>
        </w:rPr>
        <w:t>. La Cuenta Pública fue entregada en fecha 12 de junio de 2020, con oficio No. SEFIPLAN/DS/000137/VI/2020.</w:t>
      </w:r>
    </w:p>
    <w:p w14:paraId="1B03168E" w14:textId="77777777" w:rsidR="00C85BAC" w:rsidRPr="00C85BAC" w:rsidRDefault="00C85BAC" w:rsidP="006F64CA">
      <w:pPr>
        <w:spacing w:line="360" w:lineRule="auto"/>
        <w:ind w:right="49"/>
        <w:jc w:val="both"/>
        <w:rPr>
          <w:rFonts w:ascii="Arial" w:hAnsi="Arial" w:cs="Arial"/>
        </w:rPr>
      </w:pPr>
    </w:p>
    <w:p w14:paraId="608503ED" w14:textId="03F1DD3C" w:rsidR="00C85BAC" w:rsidRPr="00C85BAC" w:rsidRDefault="00C85BAC" w:rsidP="006F64CA">
      <w:pPr>
        <w:spacing w:line="360" w:lineRule="auto"/>
        <w:ind w:right="49"/>
        <w:jc w:val="both"/>
        <w:rPr>
          <w:rFonts w:ascii="Arial" w:hAnsi="Arial" w:cs="Arial"/>
        </w:rPr>
      </w:pPr>
      <w:r w:rsidRPr="00C85BAC">
        <w:rPr>
          <w:rFonts w:ascii="Arial" w:hAnsi="Arial" w:cs="Arial"/>
        </w:rPr>
        <w:t>El C. Auditor Superior del Estado de Quintana Roo, de conformidad con lo dispuesto en</w:t>
      </w:r>
      <w:r>
        <w:rPr>
          <w:rFonts w:ascii="Arial" w:hAnsi="Arial" w:cs="Arial"/>
        </w:rPr>
        <w:t xml:space="preserve"> los artículos 8, 19 fracción I y 86 fracción IV</w:t>
      </w:r>
      <w:r w:rsidRPr="00C85BAC">
        <w:rPr>
          <w:rFonts w:ascii="Arial" w:hAnsi="Arial" w:cs="Arial"/>
        </w:rPr>
        <w:t xml:space="preserve">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p>
    <w:p w14:paraId="69F479BB" w14:textId="77777777" w:rsidR="00C85BAC" w:rsidRPr="00C85BAC" w:rsidRDefault="00C85BAC" w:rsidP="006F64CA">
      <w:pPr>
        <w:spacing w:line="360" w:lineRule="auto"/>
        <w:ind w:right="49"/>
        <w:jc w:val="both"/>
        <w:rPr>
          <w:rFonts w:ascii="Arial" w:hAnsi="Arial" w:cs="Arial"/>
        </w:rPr>
      </w:pPr>
    </w:p>
    <w:p w14:paraId="32D047CE" w14:textId="5F1D1C60" w:rsidR="00C85BAC" w:rsidRPr="00A05588" w:rsidRDefault="00C85BAC" w:rsidP="006F64CA">
      <w:pPr>
        <w:spacing w:line="360" w:lineRule="auto"/>
        <w:ind w:right="49"/>
        <w:jc w:val="both"/>
        <w:rPr>
          <w:rFonts w:ascii="Arial" w:hAnsi="Arial" w:cs="Arial"/>
        </w:rPr>
      </w:pPr>
      <w:r w:rsidRPr="00C85BAC">
        <w:rPr>
          <w:rFonts w:ascii="Arial" w:hAnsi="Arial" w:cs="Arial"/>
        </w:rPr>
        <w:t>Por lo anterior y en cumplimiento a los artículos 2, 3, 4, 5</w:t>
      </w:r>
      <w:r>
        <w:rPr>
          <w:rFonts w:ascii="Arial" w:hAnsi="Arial" w:cs="Arial"/>
        </w:rPr>
        <w:t>,</w:t>
      </w:r>
      <w:r w:rsidRPr="00C85BAC">
        <w:rPr>
          <w:rFonts w:ascii="Arial" w:hAnsi="Arial" w:cs="Arial"/>
        </w:rPr>
        <w:t xml:space="preserve"> </w:t>
      </w:r>
      <w:r w:rsidR="0036637C">
        <w:rPr>
          <w:rFonts w:ascii="Arial" w:hAnsi="Arial" w:cs="Arial"/>
        </w:rPr>
        <w:t xml:space="preserve">6 fracciones I, </w:t>
      </w:r>
      <w:r w:rsidRPr="00C85BAC">
        <w:rPr>
          <w:rFonts w:ascii="Arial" w:hAnsi="Arial" w:cs="Arial"/>
        </w:rPr>
        <w:t>II</w:t>
      </w:r>
      <w:r w:rsidR="0036637C">
        <w:rPr>
          <w:rFonts w:ascii="Arial" w:hAnsi="Arial" w:cs="Arial"/>
        </w:rPr>
        <w:t xml:space="preserve"> y XX</w:t>
      </w:r>
      <w:r w:rsidRPr="00C85BAC">
        <w:rPr>
          <w:rFonts w:ascii="Arial" w:hAnsi="Arial" w:cs="Arial"/>
        </w:rPr>
        <w:t xml:space="preserve">, 16, </w:t>
      </w:r>
      <w:r w:rsidR="0036637C">
        <w:rPr>
          <w:rFonts w:ascii="Arial" w:hAnsi="Arial" w:cs="Arial"/>
        </w:rPr>
        <w:t xml:space="preserve">17, </w:t>
      </w:r>
      <w:r w:rsidRPr="00C85BAC">
        <w:rPr>
          <w:rFonts w:ascii="Arial" w:hAnsi="Arial" w:cs="Arial"/>
        </w:rPr>
        <w:t xml:space="preserve">19 fracciones </w:t>
      </w:r>
      <w:r w:rsidR="0036637C">
        <w:rPr>
          <w:rFonts w:ascii="Arial" w:hAnsi="Arial" w:cs="Arial"/>
        </w:rPr>
        <w:t xml:space="preserve">I, VI, VII, VIII, XII, XV, </w:t>
      </w:r>
      <w:r w:rsidRPr="00C85BAC">
        <w:rPr>
          <w:rFonts w:ascii="Arial" w:hAnsi="Arial" w:cs="Arial"/>
        </w:rPr>
        <w:t>XXVI y XXVIII, 22</w:t>
      </w:r>
      <w:r w:rsidR="0036637C">
        <w:rPr>
          <w:rFonts w:ascii="Arial" w:hAnsi="Arial" w:cs="Arial"/>
        </w:rPr>
        <w:t xml:space="preserve"> en su último párrafo</w:t>
      </w:r>
      <w:r w:rsidRPr="00C85BAC">
        <w:rPr>
          <w:rFonts w:ascii="Arial" w:hAnsi="Arial" w:cs="Arial"/>
        </w:rPr>
        <w:t xml:space="preserve">, </w:t>
      </w:r>
      <w:r w:rsidR="0036637C">
        <w:rPr>
          <w:rFonts w:ascii="Arial" w:hAnsi="Arial" w:cs="Arial"/>
        </w:rPr>
        <w:t>38, 41, 42 y</w:t>
      </w:r>
      <w:r w:rsidRPr="00C85BAC">
        <w:rPr>
          <w:rFonts w:ascii="Arial" w:hAnsi="Arial" w:cs="Arial"/>
        </w:rPr>
        <w:t xml:space="preserve"> 86 fracciones I, </w:t>
      </w:r>
      <w:r w:rsidR="0036637C">
        <w:rPr>
          <w:rFonts w:ascii="Arial" w:hAnsi="Arial" w:cs="Arial"/>
        </w:rPr>
        <w:t xml:space="preserve">XVII, XXII y XXXVI </w:t>
      </w:r>
      <w:r w:rsidRPr="00C85BAC">
        <w:rPr>
          <w:rFonts w:ascii="Arial" w:hAnsi="Arial" w:cs="Arial"/>
        </w:rPr>
        <w:t xml:space="preserve">de la Ley de Fiscalización y Rendición de Cuentas del Estado de Quintana Roo, se tiene a bien presentar el </w:t>
      </w:r>
      <w:r w:rsidR="0036637C">
        <w:rPr>
          <w:rFonts w:ascii="Arial" w:hAnsi="Arial" w:cs="Arial"/>
        </w:rPr>
        <w:t>Informe Individual de Auditoría</w:t>
      </w:r>
      <w:r w:rsidRPr="00C85BAC">
        <w:rPr>
          <w:rFonts w:ascii="Arial" w:hAnsi="Arial" w:cs="Arial"/>
        </w:rPr>
        <w:t xml:space="preserve">, obtenido con relación a la Cuenta Pública </w:t>
      </w:r>
      <w:r w:rsidR="0036637C">
        <w:rPr>
          <w:rFonts w:ascii="Arial" w:hAnsi="Arial" w:cs="Arial"/>
        </w:rPr>
        <w:t>de</w:t>
      </w:r>
      <w:r w:rsidRPr="00C85BAC">
        <w:rPr>
          <w:rFonts w:ascii="Arial" w:hAnsi="Arial" w:cs="Arial"/>
        </w:rPr>
        <w:t xml:space="preserve"> la </w:t>
      </w:r>
      <w:r w:rsidRPr="00C85BAC">
        <w:rPr>
          <w:rFonts w:ascii="Arial" w:hAnsi="Arial" w:cs="Arial"/>
          <w:b/>
        </w:rPr>
        <w:t>Oficialía Mayor del Gobierno del Estado de Quintana Roo</w:t>
      </w:r>
      <w:r w:rsidRPr="0036637C">
        <w:rPr>
          <w:rFonts w:ascii="Arial" w:hAnsi="Arial" w:cs="Arial"/>
        </w:rPr>
        <w:t>,</w:t>
      </w:r>
      <w:r w:rsidRPr="00C85BAC">
        <w:rPr>
          <w:rFonts w:ascii="Arial" w:hAnsi="Arial" w:cs="Arial"/>
          <w:b/>
        </w:rPr>
        <w:t xml:space="preserve"> </w:t>
      </w:r>
      <w:r w:rsidR="0036637C" w:rsidRPr="0036637C">
        <w:rPr>
          <w:rFonts w:ascii="Arial" w:hAnsi="Arial" w:cs="Arial"/>
        </w:rPr>
        <w:t xml:space="preserve">correspondiente al </w:t>
      </w:r>
      <w:r w:rsidRPr="0036637C">
        <w:rPr>
          <w:rFonts w:ascii="Arial" w:hAnsi="Arial" w:cs="Arial"/>
        </w:rPr>
        <w:t>ejercicio fiscal 2019.</w:t>
      </w:r>
    </w:p>
    <w:p w14:paraId="0B3732C4" w14:textId="10B8D018" w:rsidR="00D449CD" w:rsidRDefault="00D449CD" w:rsidP="00B93F1F">
      <w:pPr>
        <w:spacing w:line="360" w:lineRule="auto"/>
        <w:ind w:right="190"/>
        <w:rPr>
          <w:rFonts w:ascii="Arial" w:hAnsi="Arial" w:cs="Arial"/>
          <w:b/>
          <w:bCs/>
        </w:rPr>
      </w:pPr>
    </w:p>
    <w:p w14:paraId="42BFFED1" w14:textId="2F333459" w:rsidR="00430423" w:rsidRPr="00A05588" w:rsidRDefault="00430423" w:rsidP="004E06EB">
      <w:pPr>
        <w:spacing w:line="360" w:lineRule="auto"/>
        <w:ind w:right="49"/>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4E06EB">
      <w:pPr>
        <w:spacing w:line="360" w:lineRule="auto"/>
        <w:ind w:right="49"/>
        <w:rPr>
          <w:rFonts w:ascii="Arial" w:hAnsi="Arial" w:cs="Arial"/>
          <w:b/>
          <w:bCs/>
        </w:rPr>
      </w:pPr>
    </w:p>
    <w:p w14:paraId="34716022" w14:textId="77777777" w:rsidR="00E3658B" w:rsidRPr="00A05588" w:rsidRDefault="00E3658B" w:rsidP="004E06EB">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4E06EB">
      <w:pPr>
        <w:spacing w:line="360" w:lineRule="auto"/>
        <w:ind w:right="49"/>
        <w:jc w:val="both"/>
        <w:rPr>
          <w:rFonts w:ascii="Arial" w:hAnsi="Arial" w:cs="Arial"/>
        </w:rPr>
      </w:pPr>
    </w:p>
    <w:p w14:paraId="39A8B03F" w14:textId="77777777" w:rsidR="00E96E83" w:rsidRPr="00E96E83" w:rsidRDefault="00E96E83" w:rsidP="004E06EB">
      <w:pPr>
        <w:spacing w:line="360" w:lineRule="auto"/>
        <w:ind w:right="49"/>
        <w:jc w:val="both"/>
        <w:rPr>
          <w:rFonts w:ascii="Arial" w:hAnsi="Arial" w:cs="Arial"/>
        </w:rPr>
      </w:pPr>
      <w:r w:rsidRPr="00E96E83">
        <w:rPr>
          <w:rFonts w:ascii="Arial" w:hAnsi="Arial" w:cs="Arial"/>
        </w:rPr>
        <w:t xml:space="preserve">La </w:t>
      </w:r>
      <w:r w:rsidRPr="00E96E83">
        <w:rPr>
          <w:rFonts w:ascii="Arial" w:hAnsi="Arial" w:cs="Arial"/>
          <w:b/>
        </w:rPr>
        <w:t>Oficialía Mayor del Gobierno del Estado de Quintana Roo</w:t>
      </w:r>
      <w:r w:rsidRPr="00E96E83">
        <w:rPr>
          <w:rFonts w:ascii="Arial" w:hAnsi="Arial" w:cs="Arial"/>
        </w:rPr>
        <w:t xml:space="preserve"> tiene sus orígenes el 31 de mayo de 1976, como lo estableció la entonces Ley Orgánica del Poder Ejecutivo del Estado de Quintana Roo, publicada en el Periódico Oficial del Estado en la misma fecha, y cuyo objeto es auxiliar al Titular del Poder Ejecutivo para el despacho, estudio y planeación de los asuntos que competan al sector que encabeza. </w:t>
      </w:r>
    </w:p>
    <w:p w14:paraId="177E25F9" w14:textId="77777777" w:rsidR="00E96E83" w:rsidRPr="00E96E83" w:rsidRDefault="00E96E83" w:rsidP="004E06EB">
      <w:pPr>
        <w:spacing w:line="360" w:lineRule="auto"/>
        <w:ind w:right="49"/>
        <w:jc w:val="both"/>
        <w:rPr>
          <w:rFonts w:ascii="Arial" w:hAnsi="Arial" w:cs="Arial"/>
        </w:rPr>
      </w:pPr>
    </w:p>
    <w:p w14:paraId="1C7D4850" w14:textId="5D838710" w:rsidR="00406582" w:rsidRDefault="00E96E83" w:rsidP="004E06EB">
      <w:pPr>
        <w:spacing w:line="360" w:lineRule="auto"/>
        <w:ind w:right="49"/>
        <w:jc w:val="both"/>
        <w:rPr>
          <w:rFonts w:ascii="Arial" w:hAnsi="Arial" w:cs="Arial"/>
        </w:rPr>
      </w:pPr>
      <w:r w:rsidRPr="00E96E83">
        <w:rPr>
          <w:rFonts w:ascii="Arial" w:hAnsi="Arial" w:cs="Arial"/>
        </w:rPr>
        <w:t xml:space="preserve">A través de los años se ha ido transformando de acuerdo a la dinámica de crecimiento del Estado. El 23 de junio de 2017 se publica la Ley Orgánica de la Administración Pública del Estado de Quintana Roo y se fortalecen las atribuciones de la </w:t>
      </w:r>
      <w:r w:rsidRPr="00E96E83">
        <w:rPr>
          <w:rFonts w:ascii="Arial" w:hAnsi="Arial" w:cs="Arial"/>
          <w:b/>
        </w:rPr>
        <w:t>Oficialía Mayor del Gobierno del Estado de Quintana Roo</w:t>
      </w:r>
      <w:r w:rsidRPr="00E96E83">
        <w:rPr>
          <w:rFonts w:ascii="Arial" w:hAnsi="Arial" w:cs="Arial"/>
        </w:rPr>
        <w:t xml:space="preserve"> en cuanto a proporcionar los servicios de administración, en coordinación con aquellas dependencias que tengan unidades administrativas y de representación regional, para que cumplan sus objetivos bajo criterios de eficiencia, productividad y ahorro en el gasto público que propicie mayor cercanía y mejor calidad de servicios a la población, entre otras.</w:t>
      </w:r>
    </w:p>
    <w:p w14:paraId="79208D3D" w14:textId="77777777" w:rsidR="00E96E83" w:rsidRPr="009879F6" w:rsidRDefault="00E96E83" w:rsidP="004E06EB">
      <w:pPr>
        <w:spacing w:line="360" w:lineRule="auto"/>
        <w:ind w:right="49"/>
        <w:jc w:val="both"/>
        <w:rPr>
          <w:rFonts w:ascii="Arial" w:hAnsi="Arial" w:cs="Arial"/>
          <w:b/>
          <w:bCs/>
        </w:rPr>
      </w:pPr>
    </w:p>
    <w:p w14:paraId="1C2BAF1F" w14:textId="7D34BB61" w:rsidR="00C47B98" w:rsidRPr="009879F6" w:rsidRDefault="00C47B98" w:rsidP="004E06EB">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406582">
        <w:rPr>
          <w:rFonts w:ascii="Arial" w:hAnsi="Arial" w:cs="Arial"/>
          <w:b/>
          <w:bCs/>
        </w:rPr>
        <w:t>E</w:t>
      </w:r>
      <w:r w:rsidRPr="009879F6">
        <w:rPr>
          <w:rFonts w:ascii="Arial" w:hAnsi="Arial" w:cs="Arial"/>
          <w:b/>
          <w:bCs/>
        </w:rPr>
        <w:t>GRESOS</w:t>
      </w:r>
    </w:p>
    <w:p w14:paraId="52E9F554" w14:textId="77777777" w:rsidR="00C47B98" w:rsidRPr="009879F6" w:rsidRDefault="00C47B98" w:rsidP="004E06EB">
      <w:pPr>
        <w:spacing w:line="360" w:lineRule="auto"/>
        <w:ind w:right="49"/>
        <w:jc w:val="both"/>
        <w:rPr>
          <w:rFonts w:ascii="Arial" w:hAnsi="Arial" w:cs="Arial"/>
          <w:b/>
          <w:bCs/>
        </w:rPr>
      </w:pPr>
    </w:p>
    <w:p w14:paraId="747572C7" w14:textId="77777777" w:rsidR="00926E86" w:rsidRPr="009879F6" w:rsidRDefault="00926E86" w:rsidP="004E06EB">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4E06EB">
      <w:pPr>
        <w:spacing w:line="360" w:lineRule="auto"/>
        <w:ind w:right="49"/>
        <w:jc w:val="both"/>
        <w:rPr>
          <w:rFonts w:ascii="Arial" w:hAnsi="Arial" w:cs="Arial"/>
          <w:b/>
          <w:bCs/>
        </w:rPr>
      </w:pPr>
    </w:p>
    <w:p w14:paraId="03D99853" w14:textId="77777777" w:rsidR="00AA50F2" w:rsidRPr="009879F6" w:rsidRDefault="00FF74D2" w:rsidP="004E06EB">
      <w:pPr>
        <w:spacing w:line="360" w:lineRule="auto"/>
        <w:ind w:right="49"/>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4E06EB">
      <w:pPr>
        <w:spacing w:line="360" w:lineRule="auto"/>
        <w:ind w:right="49"/>
        <w:jc w:val="both"/>
        <w:rPr>
          <w:rFonts w:ascii="Arial" w:hAnsi="Arial" w:cs="Arial"/>
          <w:b/>
          <w:bCs/>
        </w:rPr>
      </w:pPr>
    </w:p>
    <w:p w14:paraId="41E7DCE4" w14:textId="62E48300" w:rsidR="00AA50F2" w:rsidRPr="009879F6" w:rsidRDefault="00AA50F2" w:rsidP="004E06EB">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E96E83" w:rsidRPr="00E96E83">
        <w:rPr>
          <w:rFonts w:ascii="Arial" w:hAnsi="Arial" w:cs="Arial"/>
          <w:b/>
        </w:rPr>
        <w:t>Oficialía Mayor del Gobierno</w:t>
      </w:r>
      <w:r w:rsidR="00AC3CEA" w:rsidRPr="006B2627">
        <w:rPr>
          <w:rFonts w:ascii="Arial" w:hAnsi="Arial" w:cs="Arial"/>
          <w:b/>
        </w:rPr>
        <w:t xml:space="preserve">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4E06EB">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47871323" w:rsidR="00AA50F2" w:rsidRPr="00AC3CEA" w:rsidRDefault="00E96E83" w:rsidP="004E06EB">
            <w:pPr>
              <w:spacing w:line="360" w:lineRule="auto"/>
              <w:ind w:right="49"/>
              <w:jc w:val="both"/>
              <w:rPr>
                <w:rFonts w:ascii="Arial" w:hAnsi="Arial" w:cs="Arial"/>
                <w:b/>
                <w:bCs/>
              </w:rPr>
            </w:pPr>
            <w:r w:rsidRPr="00E96E83">
              <w:rPr>
                <w:rFonts w:ascii="Arial" w:hAnsi="Arial" w:cs="Arial"/>
                <w:b/>
                <w:szCs w:val="18"/>
              </w:rPr>
              <w:t>19-AEMF-B-GOB-005-009</w:t>
            </w:r>
            <w:r w:rsidR="00AC3CEA" w:rsidRPr="00AC3CEA">
              <w:rPr>
                <w:rFonts w:ascii="Arial" w:hAnsi="Arial" w:cs="Arial"/>
                <w:b/>
                <w:szCs w:val="18"/>
              </w:rPr>
              <w:t xml:space="preserve"> </w:t>
            </w:r>
          </w:p>
        </w:tc>
        <w:tc>
          <w:tcPr>
            <w:tcW w:w="2713" w:type="pct"/>
            <w:shd w:val="clear" w:color="auto" w:fill="auto"/>
          </w:tcPr>
          <w:p w14:paraId="409DA764" w14:textId="43FD9352" w:rsidR="00AA50F2" w:rsidRPr="009879F6" w:rsidRDefault="00AC3CEA" w:rsidP="004E06EB">
            <w:pPr>
              <w:spacing w:line="360" w:lineRule="auto"/>
              <w:ind w:right="49"/>
              <w:jc w:val="both"/>
              <w:rPr>
                <w:rFonts w:ascii="Arial" w:hAnsi="Arial" w:cs="Arial"/>
                <w:bCs/>
              </w:rPr>
            </w:pPr>
            <w:r w:rsidRPr="00AC3CEA">
              <w:rPr>
                <w:rFonts w:ascii="Arial" w:hAnsi="Arial" w:cs="Arial"/>
                <w:bCs/>
                <w:szCs w:val="18"/>
              </w:rPr>
              <w:t>“</w:t>
            </w:r>
            <w:r w:rsidR="00E96E83" w:rsidRPr="00E96E83">
              <w:rPr>
                <w:rFonts w:ascii="Arial" w:hAnsi="Arial" w:cs="Arial"/>
                <w:bCs/>
                <w:szCs w:val="18"/>
              </w:rPr>
              <w:t>Auditoría de Cumplimiento Financiero de Egresos Ejercidos</w:t>
            </w:r>
            <w:r w:rsidRPr="00AC3CEA">
              <w:rPr>
                <w:rFonts w:ascii="Arial" w:hAnsi="Arial" w:cs="Arial"/>
                <w:bCs/>
                <w:szCs w:val="18"/>
              </w:rPr>
              <w:t xml:space="preserve">” </w:t>
            </w:r>
          </w:p>
        </w:tc>
      </w:tr>
    </w:tbl>
    <w:p w14:paraId="261DF85F" w14:textId="77777777" w:rsidR="00202093" w:rsidRPr="009879F6" w:rsidRDefault="00202093" w:rsidP="004E06EB">
      <w:pPr>
        <w:spacing w:line="360" w:lineRule="auto"/>
        <w:ind w:right="49"/>
        <w:jc w:val="both"/>
        <w:rPr>
          <w:rFonts w:ascii="Arial" w:hAnsi="Arial" w:cs="Arial"/>
          <w:b/>
          <w:bCs/>
        </w:rPr>
      </w:pPr>
    </w:p>
    <w:p w14:paraId="25C0B2ED" w14:textId="506DFA08" w:rsidR="00AA50F2" w:rsidRPr="009879F6" w:rsidRDefault="00FF74D2" w:rsidP="004E06EB">
      <w:pPr>
        <w:spacing w:line="360" w:lineRule="auto"/>
        <w:ind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4E06EB">
      <w:pPr>
        <w:spacing w:line="360" w:lineRule="auto"/>
        <w:ind w:right="49"/>
        <w:jc w:val="both"/>
        <w:rPr>
          <w:rFonts w:ascii="Arial" w:hAnsi="Arial" w:cs="Arial"/>
          <w:bCs/>
        </w:rPr>
      </w:pPr>
    </w:p>
    <w:p w14:paraId="4BF2C84D" w14:textId="132A0580" w:rsidR="00D35515" w:rsidRPr="009879F6" w:rsidRDefault="00AC3CEA" w:rsidP="004E06EB">
      <w:pPr>
        <w:spacing w:line="360" w:lineRule="auto"/>
        <w:ind w:right="49"/>
        <w:jc w:val="both"/>
        <w:rPr>
          <w:rFonts w:ascii="Arial" w:hAnsi="Arial" w:cs="Arial"/>
          <w:bCs/>
        </w:rPr>
      </w:pPr>
      <w:r>
        <w:rPr>
          <w:rFonts w:ascii="Arial" w:hAnsi="Arial" w:cs="Arial"/>
          <w:bCs/>
        </w:rPr>
        <w:t>Fiscalizar la gestión financiera para comprobar el cumplimiento de lo dispuesto en el Presupuesto de Egresos</w:t>
      </w:r>
      <w:r w:rsidR="006B4651">
        <w:rPr>
          <w:rFonts w:ascii="Arial" w:hAnsi="Arial" w:cs="Arial"/>
          <w:bCs/>
        </w:rPr>
        <w:t xml:space="preserve">, </w:t>
      </w:r>
      <w:r w:rsidR="00C90BDE">
        <w:rPr>
          <w:rFonts w:ascii="Arial" w:hAnsi="Arial" w:cs="Arial"/>
          <w:bCs/>
        </w:rPr>
        <w:t xml:space="preserve">y demás disposiciones legales aplicables </w:t>
      </w:r>
      <w:r>
        <w:rPr>
          <w:rFonts w:ascii="Arial" w:hAnsi="Arial" w:cs="Arial"/>
          <w:bCs/>
        </w:rPr>
        <w:t>en cuanto a los gastos públicos, incluyendo la revisión del manejo, la custodia y la aplicación de recursos públicos estatales, así como información financiera, contable, patrimonial, presupuestaria y programática, conforme a las disposiciones aplicables.</w:t>
      </w:r>
    </w:p>
    <w:p w14:paraId="06DD078E" w14:textId="77777777" w:rsidR="00AA50F2" w:rsidRPr="00AA50F2" w:rsidRDefault="00AA50F2" w:rsidP="004E06EB">
      <w:pPr>
        <w:spacing w:line="360" w:lineRule="auto"/>
        <w:ind w:right="49"/>
        <w:jc w:val="both"/>
        <w:rPr>
          <w:rFonts w:ascii="Arial" w:hAnsi="Arial" w:cs="Arial"/>
          <w:bCs/>
        </w:rPr>
      </w:pPr>
    </w:p>
    <w:p w14:paraId="600E1A12" w14:textId="77777777" w:rsidR="00AA50F2" w:rsidRPr="00AA50F2" w:rsidRDefault="00FF74D2" w:rsidP="004E06EB">
      <w:pPr>
        <w:spacing w:line="360" w:lineRule="auto"/>
        <w:ind w:right="49"/>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4E06EB">
      <w:pPr>
        <w:spacing w:line="360" w:lineRule="auto"/>
        <w:ind w:right="49"/>
        <w:jc w:val="both"/>
        <w:rPr>
          <w:rFonts w:ascii="Arial" w:hAnsi="Arial" w:cs="Arial"/>
        </w:rPr>
      </w:pPr>
    </w:p>
    <w:p w14:paraId="7C14FB25" w14:textId="604E8668" w:rsidR="00AA50F2" w:rsidRPr="009879F6" w:rsidRDefault="00E34202" w:rsidP="004E06EB">
      <w:pPr>
        <w:spacing w:line="360" w:lineRule="auto"/>
        <w:ind w:right="49"/>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1A55E4" w:rsidRPr="001A55E4">
        <w:rPr>
          <w:rFonts w:ascii="Arial" w:hAnsi="Arial" w:cs="Arial"/>
        </w:rPr>
        <w:t>393</w:t>
      </w:r>
      <w:r w:rsidR="001A55E4">
        <w:rPr>
          <w:rFonts w:ascii="Arial" w:hAnsi="Arial" w:cs="Arial"/>
        </w:rPr>
        <w:t>,</w:t>
      </w:r>
      <w:r w:rsidR="001A55E4" w:rsidRPr="001A55E4">
        <w:rPr>
          <w:rFonts w:ascii="Arial" w:hAnsi="Arial" w:cs="Arial"/>
        </w:rPr>
        <w:t>858</w:t>
      </w:r>
      <w:r w:rsidR="001A55E4">
        <w:rPr>
          <w:rFonts w:ascii="Arial" w:hAnsi="Arial" w:cs="Arial"/>
        </w:rPr>
        <w:t>,</w:t>
      </w:r>
      <w:r w:rsidR="001A55E4" w:rsidRPr="001A55E4">
        <w:rPr>
          <w:rFonts w:ascii="Arial" w:hAnsi="Arial" w:cs="Arial"/>
        </w:rPr>
        <w:t>278.91</w:t>
      </w:r>
    </w:p>
    <w:p w14:paraId="4BF3AC1B" w14:textId="77777777" w:rsidR="00A720AA" w:rsidRPr="009879F6" w:rsidRDefault="00A720AA" w:rsidP="004E06EB">
      <w:pPr>
        <w:spacing w:line="360" w:lineRule="auto"/>
        <w:ind w:right="49"/>
        <w:rPr>
          <w:rFonts w:ascii="Arial" w:hAnsi="Arial" w:cs="Arial"/>
        </w:rPr>
      </w:pPr>
      <w:bookmarkStart w:id="0" w:name="_Toc518907881"/>
      <w:bookmarkStart w:id="1" w:name="_Toc520196704"/>
    </w:p>
    <w:p w14:paraId="5E1E76C7" w14:textId="5B2E4841" w:rsidR="00A720AA" w:rsidRPr="009879F6" w:rsidRDefault="00A720AA" w:rsidP="004E06EB">
      <w:pPr>
        <w:spacing w:line="360" w:lineRule="auto"/>
        <w:ind w:right="49"/>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1A55E4" w:rsidRPr="001A55E4">
        <w:rPr>
          <w:rFonts w:ascii="Arial" w:hAnsi="Arial" w:cs="Arial"/>
        </w:rPr>
        <w:t>211</w:t>
      </w:r>
      <w:r w:rsidR="001A55E4">
        <w:rPr>
          <w:rFonts w:ascii="Arial" w:hAnsi="Arial" w:cs="Arial"/>
        </w:rPr>
        <w:t>,</w:t>
      </w:r>
      <w:r w:rsidR="001A55E4" w:rsidRPr="001A55E4">
        <w:rPr>
          <w:rFonts w:ascii="Arial" w:hAnsi="Arial" w:cs="Arial"/>
        </w:rPr>
        <w:t>796</w:t>
      </w:r>
      <w:r w:rsidR="001A55E4">
        <w:rPr>
          <w:rFonts w:ascii="Arial" w:hAnsi="Arial" w:cs="Arial"/>
        </w:rPr>
        <w:t>,</w:t>
      </w:r>
      <w:r w:rsidR="001A55E4" w:rsidRPr="001A55E4">
        <w:rPr>
          <w:rFonts w:ascii="Arial" w:hAnsi="Arial" w:cs="Arial"/>
        </w:rPr>
        <w:t>573.33</w:t>
      </w:r>
    </w:p>
    <w:p w14:paraId="51BF8A82" w14:textId="77777777" w:rsidR="00E34202" w:rsidRPr="009879F6" w:rsidRDefault="00E34202" w:rsidP="004E06EB">
      <w:pPr>
        <w:spacing w:line="360" w:lineRule="auto"/>
        <w:ind w:right="49"/>
        <w:rPr>
          <w:rFonts w:ascii="Arial" w:hAnsi="Arial" w:cs="Arial"/>
        </w:rPr>
      </w:pPr>
    </w:p>
    <w:p w14:paraId="3C316B61" w14:textId="6778F896" w:rsidR="00AA50F2" w:rsidRPr="009879F6" w:rsidRDefault="00AA50F2" w:rsidP="004E06EB">
      <w:pPr>
        <w:spacing w:line="360" w:lineRule="auto"/>
        <w:ind w:right="49"/>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0"/>
      <w:bookmarkEnd w:id="1"/>
      <w:r w:rsidRPr="009879F6">
        <w:rPr>
          <w:rFonts w:ascii="Arial" w:hAnsi="Arial" w:cs="Arial"/>
        </w:rPr>
        <w:t>$</w:t>
      </w:r>
      <w:r w:rsidR="00B97FD0">
        <w:rPr>
          <w:rFonts w:ascii="Arial" w:hAnsi="Arial" w:cs="Arial"/>
        </w:rPr>
        <w:t>151,</w:t>
      </w:r>
      <w:r w:rsidR="007E214B">
        <w:rPr>
          <w:rFonts w:ascii="Arial" w:hAnsi="Arial" w:cs="Arial"/>
        </w:rPr>
        <w:t>218</w:t>
      </w:r>
      <w:r w:rsidR="00B97FD0">
        <w:rPr>
          <w:rFonts w:ascii="Arial" w:hAnsi="Arial" w:cs="Arial"/>
        </w:rPr>
        <w:t>,16</w:t>
      </w:r>
      <w:r w:rsidR="007E214B">
        <w:rPr>
          <w:rFonts w:ascii="Arial" w:hAnsi="Arial" w:cs="Arial"/>
        </w:rPr>
        <w:t>0</w:t>
      </w:r>
      <w:r w:rsidR="00B97FD0">
        <w:rPr>
          <w:rFonts w:ascii="Arial" w:hAnsi="Arial" w:cs="Arial"/>
        </w:rPr>
        <w:t>.</w:t>
      </w:r>
      <w:r w:rsidR="007E214B">
        <w:rPr>
          <w:rFonts w:ascii="Arial" w:hAnsi="Arial" w:cs="Arial"/>
        </w:rPr>
        <w:t>89</w:t>
      </w:r>
    </w:p>
    <w:p w14:paraId="4BAD4250" w14:textId="77777777" w:rsidR="00DC554D" w:rsidRDefault="00DC554D" w:rsidP="004E06EB">
      <w:pPr>
        <w:spacing w:line="360" w:lineRule="auto"/>
        <w:ind w:right="49"/>
        <w:rPr>
          <w:rFonts w:ascii="Arial" w:hAnsi="Arial" w:cs="Arial"/>
          <w:b/>
        </w:rPr>
      </w:pPr>
      <w:bookmarkStart w:id="2" w:name="_Toc518907882"/>
      <w:bookmarkStart w:id="3" w:name="_Toc520196705"/>
    </w:p>
    <w:p w14:paraId="15590F48" w14:textId="651E04DB" w:rsidR="00AA50F2" w:rsidRPr="009879F6" w:rsidRDefault="00FA4D20" w:rsidP="004E06EB">
      <w:pPr>
        <w:spacing w:line="360" w:lineRule="auto"/>
        <w:ind w:right="49"/>
        <w:rPr>
          <w:rFonts w:ascii="Arial" w:hAnsi="Arial" w:cs="Arial"/>
        </w:rPr>
      </w:pPr>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2"/>
      <w:bookmarkEnd w:id="3"/>
      <w:r w:rsidR="00B97FD0">
        <w:rPr>
          <w:rFonts w:ascii="Arial" w:hAnsi="Arial" w:cs="Arial"/>
        </w:rPr>
        <w:t>71.40</w:t>
      </w:r>
      <w:r w:rsidR="00AA50F2" w:rsidRPr="009879F6">
        <w:rPr>
          <w:rFonts w:ascii="Arial" w:hAnsi="Arial" w:cs="Arial"/>
        </w:rPr>
        <w:t>%</w:t>
      </w:r>
    </w:p>
    <w:p w14:paraId="14ABF74E" w14:textId="3FC38FF4" w:rsidR="00AA50F2" w:rsidRDefault="00AA50F2" w:rsidP="004E06EB">
      <w:pPr>
        <w:spacing w:line="360" w:lineRule="auto"/>
        <w:ind w:right="49"/>
        <w:jc w:val="both"/>
        <w:rPr>
          <w:rFonts w:ascii="Arial" w:hAnsi="Arial" w:cs="Arial"/>
        </w:rPr>
      </w:pPr>
    </w:p>
    <w:p w14:paraId="1F89701A" w14:textId="14EC24B2" w:rsidR="00B97FD0" w:rsidRDefault="007B1830" w:rsidP="004E06EB">
      <w:pPr>
        <w:spacing w:line="360" w:lineRule="auto"/>
        <w:ind w:right="49"/>
        <w:jc w:val="both"/>
        <w:rPr>
          <w:rFonts w:ascii="Arial" w:hAnsi="Arial" w:cs="Arial"/>
        </w:rPr>
      </w:pPr>
      <w:r w:rsidRPr="009879F6">
        <w:rPr>
          <w:rFonts w:ascii="Arial" w:hAnsi="Arial" w:cs="Arial"/>
        </w:rPr>
        <w:t xml:space="preserve">En el </w:t>
      </w:r>
      <w:r w:rsidR="00D95ECA" w:rsidRPr="009879F6">
        <w:rPr>
          <w:rFonts w:ascii="Arial" w:hAnsi="Arial" w:cs="Arial"/>
        </w:rPr>
        <w:t xml:space="preserve">total del </w:t>
      </w:r>
      <w:r w:rsidRPr="009879F6">
        <w:rPr>
          <w:rFonts w:ascii="Arial" w:hAnsi="Arial" w:cs="Arial"/>
        </w:rPr>
        <w:t>U</w:t>
      </w:r>
      <w:r w:rsidR="00E34202" w:rsidRPr="009879F6">
        <w:rPr>
          <w:rFonts w:ascii="Arial" w:hAnsi="Arial" w:cs="Arial"/>
        </w:rPr>
        <w:t xml:space="preserve">niverso están considerados los recursos federales </w:t>
      </w:r>
      <w:r w:rsidRPr="009879F6">
        <w:rPr>
          <w:rFonts w:ascii="Arial" w:hAnsi="Arial" w:cs="Arial"/>
        </w:rPr>
        <w:t>por la</w:t>
      </w:r>
      <w:r w:rsidR="00E34202" w:rsidRPr="009879F6">
        <w:rPr>
          <w:rFonts w:ascii="Arial" w:hAnsi="Arial" w:cs="Arial"/>
        </w:rPr>
        <w:t xml:space="preserve"> cantidad de $</w:t>
      </w:r>
      <w:r w:rsidR="00650306" w:rsidRPr="00650306">
        <w:rPr>
          <w:rFonts w:ascii="Arial" w:hAnsi="Arial" w:cs="Arial"/>
        </w:rPr>
        <w:t>171</w:t>
      </w:r>
      <w:r w:rsidR="00650306">
        <w:rPr>
          <w:rFonts w:ascii="Arial" w:hAnsi="Arial" w:cs="Arial"/>
        </w:rPr>
        <w:t>,</w:t>
      </w:r>
      <w:r w:rsidR="00650306" w:rsidRPr="00650306">
        <w:rPr>
          <w:rFonts w:ascii="Arial" w:hAnsi="Arial" w:cs="Arial"/>
        </w:rPr>
        <w:t>575</w:t>
      </w:r>
      <w:r w:rsidR="00650306">
        <w:rPr>
          <w:rFonts w:ascii="Arial" w:hAnsi="Arial" w:cs="Arial"/>
        </w:rPr>
        <w:t>,</w:t>
      </w:r>
      <w:r w:rsidR="00650306" w:rsidRPr="00650306">
        <w:rPr>
          <w:rFonts w:ascii="Arial" w:hAnsi="Arial" w:cs="Arial"/>
        </w:rPr>
        <w:t>705.58</w:t>
      </w:r>
      <w:r w:rsidR="00E34202"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únicamente por r</w:t>
      </w:r>
      <w:r w:rsidR="00465B6F">
        <w:rPr>
          <w:rFonts w:ascii="Arial" w:hAnsi="Arial" w:cs="Arial"/>
        </w:rPr>
        <w:t>ecursos e</w:t>
      </w:r>
      <w:r w:rsidR="00650306" w:rsidRPr="00465B6F">
        <w:rPr>
          <w:rFonts w:ascii="Arial" w:hAnsi="Arial" w:cs="Arial"/>
        </w:rPr>
        <w:t>statales</w:t>
      </w:r>
      <w:r w:rsidR="00B97FD0">
        <w:rPr>
          <w:rFonts w:ascii="Arial" w:hAnsi="Arial" w:cs="Arial"/>
        </w:rPr>
        <w:t>,</w:t>
      </w:r>
      <w:r w:rsidR="00B97FD0" w:rsidRPr="00635929">
        <w:rPr>
          <w:rFonts w:ascii="Arial" w:hAnsi="Arial" w:cs="Arial"/>
        </w:rPr>
        <w:t xml:space="preserve"> excepto los aplicados al capítulo Inversión Pública por la cantidad de $10,486,000.00.</w:t>
      </w:r>
    </w:p>
    <w:p w14:paraId="4904DF73" w14:textId="341B89FD" w:rsidR="00D758CB" w:rsidRDefault="00B97FD0" w:rsidP="004E06EB">
      <w:pPr>
        <w:spacing w:line="360" w:lineRule="auto"/>
        <w:ind w:right="49"/>
        <w:jc w:val="both"/>
        <w:rPr>
          <w:rFonts w:ascii="Arial" w:hAnsi="Arial" w:cs="Arial"/>
        </w:rPr>
      </w:pPr>
      <w:r>
        <w:rPr>
          <w:rFonts w:ascii="Arial" w:hAnsi="Arial" w:cs="Arial"/>
        </w:rPr>
        <w:t xml:space="preserve"> </w:t>
      </w:r>
    </w:p>
    <w:p w14:paraId="249560D0" w14:textId="326D5A09" w:rsidR="00AA50F2" w:rsidRPr="009879F6" w:rsidRDefault="00E34202" w:rsidP="004E06EB">
      <w:pPr>
        <w:tabs>
          <w:tab w:val="left" w:pos="9356"/>
        </w:tabs>
        <w:spacing w:line="360" w:lineRule="auto"/>
        <w:ind w:right="49"/>
        <w:jc w:val="both"/>
        <w:rPr>
          <w:rFonts w:ascii="Arial" w:hAnsi="Arial" w:cs="Arial"/>
        </w:rPr>
      </w:pPr>
      <w:r w:rsidRPr="009879F6">
        <w:rPr>
          <w:rFonts w:ascii="Arial" w:hAnsi="Arial" w:cs="Arial"/>
        </w:rPr>
        <w:lastRenderedPageBreak/>
        <w:t>La población objetivo</w:t>
      </w:r>
      <w:r w:rsidR="00C06E38" w:rsidRPr="009879F6">
        <w:rPr>
          <w:rFonts w:ascii="Arial" w:hAnsi="Arial" w:cs="Arial"/>
        </w:rPr>
        <w:t xml:space="preserve"> </w:t>
      </w:r>
      <w:r w:rsidR="00AA50F2" w:rsidRPr="009879F6">
        <w:rPr>
          <w:rFonts w:ascii="Arial" w:hAnsi="Arial" w:cs="Arial"/>
        </w:rPr>
        <w:t xml:space="preserve">se </w:t>
      </w:r>
      <w:r w:rsidR="00465B6F">
        <w:rPr>
          <w:rFonts w:ascii="Arial" w:hAnsi="Arial" w:cs="Arial"/>
        </w:rPr>
        <w:t xml:space="preserve">determinó sobre la base de los </w:t>
      </w:r>
      <w:r w:rsidR="00465B6F" w:rsidRPr="00465B6F">
        <w:rPr>
          <w:rFonts w:ascii="Arial" w:hAnsi="Arial" w:cs="Arial"/>
        </w:rPr>
        <w:t xml:space="preserve">egresos </w:t>
      </w:r>
      <w:r w:rsidR="00B97FD0">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w:t>
      </w:r>
      <w:r w:rsidR="00465B6F">
        <w:rPr>
          <w:rFonts w:ascii="Arial" w:hAnsi="Arial" w:cs="Arial"/>
        </w:rPr>
        <w:t xml:space="preserve"> </w:t>
      </w:r>
      <w:r w:rsidR="00F233C3" w:rsidRPr="00465B6F">
        <w:rPr>
          <w:rFonts w:ascii="Arial" w:hAnsi="Arial" w:cs="Arial"/>
        </w:rPr>
        <w:t>Estado Analítico del Ejercicio del Presupuesto de Egresos por Objeto del Gasto</w:t>
      </w:r>
      <w:r w:rsidR="00AC1A3F">
        <w:rPr>
          <w:rFonts w:ascii="Arial" w:hAnsi="Arial" w:cs="Arial"/>
        </w:rPr>
        <w:t xml:space="preserve"> emitido por la </w:t>
      </w:r>
      <w:proofErr w:type="spellStart"/>
      <w:r w:rsidR="00AC1A3F">
        <w:rPr>
          <w:rFonts w:ascii="Arial" w:hAnsi="Arial" w:cs="Arial"/>
        </w:rPr>
        <w:t>Sefiplan</w:t>
      </w:r>
      <w:proofErr w:type="spellEnd"/>
      <w:r w:rsidR="00AC1A3F">
        <w:rPr>
          <w:rFonts w:ascii="Arial" w:hAnsi="Arial" w:cs="Arial"/>
        </w:rPr>
        <w:t xml:space="preserve">, </w:t>
      </w:r>
      <w:r w:rsidR="00AA50F2" w:rsidRPr="009879F6">
        <w:rPr>
          <w:rFonts w:ascii="Arial" w:hAnsi="Arial" w:cs="Arial"/>
        </w:rPr>
        <w:t xml:space="preserve">por el período comprendido del 1º de enero al 31 de diciembre de </w:t>
      </w:r>
      <w:r w:rsidR="00F233C3">
        <w:rPr>
          <w:rFonts w:ascii="Arial" w:hAnsi="Arial" w:cs="Arial"/>
          <w:bCs/>
        </w:rPr>
        <w:t>2019</w:t>
      </w:r>
      <w:r w:rsidR="00CE0831">
        <w:rPr>
          <w:rFonts w:ascii="Arial" w:hAnsi="Arial" w:cs="Arial"/>
          <w:bCs/>
        </w:rPr>
        <w:t>.</w:t>
      </w:r>
    </w:p>
    <w:p w14:paraId="7DB970B2" w14:textId="390C85CE" w:rsidR="0049327F" w:rsidRDefault="0049327F" w:rsidP="004E06EB">
      <w:pPr>
        <w:spacing w:line="360" w:lineRule="auto"/>
        <w:ind w:right="49"/>
        <w:jc w:val="both"/>
        <w:rPr>
          <w:rFonts w:ascii="Arial" w:hAnsi="Arial" w:cs="Arial"/>
        </w:rPr>
      </w:pPr>
    </w:p>
    <w:p w14:paraId="225F6A6F" w14:textId="5FA34662" w:rsidR="003A721E" w:rsidRDefault="00FF74D2" w:rsidP="004E06EB">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4E06EB">
      <w:pPr>
        <w:tabs>
          <w:tab w:val="left" w:pos="9498"/>
        </w:tabs>
        <w:spacing w:line="360" w:lineRule="auto"/>
        <w:ind w:right="49"/>
        <w:jc w:val="both"/>
        <w:rPr>
          <w:rFonts w:ascii="Arial" w:hAnsi="Arial" w:cs="Arial"/>
          <w:bCs/>
        </w:rPr>
      </w:pPr>
    </w:p>
    <w:p w14:paraId="2EE1F83A" w14:textId="741B8DAC" w:rsidR="007B6C3F" w:rsidRPr="007B6C3F" w:rsidRDefault="007B6C3F" w:rsidP="004E06EB">
      <w:pPr>
        <w:spacing w:line="360" w:lineRule="auto"/>
        <w:ind w:right="49"/>
        <w:jc w:val="both"/>
        <w:rPr>
          <w:rFonts w:ascii="Arial" w:hAnsi="Arial" w:cs="Arial"/>
          <w:bCs/>
        </w:rPr>
      </w:pPr>
      <w:r w:rsidRPr="007B6C3F">
        <w:rPr>
          <w:rFonts w:ascii="Arial" w:hAnsi="Arial" w:cs="Arial"/>
          <w:bCs/>
        </w:rPr>
        <w:t xml:space="preserve">En la auditoría realizada se buscó obtener una seguridad razonable de que el objetivo y alcance planteados para la fiscalización de la entidad, respecto al cumplimiento financiero de los egresos </w:t>
      </w:r>
      <w:r w:rsidR="00B97FD0">
        <w:rPr>
          <w:rFonts w:ascii="Arial" w:hAnsi="Arial" w:cs="Arial"/>
          <w:bCs/>
        </w:rPr>
        <w:t>devengados</w:t>
      </w:r>
      <w:r w:rsidRPr="007B6C3F">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DFC9AAB" w14:textId="77777777" w:rsidR="007B6C3F" w:rsidRPr="007B6C3F" w:rsidRDefault="007B6C3F" w:rsidP="004E06EB">
      <w:pPr>
        <w:spacing w:line="360" w:lineRule="auto"/>
        <w:ind w:right="49"/>
        <w:jc w:val="both"/>
        <w:rPr>
          <w:rFonts w:ascii="Arial" w:hAnsi="Arial" w:cs="Arial"/>
          <w:bCs/>
        </w:rPr>
      </w:pPr>
    </w:p>
    <w:p w14:paraId="4EC6648B" w14:textId="4A7C48AF" w:rsidR="007B6C3F" w:rsidRPr="007B6C3F" w:rsidRDefault="007B6C3F" w:rsidP="004E06EB">
      <w:pPr>
        <w:spacing w:line="360" w:lineRule="auto"/>
        <w:ind w:right="49"/>
        <w:jc w:val="both"/>
        <w:rPr>
          <w:rFonts w:ascii="Arial" w:hAnsi="Arial" w:cs="Arial"/>
          <w:bCs/>
        </w:rPr>
      </w:pPr>
      <w:r w:rsidRPr="007B6C3F">
        <w:rPr>
          <w:rFonts w:ascii="Arial" w:hAnsi="Arial" w:cs="Arial"/>
          <w:bCs/>
        </w:rPr>
        <w:t xml:space="preserve">Para la determinación de los rubros u operaciones a revisar en la auditoría, se llevó a cabo un estudio previo de toda la información concerniente a la </w:t>
      </w:r>
      <w:r w:rsidRPr="007B6C3F">
        <w:rPr>
          <w:rFonts w:ascii="Arial" w:hAnsi="Arial" w:cs="Arial"/>
          <w:b/>
          <w:bCs/>
        </w:rPr>
        <w:t>Oficialía Mayor del Gobierno del Estado de Quintana Roo</w:t>
      </w:r>
      <w:r w:rsidRPr="007B6C3F">
        <w:rPr>
          <w:rFonts w:ascii="Arial" w:hAnsi="Arial" w:cs="Arial"/>
          <w:bCs/>
        </w:rPr>
        <w:t xml:space="preserve">, siendo las principales fuentes de información financiera los estados contables y presupuestarios, emitidos por la </w:t>
      </w:r>
      <w:proofErr w:type="spellStart"/>
      <w:r w:rsidRPr="007B6C3F">
        <w:rPr>
          <w:rFonts w:ascii="Arial" w:hAnsi="Arial" w:cs="Arial"/>
          <w:bCs/>
        </w:rPr>
        <w:t>Sefiplan</w:t>
      </w:r>
      <w:proofErr w:type="spellEnd"/>
      <w:r w:rsidRPr="007B6C3F">
        <w:rPr>
          <w:rFonts w:ascii="Arial" w:hAnsi="Arial" w:cs="Arial"/>
          <w:bCs/>
        </w:rPr>
        <w:t>, los cuales fueron analizados para la obtención de indicios de auditoría, considerando que dichos estados estuvieron sujetos a los criterios de utilidad, confiabilidad, relevancia, compresibilidad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2C0BFAD8" w14:textId="77777777" w:rsidR="007B6C3F" w:rsidRPr="007B6C3F" w:rsidRDefault="007B6C3F" w:rsidP="004E06EB">
      <w:pPr>
        <w:spacing w:line="360" w:lineRule="auto"/>
        <w:ind w:right="49"/>
        <w:jc w:val="both"/>
        <w:rPr>
          <w:rFonts w:ascii="Arial" w:hAnsi="Arial" w:cs="Arial"/>
          <w:bCs/>
        </w:rPr>
      </w:pPr>
    </w:p>
    <w:p w14:paraId="127CB1DB" w14:textId="15B852F6" w:rsidR="003A721E" w:rsidRDefault="007B6C3F" w:rsidP="004E06EB">
      <w:pPr>
        <w:spacing w:line="360" w:lineRule="auto"/>
        <w:ind w:right="49"/>
        <w:jc w:val="both"/>
        <w:rPr>
          <w:rFonts w:ascii="Arial" w:hAnsi="Arial" w:cs="Arial"/>
          <w:bCs/>
        </w:rPr>
      </w:pPr>
      <w:r w:rsidRPr="007B6C3F">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5B535FDD" w14:textId="77777777" w:rsidR="00DC554D" w:rsidRDefault="00DC554D" w:rsidP="004E06EB">
      <w:pPr>
        <w:spacing w:line="360" w:lineRule="auto"/>
        <w:ind w:right="49"/>
        <w:jc w:val="both"/>
        <w:rPr>
          <w:rFonts w:ascii="Arial" w:hAnsi="Arial" w:cs="Arial"/>
          <w:bCs/>
        </w:rPr>
      </w:pPr>
    </w:p>
    <w:p w14:paraId="5E84ADF5" w14:textId="77C3D733" w:rsidR="008D4630" w:rsidRPr="008D4630" w:rsidRDefault="00183903" w:rsidP="004E06EB">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4E06EB">
      <w:pPr>
        <w:spacing w:line="360" w:lineRule="auto"/>
        <w:ind w:right="49"/>
        <w:jc w:val="both"/>
        <w:rPr>
          <w:rFonts w:ascii="Arial" w:hAnsi="Arial" w:cs="Arial"/>
          <w:b/>
        </w:rPr>
      </w:pPr>
    </w:p>
    <w:p w14:paraId="01FDD4FA" w14:textId="4B32BA2D" w:rsidR="008D4630" w:rsidRPr="008D4630" w:rsidRDefault="00465B6F" w:rsidP="004E06EB">
      <w:pPr>
        <w:tabs>
          <w:tab w:val="left" w:pos="9498"/>
        </w:tabs>
        <w:spacing w:line="360" w:lineRule="auto"/>
        <w:ind w:right="49"/>
        <w:jc w:val="both"/>
        <w:rPr>
          <w:rFonts w:ascii="Arial" w:hAnsi="Arial" w:cs="Arial"/>
        </w:rPr>
      </w:pPr>
      <w:r>
        <w:rPr>
          <w:rFonts w:ascii="Arial" w:hAnsi="Arial" w:cs="Arial"/>
        </w:rPr>
        <w:t>Se revisó la Su</w:t>
      </w:r>
      <w:r w:rsidR="001D0CD1">
        <w:rPr>
          <w:rFonts w:ascii="Arial" w:hAnsi="Arial" w:cs="Arial"/>
        </w:rPr>
        <w:t xml:space="preserve">bsecretaría de Administración, </w:t>
      </w:r>
      <w:r>
        <w:rPr>
          <w:rFonts w:ascii="Arial" w:hAnsi="Arial" w:cs="Arial"/>
        </w:rPr>
        <w:t xml:space="preserve">Subsecretaría de Recursos Humanos </w:t>
      </w:r>
      <w:r w:rsidR="001D0CD1">
        <w:rPr>
          <w:rFonts w:ascii="Arial" w:hAnsi="Arial" w:cs="Arial"/>
        </w:rPr>
        <w:t xml:space="preserve">y </w:t>
      </w:r>
      <w:r w:rsidR="001D0CD1" w:rsidRPr="006F100F">
        <w:rPr>
          <w:rFonts w:ascii="Arial" w:hAnsi="Arial" w:cs="Arial"/>
        </w:rPr>
        <w:t xml:space="preserve">Subsecretaría de Recursos Materiales y Servicios Generales </w:t>
      </w:r>
      <w:r w:rsidR="008D4630" w:rsidRPr="006F100F">
        <w:rPr>
          <w:rFonts w:ascii="Arial" w:hAnsi="Arial" w:cs="Arial"/>
        </w:rPr>
        <w:t>de la</w:t>
      </w:r>
      <w:r w:rsidR="008D4630" w:rsidRPr="009879F6">
        <w:rPr>
          <w:rFonts w:ascii="Arial" w:hAnsi="Arial" w:cs="Arial"/>
        </w:rPr>
        <w:t xml:space="preserve"> </w:t>
      </w:r>
      <w:r w:rsidR="00F233C3">
        <w:rPr>
          <w:rFonts w:ascii="Arial" w:hAnsi="Arial" w:cs="Arial"/>
          <w:b/>
          <w:bCs/>
        </w:rPr>
        <w:t>Oficialía Mayor del Gobierno del Estado de Quintana Roo</w:t>
      </w:r>
      <w:r w:rsidR="008D4630" w:rsidRPr="009879F6">
        <w:rPr>
          <w:rFonts w:ascii="Arial" w:hAnsi="Arial" w:cs="Arial"/>
          <w:bCs/>
        </w:rPr>
        <w:t>.</w:t>
      </w:r>
    </w:p>
    <w:p w14:paraId="67559B80" w14:textId="3687D83F" w:rsidR="00461F5F" w:rsidRDefault="00461F5F" w:rsidP="004E6A9F">
      <w:pPr>
        <w:spacing w:line="360" w:lineRule="auto"/>
        <w:ind w:right="49"/>
        <w:rPr>
          <w:rFonts w:ascii="Arial" w:hAnsi="Arial" w:cs="Arial"/>
          <w:b/>
        </w:rPr>
      </w:pPr>
    </w:p>
    <w:p w14:paraId="4A4BBFFD" w14:textId="77777777" w:rsidR="00E66F94" w:rsidRDefault="008610C0" w:rsidP="004E06EB">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4E06EB">
      <w:pPr>
        <w:spacing w:line="360" w:lineRule="auto"/>
        <w:ind w:right="49"/>
        <w:jc w:val="both"/>
        <w:rPr>
          <w:rFonts w:ascii="Arial" w:hAnsi="Arial" w:cs="Arial"/>
          <w:b/>
        </w:rPr>
      </w:pPr>
    </w:p>
    <w:p w14:paraId="4A8A2088" w14:textId="77777777" w:rsidR="00E66F94" w:rsidRPr="00C47B98" w:rsidRDefault="00E66F94" w:rsidP="004E06EB">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4E06EB">
      <w:pPr>
        <w:spacing w:line="360" w:lineRule="auto"/>
        <w:ind w:right="49"/>
        <w:jc w:val="both"/>
        <w:rPr>
          <w:rFonts w:ascii="Arial" w:hAnsi="Arial" w:cs="Arial"/>
          <w:bCs/>
        </w:rPr>
      </w:pPr>
    </w:p>
    <w:p w14:paraId="44C45425" w14:textId="77777777" w:rsidR="00E66F94" w:rsidRPr="00C47B98" w:rsidRDefault="00E66F94" w:rsidP="004E06E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4E06EB">
      <w:pPr>
        <w:spacing w:line="360" w:lineRule="auto"/>
        <w:ind w:right="49"/>
        <w:jc w:val="both"/>
        <w:rPr>
          <w:rFonts w:ascii="Arial" w:hAnsi="Arial" w:cs="Arial"/>
          <w:bCs/>
        </w:rPr>
      </w:pPr>
    </w:p>
    <w:p w14:paraId="48B777C6" w14:textId="77777777" w:rsidR="00E66F94" w:rsidRPr="00C47B98" w:rsidRDefault="00E66F94" w:rsidP="004E06EB">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4E06EB">
      <w:pPr>
        <w:spacing w:line="360" w:lineRule="auto"/>
        <w:ind w:right="51"/>
        <w:jc w:val="both"/>
        <w:rPr>
          <w:rFonts w:ascii="Arial" w:hAnsi="Arial" w:cs="Arial"/>
          <w:bCs/>
        </w:rPr>
      </w:pPr>
    </w:p>
    <w:p w14:paraId="1FF3F834" w14:textId="6747A72B" w:rsidR="00E66F94" w:rsidRDefault="00456EF2" w:rsidP="004E06EB">
      <w:pPr>
        <w:spacing w:line="360" w:lineRule="auto"/>
        <w:ind w:right="5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42E4FC01" w14:textId="0EBA772E" w:rsidR="0018077D" w:rsidRDefault="0018077D" w:rsidP="004E06EB">
      <w:pPr>
        <w:spacing w:line="360" w:lineRule="auto"/>
        <w:ind w:right="51"/>
        <w:jc w:val="both"/>
        <w:rPr>
          <w:rFonts w:ascii="Arial" w:hAnsi="Arial" w:cs="Arial"/>
          <w:bCs/>
        </w:rPr>
      </w:pPr>
    </w:p>
    <w:p w14:paraId="227AE83E" w14:textId="6A759FF3" w:rsidR="0018077D" w:rsidRDefault="0018077D" w:rsidP="004E06EB">
      <w:pPr>
        <w:spacing w:line="360" w:lineRule="auto"/>
        <w:ind w:right="51"/>
        <w:jc w:val="both"/>
        <w:rPr>
          <w:rFonts w:ascii="Arial" w:hAnsi="Arial" w:cs="Arial"/>
          <w:bCs/>
        </w:rPr>
      </w:pPr>
      <w:r>
        <w:rPr>
          <w:rFonts w:ascii="Arial" w:hAnsi="Arial" w:cs="Arial"/>
          <w:bCs/>
        </w:rPr>
        <w:t>1.- Validar y constatar que los importes por los diferentes conceptos reflejados en las nóminas estatales estén debidamente conciliados</w:t>
      </w:r>
      <w:r w:rsidR="00C012FD">
        <w:rPr>
          <w:rFonts w:ascii="Arial" w:hAnsi="Arial" w:cs="Arial"/>
          <w:bCs/>
        </w:rPr>
        <w:t xml:space="preserve"> con el presupuesto devengado</w:t>
      </w:r>
      <w:r>
        <w:rPr>
          <w:rFonts w:ascii="Arial" w:hAnsi="Arial" w:cs="Arial"/>
          <w:bCs/>
        </w:rPr>
        <w:t xml:space="preserve"> emitido por la </w:t>
      </w:r>
      <w:proofErr w:type="spellStart"/>
      <w:r>
        <w:rPr>
          <w:rFonts w:ascii="Arial" w:hAnsi="Arial" w:cs="Arial"/>
          <w:bCs/>
        </w:rPr>
        <w:t>Sefiplan</w:t>
      </w:r>
      <w:proofErr w:type="spellEnd"/>
      <w:r w:rsidR="00C012FD">
        <w:rPr>
          <w:rFonts w:ascii="Arial" w:hAnsi="Arial" w:cs="Arial"/>
          <w:bCs/>
        </w:rPr>
        <w:t>.</w:t>
      </w:r>
    </w:p>
    <w:p w14:paraId="122A0339" w14:textId="3FC78D0A" w:rsidR="00356C6D" w:rsidRDefault="00356C6D" w:rsidP="004E06EB">
      <w:pPr>
        <w:spacing w:line="360" w:lineRule="auto"/>
        <w:ind w:right="51"/>
        <w:jc w:val="both"/>
        <w:rPr>
          <w:rFonts w:ascii="Arial" w:hAnsi="Arial" w:cs="Arial"/>
          <w:bCs/>
        </w:rPr>
      </w:pPr>
    </w:p>
    <w:p w14:paraId="6FBD5AD3" w14:textId="6357DCEB" w:rsidR="00A2413D" w:rsidRDefault="00C012FD" w:rsidP="004E06EB">
      <w:pPr>
        <w:pStyle w:val="Default"/>
        <w:spacing w:line="360" w:lineRule="auto"/>
        <w:ind w:right="51"/>
        <w:jc w:val="both"/>
        <w:rPr>
          <w:bCs/>
          <w:color w:val="auto"/>
          <w:lang w:eastAsia="es-ES"/>
        </w:rPr>
      </w:pPr>
      <w:r>
        <w:rPr>
          <w:bCs/>
          <w:color w:val="auto"/>
          <w:lang w:eastAsia="es-ES"/>
        </w:rPr>
        <w:t>2</w:t>
      </w:r>
      <w:r w:rsidR="00A2413D" w:rsidRPr="00A2413D">
        <w:rPr>
          <w:bCs/>
          <w:color w:val="auto"/>
          <w:lang w:eastAsia="es-ES"/>
        </w:rPr>
        <w:t>.</w:t>
      </w:r>
      <w:r w:rsidR="00890578">
        <w:rPr>
          <w:bCs/>
          <w:color w:val="auto"/>
          <w:lang w:eastAsia="es-ES"/>
        </w:rPr>
        <w:t>-</w:t>
      </w:r>
      <w:r w:rsidR="00A2413D" w:rsidRPr="00A2413D">
        <w:rPr>
          <w:bCs/>
          <w:color w:val="auto"/>
          <w:lang w:eastAsia="es-ES"/>
        </w:rPr>
        <w:t xml:space="preserve"> Verificar que los controles internos implementados permitieron la adecuada gestión administrativa para el desarrollo eficiente de las operaciones, así como la obtención de información confiable y oportuna. </w:t>
      </w:r>
    </w:p>
    <w:p w14:paraId="3EA103BE" w14:textId="77777777" w:rsidR="00A2413D" w:rsidRPr="00A2413D" w:rsidRDefault="00A2413D" w:rsidP="004E06EB">
      <w:pPr>
        <w:pStyle w:val="Default"/>
        <w:spacing w:line="360" w:lineRule="auto"/>
        <w:ind w:right="51"/>
        <w:rPr>
          <w:bCs/>
          <w:color w:val="auto"/>
          <w:lang w:eastAsia="es-ES"/>
        </w:rPr>
      </w:pPr>
    </w:p>
    <w:p w14:paraId="4E525008" w14:textId="1D3BB74E" w:rsidR="00A2413D" w:rsidRDefault="00C012FD" w:rsidP="004E06EB">
      <w:pPr>
        <w:pStyle w:val="Default"/>
        <w:spacing w:line="360" w:lineRule="auto"/>
        <w:ind w:right="51"/>
        <w:jc w:val="both"/>
        <w:rPr>
          <w:bCs/>
          <w:color w:val="auto"/>
          <w:lang w:eastAsia="es-ES"/>
        </w:rPr>
      </w:pPr>
      <w:r>
        <w:rPr>
          <w:bCs/>
          <w:color w:val="auto"/>
          <w:lang w:eastAsia="es-ES"/>
        </w:rPr>
        <w:lastRenderedPageBreak/>
        <w:t>3</w:t>
      </w:r>
      <w:r w:rsidR="00A2413D" w:rsidRPr="00A2413D">
        <w:rPr>
          <w:bCs/>
          <w:color w:val="auto"/>
          <w:lang w:eastAsia="es-ES"/>
        </w:rPr>
        <w:t>.</w:t>
      </w:r>
      <w:r w:rsidR="00890578">
        <w:rPr>
          <w:bCs/>
          <w:color w:val="auto"/>
          <w:lang w:eastAsia="es-ES"/>
        </w:rPr>
        <w:t>-</w:t>
      </w:r>
      <w:r w:rsidR="00A2413D" w:rsidRPr="00A2413D">
        <w:rPr>
          <w:bCs/>
          <w:color w:val="auto"/>
          <w:lang w:eastAsia="es-ES"/>
        </w:rPr>
        <w:t xml:space="preserve"> Comprobar que el ejercicio del presupuesto se ajustó a los montos aprobados; que las modificaciones presupuestales tuvieron sustento financiero y que fueron aprobadas por quien era competente para ello, así como publicadas en el Periódico Oficial o gaceta correspondiente. </w:t>
      </w:r>
    </w:p>
    <w:p w14:paraId="6553CE45" w14:textId="77777777" w:rsidR="00A2413D" w:rsidRPr="00A2413D" w:rsidRDefault="00A2413D" w:rsidP="004E06EB">
      <w:pPr>
        <w:pStyle w:val="Default"/>
        <w:spacing w:line="360" w:lineRule="auto"/>
        <w:ind w:right="51"/>
        <w:jc w:val="both"/>
        <w:rPr>
          <w:bCs/>
          <w:color w:val="auto"/>
          <w:lang w:eastAsia="es-ES"/>
        </w:rPr>
      </w:pPr>
    </w:p>
    <w:p w14:paraId="46D514A7" w14:textId="5A7E12C3" w:rsidR="00A2413D" w:rsidRDefault="00C012FD" w:rsidP="004E06EB">
      <w:pPr>
        <w:pStyle w:val="Default"/>
        <w:spacing w:line="360" w:lineRule="auto"/>
        <w:ind w:right="51"/>
        <w:jc w:val="both"/>
        <w:rPr>
          <w:bCs/>
          <w:color w:val="auto"/>
          <w:lang w:eastAsia="es-ES"/>
        </w:rPr>
      </w:pPr>
      <w:r>
        <w:rPr>
          <w:bCs/>
          <w:color w:val="auto"/>
          <w:lang w:eastAsia="es-ES"/>
        </w:rPr>
        <w:t>4</w:t>
      </w:r>
      <w:r w:rsidR="00A2413D" w:rsidRPr="00A2413D">
        <w:rPr>
          <w:bCs/>
          <w:color w:val="auto"/>
          <w:lang w:eastAsia="es-ES"/>
        </w:rPr>
        <w:t>.</w:t>
      </w:r>
      <w:r w:rsidR="00890578">
        <w:rPr>
          <w:bCs/>
          <w:color w:val="auto"/>
          <w:lang w:eastAsia="es-ES"/>
        </w:rPr>
        <w:t>-</w:t>
      </w:r>
      <w:r w:rsidR="00A2413D" w:rsidRPr="00A2413D">
        <w:rPr>
          <w:bCs/>
          <w:color w:val="auto"/>
          <w:lang w:eastAsia="es-ES"/>
        </w:rPr>
        <w:t xml:space="preserve"> Verificar que los adeudos por derechos a recibir efectivo o equivalentes fueron efectivamente otorgados o amortizados. </w:t>
      </w:r>
    </w:p>
    <w:p w14:paraId="5ABCB4BB" w14:textId="77777777" w:rsidR="00A2413D" w:rsidRPr="00A2413D" w:rsidRDefault="00A2413D" w:rsidP="004E06EB">
      <w:pPr>
        <w:pStyle w:val="Default"/>
        <w:spacing w:line="360" w:lineRule="auto"/>
        <w:ind w:right="51"/>
        <w:jc w:val="both"/>
        <w:rPr>
          <w:bCs/>
          <w:color w:val="auto"/>
          <w:lang w:eastAsia="es-ES"/>
        </w:rPr>
      </w:pPr>
    </w:p>
    <w:p w14:paraId="3897ACEF" w14:textId="506A9B3B" w:rsidR="00E66F94" w:rsidRDefault="00C012FD" w:rsidP="004E06EB">
      <w:pPr>
        <w:pStyle w:val="Default"/>
        <w:spacing w:line="360" w:lineRule="auto"/>
        <w:ind w:right="51"/>
        <w:jc w:val="both"/>
        <w:rPr>
          <w:bCs/>
          <w:color w:val="auto"/>
          <w:lang w:eastAsia="es-ES"/>
        </w:rPr>
      </w:pPr>
      <w:r>
        <w:rPr>
          <w:bCs/>
          <w:color w:val="auto"/>
          <w:lang w:eastAsia="es-ES"/>
        </w:rPr>
        <w:t>5</w:t>
      </w:r>
      <w:r w:rsidR="00A2413D" w:rsidRPr="00A2413D">
        <w:rPr>
          <w:bCs/>
          <w:color w:val="auto"/>
          <w:lang w:eastAsia="es-ES"/>
        </w:rPr>
        <w:t>.</w:t>
      </w:r>
      <w:r w:rsidR="00890578">
        <w:rPr>
          <w:bCs/>
          <w:color w:val="auto"/>
          <w:lang w:eastAsia="es-ES"/>
        </w:rPr>
        <w:t>-</w:t>
      </w:r>
      <w:r w:rsidR="00A2413D" w:rsidRPr="00A2413D">
        <w:rPr>
          <w:bCs/>
          <w:color w:val="auto"/>
          <w:lang w:eastAsia="es-ES"/>
        </w:rPr>
        <w:t xml:space="preserve"> Verificar que se comprobó y justificó el gasto por los diferentes conceptos considerados en los respectivos presupuestos de egresos. </w:t>
      </w:r>
    </w:p>
    <w:p w14:paraId="24D1F7CF" w14:textId="77777777" w:rsidR="00121D98" w:rsidRPr="00A60075" w:rsidRDefault="00121D98" w:rsidP="004E06EB">
      <w:pPr>
        <w:pStyle w:val="Default"/>
        <w:spacing w:line="360" w:lineRule="auto"/>
        <w:ind w:right="51"/>
        <w:jc w:val="both"/>
        <w:rPr>
          <w:bCs/>
          <w:color w:val="auto"/>
          <w:lang w:eastAsia="es-ES"/>
        </w:rPr>
      </w:pPr>
    </w:p>
    <w:p w14:paraId="5276BEC6" w14:textId="254D36F1" w:rsidR="00A2413D" w:rsidRDefault="00A60075" w:rsidP="004E06EB">
      <w:pPr>
        <w:pStyle w:val="Default"/>
        <w:spacing w:line="360" w:lineRule="auto"/>
        <w:ind w:right="51"/>
        <w:jc w:val="both"/>
        <w:rPr>
          <w:bCs/>
          <w:color w:val="auto"/>
          <w:lang w:eastAsia="es-ES"/>
        </w:rPr>
      </w:pPr>
      <w:r>
        <w:rPr>
          <w:bCs/>
          <w:color w:val="auto"/>
          <w:lang w:eastAsia="es-ES"/>
        </w:rPr>
        <w:t>6</w:t>
      </w:r>
      <w:r w:rsidR="00A2413D" w:rsidRPr="00890578">
        <w:rPr>
          <w:bCs/>
          <w:color w:val="auto"/>
          <w:lang w:eastAsia="es-ES"/>
        </w:rPr>
        <w:t xml:space="preserve">. Verificar que se acreditó la propiedad de los bienes </w:t>
      </w:r>
      <w:r>
        <w:rPr>
          <w:bCs/>
          <w:color w:val="auto"/>
          <w:lang w:eastAsia="es-ES"/>
        </w:rPr>
        <w:t>muebles</w:t>
      </w:r>
      <w:r w:rsidR="00A2413D" w:rsidRPr="00890578">
        <w:rPr>
          <w:bCs/>
          <w:color w:val="auto"/>
          <w:lang w:eastAsia="es-ES"/>
        </w:rPr>
        <w:t xml:space="preserve">, así como </w:t>
      </w:r>
      <w:r w:rsidR="005E1C84">
        <w:rPr>
          <w:bCs/>
          <w:color w:val="auto"/>
          <w:lang w:eastAsia="es-ES"/>
        </w:rPr>
        <w:t>su</w:t>
      </w:r>
      <w:r>
        <w:rPr>
          <w:bCs/>
          <w:color w:val="auto"/>
          <w:lang w:eastAsia="es-ES"/>
        </w:rPr>
        <w:t xml:space="preserve"> </w:t>
      </w:r>
      <w:r w:rsidR="005E1C84">
        <w:rPr>
          <w:bCs/>
          <w:color w:val="auto"/>
          <w:lang w:eastAsia="es-ES"/>
        </w:rPr>
        <w:t>resguardo</w:t>
      </w:r>
      <w:r w:rsidR="00A2413D" w:rsidRPr="00890578">
        <w:rPr>
          <w:bCs/>
          <w:color w:val="auto"/>
          <w:lang w:eastAsia="es-ES"/>
        </w:rPr>
        <w:t>.</w:t>
      </w:r>
    </w:p>
    <w:p w14:paraId="3B18CCDF" w14:textId="40853CB5" w:rsidR="00A2413D" w:rsidRPr="005E1C84" w:rsidRDefault="00A2413D" w:rsidP="004E06EB">
      <w:pPr>
        <w:pStyle w:val="Default"/>
        <w:spacing w:line="360" w:lineRule="auto"/>
        <w:ind w:right="51"/>
        <w:jc w:val="both"/>
        <w:rPr>
          <w:bCs/>
          <w:color w:val="auto"/>
          <w:sz w:val="26"/>
          <w:szCs w:val="26"/>
          <w:lang w:eastAsia="es-ES"/>
        </w:rPr>
      </w:pPr>
      <w:r w:rsidRPr="00A2413D">
        <w:rPr>
          <w:bCs/>
          <w:color w:val="auto"/>
          <w:lang w:eastAsia="es-ES"/>
        </w:rPr>
        <w:t xml:space="preserve"> </w:t>
      </w:r>
    </w:p>
    <w:p w14:paraId="417849FF" w14:textId="3D0CE9E8" w:rsidR="00A2413D" w:rsidRDefault="00A60075" w:rsidP="004E06EB">
      <w:pPr>
        <w:pStyle w:val="Default"/>
        <w:spacing w:line="360" w:lineRule="auto"/>
        <w:ind w:right="51"/>
        <w:jc w:val="both"/>
        <w:rPr>
          <w:bCs/>
          <w:color w:val="auto"/>
          <w:lang w:eastAsia="es-ES"/>
        </w:rPr>
      </w:pPr>
      <w:r>
        <w:rPr>
          <w:bCs/>
          <w:color w:val="auto"/>
          <w:lang w:eastAsia="es-ES"/>
        </w:rPr>
        <w:t>7</w:t>
      </w:r>
      <w:r w:rsidR="00A2413D" w:rsidRPr="00A2413D">
        <w:rPr>
          <w:bCs/>
          <w:color w:val="auto"/>
          <w:lang w:eastAsia="es-ES"/>
        </w:rPr>
        <w:t xml:space="preserve">. Verificar que los procedimientos para la adquisición de bienes y prestación de servicios cumplieron con lo dispuesto en la normativa aplicable. </w:t>
      </w:r>
    </w:p>
    <w:p w14:paraId="0B8F946F" w14:textId="77777777" w:rsidR="00A2413D" w:rsidRPr="005E1C84" w:rsidRDefault="00A2413D" w:rsidP="004E06EB">
      <w:pPr>
        <w:pStyle w:val="Default"/>
        <w:spacing w:line="360" w:lineRule="auto"/>
        <w:ind w:right="51"/>
        <w:rPr>
          <w:bCs/>
          <w:color w:val="auto"/>
          <w:sz w:val="26"/>
          <w:szCs w:val="26"/>
          <w:lang w:eastAsia="es-ES"/>
        </w:rPr>
      </w:pPr>
    </w:p>
    <w:p w14:paraId="6C038D4B" w14:textId="3EBBA450" w:rsidR="00A2413D" w:rsidRPr="00A2413D" w:rsidRDefault="00A2413D" w:rsidP="004E06EB">
      <w:pPr>
        <w:spacing w:line="360" w:lineRule="auto"/>
        <w:ind w:right="51"/>
        <w:jc w:val="both"/>
        <w:rPr>
          <w:rFonts w:ascii="Arial" w:hAnsi="Arial" w:cs="Arial"/>
          <w:bCs/>
        </w:rPr>
      </w:pPr>
      <w:r w:rsidRPr="00A2413D">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2DD229D0" w14:textId="77777777" w:rsidR="008610C0" w:rsidRPr="005E1C84" w:rsidRDefault="008610C0" w:rsidP="004E06EB">
      <w:pPr>
        <w:spacing w:line="360" w:lineRule="auto"/>
        <w:ind w:right="51"/>
        <w:jc w:val="both"/>
        <w:rPr>
          <w:rFonts w:ascii="Arial" w:hAnsi="Arial" w:cs="Arial"/>
          <w:bCs/>
          <w:sz w:val="26"/>
          <w:szCs w:val="26"/>
        </w:rPr>
      </w:pPr>
    </w:p>
    <w:p w14:paraId="4A1FF583" w14:textId="41EE2301" w:rsidR="00974042" w:rsidRPr="002E2A36" w:rsidRDefault="008610C0" w:rsidP="004E06EB">
      <w:pPr>
        <w:spacing w:line="360" w:lineRule="auto"/>
        <w:ind w:right="49"/>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1932C9">
        <w:rPr>
          <w:rFonts w:ascii="Arial" w:hAnsi="Arial" w:cs="Arial"/>
          <w:b/>
        </w:rPr>
        <w:t xml:space="preserve">que </w:t>
      </w:r>
      <w:r w:rsidR="00F260DD">
        <w:rPr>
          <w:rFonts w:ascii="Arial" w:hAnsi="Arial" w:cs="Arial"/>
          <w:b/>
        </w:rPr>
        <w:t>i</w:t>
      </w:r>
      <w:r w:rsidR="00051CA5">
        <w:rPr>
          <w:rFonts w:ascii="Arial" w:hAnsi="Arial" w:cs="Arial"/>
          <w:b/>
        </w:rPr>
        <w:t>ntervinieron en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5E1C84" w:rsidRDefault="00D1152D" w:rsidP="004E06EB">
      <w:pPr>
        <w:spacing w:line="360" w:lineRule="auto"/>
        <w:ind w:right="49"/>
        <w:jc w:val="both"/>
        <w:rPr>
          <w:rFonts w:ascii="Arial" w:hAnsi="Arial" w:cs="Arial"/>
          <w:bCs/>
          <w:sz w:val="26"/>
          <w:szCs w:val="26"/>
        </w:rPr>
      </w:pPr>
    </w:p>
    <w:p w14:paraId="5DE7FC59" w14:textId="64BDF4B6" w:rsidR="00855650" w:rsidRDefault="00855650" w:rsidP="004E06EB">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w:t>
      </w:r>
      <w:r w:rsidR="00F24B71">
        <w:rPr>
          <w:rFonts w:ascii="Arial" w:hAnsi="Arial" w:cs="Arial"/>
          <w:bCs/>
        </w:rPr>
        <w:t>no Técnico de Fiscalización, se encuentra referido en la orden emitida con</w:t>
      </w:r>
      <w:r w:rsidR="0097743B">
        <w:rPr>
          <w:rFonts w:ascii="Arial" w:hAnsi="Arial" w:cs="Arial"/>
          <w:bCs/>
        </w:rPr>
        <w:t xml:space="preserve"> oficio número </w:t>
      </w:r>
      <w:r w:rsidR="0097743B" w:rsidRPr="00890578">
        <w:rPr>
          <w:rFonts w:ascii="Arial" w:hAnsi="Arial" w:cs="Arial"/>
          <w:bCs/>
        </w:rPr>
        <w:t>ASEQROO/ASE/AEMF/0682/09/2020 de fecha 03 de septiembre de 2020</w:t>
      </w:r>
      <w:r w:rsidR="00F24B71" w:rsidRPr="00890578">
        <w:rPr>
          <w:rFonts w:ascii="Arial" w:hAnsi="Arial" w:cs="Arial"/>
          <w:bCs/>
        </w:rPr>
        <w:t>,</w:t>
      </w:r>
      <w:r w:rsidR="00F24B71">
        <w:rPr>
          <w:rFonts w:ascii="Arial" w:hAnsi="Arial" w:cs="Arial"/>
          <w:bCs/>
        </w:rPr>
        <w:t xml:space="preserve"> siendo los servidores públicos a cargo de coordinar y supervisar la auditoría, los siguientes</w:t>
      </w:r>
      <w:r>
        <w:rPr>
          <w:rFonts w:ascii="Arial" w:hAnsi="Arial" w:cs="Arial"/>
          <w:bCs/>
        </w:rPr>
        <w:t>:</w:t>
      </w:r>
    </w:p>
    <w:p w14:paraId="27C8C58A" w14:textId="79171145" w:rsidR="00855650" w:rsidRPr="005E1C84" w:rsidRDefault="00855650" w:rsidP="00B93F1F">
      <w:pPr>
        <w:spacing w:line="360" w:lineRule="auto"/>
        <w:jc w:val="both"/>
        <w:rPr>
          <w:rFonts w:ascii="Arial" w:hAnsi="Arial" w:cs="Arial"/>
          <w:bCs/>
          <w:sz w:val="26"/>
          <w:szCs w:val="26"/>
        </w:rPr>
      </w:pP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855650" w:rsidRPr="00845B1A" w14:paraId="34A271CE" w14:textId="77777777" w:rsidTr="005E1C84">
        <w:trPr>
          <w:tblHeader/>
          <w:jc w:val="center"/>
        </w:trPr>
        <w:tc>
          <w:tcPr>
            <w:tcW w:w="6663"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5E1C84">
        <w:trPr>
          <w:jc w:val="center"/>
        </w:trPr>
        <w:tc>
          <w:tcPr>
            <w:tcW w:w="6663" w:type="dxa"/>
            <w:shd w:val="clear" w:color="auto" w:fill="auto"/>
          </w:tcPr>
          <w:p w14:paraId="56F4CBBE" w14:textId="01D7408F" w:rsidR="00855650" w:rsidRPr="00845B1A" w:rsidRDefault="008F3E20" w:rsidP="002367AD">
            <w:pPr>
              <w:spacing w:line="360" w:lineRule="auto"/>
              <w:rPr>
                <w:rFonts w:ascii="Arial" w:hAnsi="Arial" w:cs="Arial"/>
                <w:bCs/>
              </w:rPr>
            </w:pPr>
            <w:r>
              <w:rPr>
                <w:rFonts w:ascii="Arial" w:hAnsi="Arial" w:cs="Arial"/>
                <w:bCs/>
              </w:rPr>
              <w:t>M.E.S.P. Iván Josué Valdez Frías</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5E1C84">
        <w:trPr>
          <w:jc w:val="center"/>
        </w:trPr>
        <w:tc>
          <w:tcPr>
            <w:tcW w:w="6663" w:type="dxa"/>
            <w:shd w:val="clear" w:color="auto" w:fill="auto"/>
          </w:tcPr>
          <w:p w14:paraId="5820A067" w14:textId="14ED5E8E" w:rsidR="00855650" w:rsidRPr="00845B1A" w:rsidRDefault="008F3E20" w:rsidP="000C7D35">
            <w:pPr>
              <w:spacing w:line="360" w:lineRule="auto"/>
              <w:rPr>
                <w:rFonts w:ascii="Arial" w:hAnsi="Arial" w:cs="Arial"/>
                <w:bCs/>
              </w:rPr>
            </w:pPr>
            <w:r>
              <w:rPr>
                <w:rFonts w:ascii="Arial" w:hAnsi="Arial" w:cs="Arial"/>
                <w:bCs/>
              </w:rPr>
              <w:t>L.A.</w:t>
            </w:r>
            <w:r w:rsidR="000C7D35">
              <w:rPr>
                <w:rFonts w:ascii="Arial" w:hAnsi="Arial" w:cs="Arial"/>
                <w:bCs/>
              </w:rPr>
              <w:t xml:space="preserve"> Beatriz Adriana </w:t>
            </w:r>
            <w:proofErr w:type="spellStart"/>
            <w:r w:rsidR="000C7D35">
              <w:rPr>
                <w:rFonts w:ascii="Arial" w:hAnsi="Arial" w:cs="Arial"/>
                <w:bCs/>
              </w:rPr>
              <w:t>Irola</w:t>
            </w:r>
            <w:proofErr w:type="spellEnd"/>
            <w:r w:rsidR="000C7D35">
              <w:rPr>
                <w:rFonts w:ascii="Arial" w:hAnsi="Arial" w:cs="Arial"/>
                <w:bCs/>
              </w:rPr>
              <w:t xml:space="preserve"> Ramírez</w:t>
            </w:r>
          </w:p>
        </w:tc>
        <w:tc>
          <w:tcPr>
            <w:tcW w:w="2977" w:type="dxa"/>
            <w:shd w:val="clear" w:color="auto" w:fill="auto"/>
          </w:tcPr>
          <w:p w14:paraId="76B670D2" w14:textId="27C7E634"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8F3E20">
              <w:rPr>
                <w:rFonts w:ascii="Arial" w:hAnsi="Arial" w:cs="Arial"/>
                <w:bCs/>
              </w:rPr>
              <w:t>a</w:t>
            </w:r>
          </w:p>
        </w:tc>
      </w:tr>
    </w:tbl>
    <w:p w14:paraId="0E1E31E3" w14:textId="1B8837F5" w:rsidR="006F100F" w:rsidRDefault="006F100F" w:rsidP="00B93F1F">
      <w:pPr>
        <w:spacing w:line="360" w:lineRule="auto"/>
        <w:ind w:right="190"/>
        <w:jc w:val="both"/>
        <w:rPr>
          <w:rFonts w:ascii="Arial" w:hAnsi="Arial" w:cs="Arial"/>
          <w:b/>
        </w:rPr>
      </w:pPr>
    </w:p>
    <w:p w14:paraId="507D5E3D" w14:textId="1CDD6DFF" w:rsidR="00615C7A" w:rsidRPr="00845B1A" w:rsidRDefault="005F7A39" w:rsidP="004E06EB">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5E1C84" w:rsidRDefault="005E4A7A" w:rsidP="004E06EB">
      <w:pPr>
        <w:spacing w:line="360" w:lineRule="auto"/>
        <w:ind w:right="49"/>
        <w:jc w:val="both"/>
        <w:rPr>
          <w:rFonts w:ascii="Arial" w:hAnsi="Arial" w:cs="Arial"/>
          <w:sz w:val="26"/>
          <w:szCs w:val="26"/>
        </w:rPr>
      </w:pPr>
    </w:p>
    <w:p w14:paraId="35FC8FA5" w14:textId="6883575D" w:rsidR="000F3999" w:rsidRPr="00845B1A" w:rsidRDefault="000F3999" w:rsidP="004E06EB">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0D69EE">
        <w:rPr>
          <w:rFonts w:ascii="Arial" w:hAnsi="Arial" w:cs="Arial"/>
        </w:rPr>
        <w:t xml:space="preserve">de Contabilidad Gubernamental, </w:t>
      </w:r>
      <w:r w:rsidR="0002266E" w:rsidRPr="000D69EE">
        <w:rPr>
          <w:rFonts w:ascii="Arial" w:hAnsi="Arial" w:cs="Arial"/>
        </w:rPr>
        <w:t>Presupuesto de Egresos del Gobierno del Estado de Quintana Roo, para el ejercicio fiscal 2019</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0B1FAF9" w14:textId="77777777" w:rsidR="00F50A88" w:rsidRDefault="00F50A88" w:rsidP="004E06EB">
      <w:pPr>
        <w:spacing w:line="360" w:lineRule="auto"/>
        <w:ind w:right="49"/>
        <w:jc w:val="both"/>
        <w:rPr>
          <w:rFonts w:ascii="Arial" w:hAnsi="Arial" w:cs="Arial"/>
          <w:b/>
        </w:rPr>
      </w:pPr>
    </w:p>
    <w:p w14:paraId="0DCC42EC" w14:textId="01BF3DC9" w:rsidR="00F87946" w:rsidRPr="00845B1A" w:rsidRDefault="00212E90" w:rsidP="004E06EB">
      <w:pPr>
        <w:spacing w:line="360" w:lineRule="auto"/>
        <w:ind w:right="49"/>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4E06EB">
      <w:pPr>
        <w:spacing w:line="360" w:lineRule="auto"/>
        <w:ind w:right="49"/>
        <w:jc w:val="both"/>
        <w:rPr>
          <w:rFonts w:ascii="Arial" w:hAnsi="Arial" w:cs="Arial"/>
        </w:rPr>
      </w:pPr>
    </w:p>
    <w:p w14:paraId="512F3ABB" w14:textId="75990D49" w:rsidR="00F65AB1" w:rsidRPr="00845B1A" w:rsidRDefault="00A15519" w:rsidP="004E06EB">
      <w:pPr>
        <w:tabs>
          <w:tab w:val="left" w:pos="2160"/>
        </w:tabs>
        <w:spacing w:line="360" w:lineRule="auto"/>
        <w:ind w:right="49"/>
        <w:jc w:val="both"/>
        <w:rPr>
          <w:rFonts w:ascii="Arial" w:hAnsi="Arial" w:cs="Arial"/>
        </w:rPr>
      </w:pPr>
      <w:r w:rsidRPr="00A15519">
        <w:rPr>
          <w:rFonts w:ascii="Arial" w:hAnsi="Arial" w:cs="Arial"/>
        </w:rPr>
        <w:t xml:space="preserve">Se constató el cumplimiento de la Ley General de Contabilidad Gubernamental, </w:t>
      </w:r>
      <w:r w:rsidRPr="000D69EE">
        <w:rPr>
          <w:rFonts w:ascii="Arial" w:hAnsi="Arial" w:cs="Arial"/>
        </w:rPr>
        <w:t>Presupuesto de Egresos del Gobierno del Estado de Quintana Roo, para el ejercicio fiscal 2019</w:t>
      </w:r>
      <w:r w:rsidRPr="00A15519">
        <w:rPr>
          <w:rFonts w:ascii="Arial" w:hAnsi="Arial" w:cs="Arial"/>
        </w:rPr>
        <w:t>, así como de lo emitido por el Consejo Nacional de Armonización Contable (CONAC), y demás disposiciones legales y normativas aplicables</w:t>
      </w:r>
    </w:p>
    <w:p w14:paraId="7C845B4C" w14:textId="77777777" w:rsidR="006B7E37" w:rsidRPr="00845B1A" w:rsidRDefault="006B7E37" w:rsidP="004E06EB">
      <w:pPr>
        <w:spacing w:line="360" w:lineRule="auto"/>
        <w:ind w:right="49"/>
        <w:jc w:val="both"/>
        <w:rPr>
          <w:rFonts w:ascii="Arial" w:hAnsi="Arial" w:cs="Arial"/>
          <w:bCs/>
          <w:u w:val="single"/>
        </w:rPr>
      </w:pPr>
    </w:p>
    <w:p w14:paraId="709275CB" w14:textId="77777777" w:rsidR="00F326F4" w:rsidRPr="00A05588" w:rsidRDefault="00B93E82" w:rsidP="004E06EB">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4E06EB">
      <w:pPr>
        <w:spacing w:line="360" w:lineRule="auto"/>
        <w:ind w:right="49"/>
        <w:jc w:val="both"/>
        <w:rPr>
          <w:rFonts w:ascii="Arial" w:hAnsi="Arial" w:cs="Arial"/>
        </w:rPr>
      </w:pPr>
    </w:p>
    <w:p w14:paraId="35A32CCA" w14:textId="18EA46BB" w:rsidR="00761FA3" w:rsidRDefault="00183532" w:rsidP="004E06EB">
      <w:pPr>
        <w:spacing w:line="360" w:lineRule="auto"/>
        <w:ind w:right="49"/>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 xml:space="preserve">61 párrafo primero de la Ley de Fiscalización y Rendición de Cuentas del Estado de Quintana </w:t>
      </w:r>
      <w:r w:rsidRPr="0084191C">
        <w:rPr>
          <w:rFonts w:ascii="Arial" w:hAnsi="Arial" w:cs="Arial"/>
        </w:rPr>
        <w:lastRenderedPageBreak/>
        <w:t>Roo</w:t>
      </w:r>
      <w:r w:rsidR="00A15519">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 xml:space="preserve">XVIII y XXVI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4" w:name="_Hlk11408938"/>
      <w:r w:rsidR="00AC1182" w:rsidRPr="00925461">
        <w:rPr>
          <w:rFonts w:ascii="Arial" w:hAnsi="Arial" w:cs="Arial"/>
        </w:rPr>
        <w:t xml:space="preserve">se presentaron </w:t>
      </w:r>
      <w:bookmarkStart w:id="5" w:name="_Hlk11408885"/>
      <w:r w:rsidR="00BA02EB" w:rsidRPr="00BA02EB">
        <w:rPr>
          <w:rFonts w:ascii="Arial" w:hAnsi="Arial" w:cs="Arial"/>
          <w:b/>
        </w:rPr>
        <w:t>3</w:t>
      </w:r>
      <w:r w:rsidR="00B03571" w:rsidRPr="00845B1A">
        <w:rPr>
          <w:rFonts w:ascii="Arial" w:hAnsi="Arial" w:cs="Arial"/>
        </w:rPr>
        <w:t xml:space="preserve"> </w:t>
      </w:r>
      <w:r w:rsidR="00AC1182" w:rsidRPr="00845B1A">
        <w:rPr>
          <w:rFonts w:ascii="Arial" w:hAnsi="Arial" w:cs="Arial"/>
        </w:rPr>
        <w:t xml:space="preserve">resultados </w:t>
      </w:r>
      <w:bookmarkStart w:id="6" w:name="_Hlk11360245"/>
      <w:r w:rsidR="00AC1182" w:rsidRPr="00845B1A">
        <w:rPr>
          <w:rFonts w:ascii="Arial" w:hAnsi="Arial" w:cs="Arial"/>
        </w:rPr>
        <w:t xml:space="preserve">finales de auditoría </w:t>
      </w:r>
      <w:bookmarkEnd w:id="6"/>
      <w:r w:rsidR="00AC1182" w:rsidRPr="00845B1A">
        <w:rPr>
          <w:rFonts w:ascii="Arial" w:hAnsi="Arial" w:cs="Arial"/>
        </w:rPr>
        <w:t xml:space="preserve">y se determinaron </w:t>
      </w:r>
      <w:r w:rsidR="00BA02EB" w:rsidRPr="00BA02EB">
        <w:rPr>
          <w:rFonts w:ascii="Arial" w:hAnsi="Arial" w:cs="Arial"/>
          <w:b/>
        </w:rPr>
        <w:t>3</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A15519">
        <w:rPr>
          <w:rFonts w:ascii="Arial" w:hAnsi="Arial" w:cs="Arial"/>
        </w:rPr>
        <w:t>2</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845B1A">
        <w:rPr>
          <w:rFonts w:ascii="Arial" w:hAnsi="Arial" w:cs="Arial"/>
        </w:rPr>
        <w:t xml:space="preserve"> y </w:t>
      </w:r>
      <w:r w:rsidR="00A15519">
        <w:rPr>
          <w:rFonts w:ascii="Arial" w:hAnsi="Arial" w:cs="Arial"/>
        </w:rPr>
        <w:t>1</w:t>
      </w:r>
      <w:r w:rsidR="007B02D8" w:rsidRPr="00845B1A">
        <w:rPr>
          <w:rFonts w:ascii="Arial" w:hAnsi="Arial" w:cs="Arial"/>
        </w:rPr>
        <w:t xml:space="preserve"> </w:t>
      </w:r>
      <w:r w:rsidR="00A15519">
        <w:rPr>
          <w:rFonts w:ascii="Arial" w:hAnsi="Arial" w:cs="Arial"/>
        </w:rPr>
        <w:t>se encuentra pendiente</w:t>
      </w:r>
      <w:r w:rsidR="00AC1182" w:rsidRPr="006222F6">
        <w:rPr>
          <w:rFonts w:ascii="Arial" w:hAnsi="Arial" w:cs="Arial"/>
        </w:rPr>
        <w:t xml:space="preserve"> de solventar; emitiéndose </w:t>
      </w:r>
      <w:r w:rsidR="00A15519">
        <w:rPr>
          <w:rFonts w:ascii="Arial" w:hAnsi="Arial" w:cs="Arial"/>
        </w:rPr>
        <w:t>1</w:t>
      </w:r>
      <w:r w:rsidR="007B02D8" w:rsidRPr="006222F6">
        <w:rPr>
          <w:rFonts w:ascii="Arial" w:hAnsi="Arial" w:cs="Arial"/>
        </w:rPr>
        <w:t xml:space="preserve"> </w:t>
      </w:r>
      <w:r w:rsidR="00A15519">
        <w:rPr>
          <w:rFonts w:ascii="Arial" w:hAnsi="Arial" w:cs="Arial"/>
        </w:rPr>
        <w:t>solicitud de aclaración.</w:t>
      </w:r>
    </w:p>
    <w:p w14:paraId="563AA58B" w14:textId="77777777" w:rsidR="004E06EB" w:rsidRDefault="004E06EB" w:rsidP="004E06EB">
      <w:pPr>
        <w:spacing w:line="360" w:lineRule="auto"/>
        <w:ind w:right="49"/>
        <w:jc w:val="both"/>
        <w:rPr>
          <w:rFonts w:ascii="Arial" w:hAnsi="Arial" w:cs="Arial"/>
          <w:iCs/>
        </w:rPr>
      </w:pPr>
    </w:p>
    <w:bookmarkEnd w:id="4"/>
    <w:bookmarkEnd w:id="5"/>
    <w:p w14:paraId="48F04B82" w14:textId="3C591038" w:rsidR="002F7D2D" w:rsidRPr="00C404BF" w:rsidRDefault="002F7D2D" w:rsidP="00CA4AAD">
      <w:pPr>
        <w:spacing w:line="360" w:lineRule="auto"/>
        <w:ind w:right="49"/>
        <w:jc w:val="both"/>
        <w:rPr>
          <w:rFonts w:ascii="Arial" w:hAnsi="Arial" w:cs="Arial"/>
          <w:b/>
        </w:rPr>
      </w:pPr>
      <w:r w:rsidRPr="00147304">
        <w:rPr>
          <w:rFonts w:ascii="Arial" w:hAnsi="Arial" w:cs="Arial"/>
          <w:b/>
        </w:rPr>
        <w:t xml:space="preserve">A. </w:t>
      </w:r>
      <w:bookmarkStart w:id="7"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7"/>
    </w:p>
    <w:p w14:paraId="458D97BD" w14:textId="77777777" w:rsidR="00A93AE5" w:rsidRDefault="00A93AE5" w:rsidP="00CA4AAD">
      <w:pPr>
        <w:spacing w:line="360" w:lineRule="auto"/>
        <w:ind w:right="49"/>
        <w:jc w:val="both"/>
        <w:rPr>
          <w:rFonts w:ascii="Arial" w:hAnsi="Arial" w:cs="Arial"/>
        </w:rPr>
      </w:pPr>
    </w:p>
    <w:p w14:paraId="6402FB82" w14:textId="77777777" w:rsidR="00640CCA" w:rsidRDefault="00640CCA" w:rsidP="00CA4AAD">
      <w:pPr>
        <w:tabs>
          <w:tab w:val="left" w:pos="9072"/>
          <w:tab w:val="left" w:pos="9214"/>
        </w:tabs>
        <w:spacing w:line="360" w:lineRule="auto"/>
        <w:ind w:right="49"/>
        <w:jc w:val="both"/>
        <w:rPr>
          <w:rFonts w:ascii="Arial" w:hAnsi="Arial" w:cs="Arial"/>
        </w:rPr>
      </w:pPr>
      <w:bookmarkStart w:id="8"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Pr>
          <w:rFonts w:ascii="Arial" w:hAnsi="Arial" w:cs="Arial"/>
        </w:rPr>
        <w:t>:</w:t>
      </w:r>
    </w:p>
    <w:bookmarkEnd w:id="8"/>
    <w:p w14:paraId="61779FDD" w14:textId="63F6C187" w:rsidR="00B16F60" w:rsidRDefault="00B16F60" w:rsidP="00CA4AAD">
      <w:pPr>
        <w:spacing w:line="360" w:lineRule="auto"/>
        <w:ind w:right="49"/>
        <w:jc w:val="both"/>
        <w:rPr>
          <w:rFonts w:ascii="Arial" w:hAnsi="Arial" w:cs="Arial"/>
        </w:rPr>
      </w:pPr>
    </w:p>
    <w:tbl>
      <w:tblPr>
        <w:tblStyle w:val="Tablaconcuadrcul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32"/>
        <w:gridCol w:w="3227"/>
        <w:gridCol w:w="3179"/>
        <w:gridCol w:w="1640"/>
      </w:tblGrid>
      <w:tr w:rsidR="00A15519" w:rsidRPr="00A34E8E" w14:paraId="4B471810" w14:textId="77777777" w:rsidTr="0049327F">
        <w:trPr>
          <w:tblHeader/>
          <w:jc w:val="center"/>
        </w:trPr>
        <w:tc>
          <w:tcPr>
            <w:tcW w:w="0" w:type="auto"/>
            <w:shd w:val="clear" w:color="auto" w:fill="D0CECE" w:themeFill="background2" w:themeFillShade="E6"/>
            <w:vAlign w:val="center"/>
          </w:tcPr>
          <w:p w14:paraId="6E8AB962" w14:textId="77777777" w:rsidR="00A15519" w:rsidRPr="00A34E8E" w:rsidRDefault="00A15519" w:rsidP="00407ABB">
            <w:pPr>
              <w:spacing w:line="360" w:lineRule="auto"/>
              <w:ind w:right="49"/>
              <w:jc w:val="center"/>
              <w:rPr>
                <w:rFonts w:ascii="Arial" w:hAnsi="Arial" w:cs="Arial"/>
                <w:b/>
                <w:sz w:val="16"/>
                <w:szCs w:val="16"/>
              </w:rPr>
            </w:pPr>
            <w:r w:rsidRPr="00A34E8E">
              <w:rPr>
                <w:rFonts w:ascii="Arial" w:hAnsi="Arial" w:cs="Arial"/>
                <w:b/>
                <w:sz w:val="16"/>
                <w:szCs w:val="16"/>
              </w:rPr>
              <w:t>Referencia</w:t>
            </w:r>
          </w:p>
        </w:tc>
        <w:tc>
          <w:tcPr>
            <w:tcW w:w="0" w:type="auto"/>
            <w:shd w:val="clear" w:color="auto" w:fill="D0CECE" w:themeFill="background2" w:themeFillShade="E6"/>
            <w:vAlign w:val="center"/>
          </w:tcPr>
          <w:p w14:paraId="5AF6DFB5" w14:textId="77777777" w:rsidR="00A15519" w:rsidRPr="00A34E8E" w:rsidRDefault="00A15519" w:rsidP="00407ABB">
            <w:pPr>
              <w:spacing w:line="360" w:lineRule="auto"/>
              <w:ind w:right="49"/>
              <w:jc w:val="center"/>
              <w:rPr>
                <w:rFonts w:ascii="Arial" w:hAnsi="Arial" w:cs="Arial"/>
                <w:b/>
                <w:sz w:val="16"/>
                <w:szCs w:val="16"/>
              </w:rPr>
            </w:pPr>
            <w:r w:rsidRPr="00A34E8E">
              <w:rPr>
                <w:rFonts w:ascii="Arial" w:hAnsi="Arial" w:cs="Arial"/>
                <w:b/>
                <w:sz w:val="16"/>
                <w:szCs w:val="16"/>
              </w:rPr>
              <w:t>Concepto del Resultado</w:t>
            </w:r>
          </w:p>
        </w:tc>
        <w:tc>
          <w:tcPr>
            <w:tcW w:w="0" w:type="auto"/>
            <w:shd w:val="clear" w:color="auto" w:fill="D0CECE" w:themeFill="background2" w:themeFillShade="E6"/>
            <w:vAlign w:val="center"/>
          </w:tcPr>
          <w:p w14:paraId="4BF10D60" w14:textId="77777777" w:rsidR="00A15519" w:rsidRPr="00A34E8E" w:rsidRDefault="00A15519" w:rsidP="00407ABB">
            <w:pPr>
              <w:spacing w:line="360" w:lineRule="auto"/>
              <w:ind w:right="49"/>
              <w:jc w:val="center"/>
              <w:rPr>
                <w:rFonts w:ascii="Arial" w:hAnsi="Arial" w:cs="Arial"/>
                <w:b/>
                <w:sz w:val="16"/>
                <w:szCs w:val="16"/>
              </w:rPr>
            </w:pPr>
            <w:r w:rsidRPr="00A34E8E">
              <w:rPr>
                <w:rFonts w:ascii="Arial" w:hAnsi="Arial" w:cs="Arial"/>
                <w:b/>
                <w:sz w:val="16"/>
                <w:szCs w:val="16"/>
              </w:rPr>
              <w:t>Tipo de Observación</w:t>
            </w:r>
          </w:p>
        </w:tc>
        <w:tc>
          <w:tcPr>
            <w:tcW w:w="0" w:type="auto"/>
            <w:shd w:val="clear" w:color="auto" w:fill="D0CECE" w:themeFill="background2" w:themeFillShade="E6"/>
            <w:vAlign w:val="center"/>
          </w:tcPr>
          <w:p w14:paraId="799B07EB" w14:textId="77777777" w:rsidR="00A15519" w:rsidRPr="00A34E8E" w:rsidRDefault="00A15519" w:rsidP="00407ABB">
            <w:pPr>
              <w:spacing w:line="360" w:lineRule="auto"/>
              <w:ind w:right="49"/>
              <w:jc w:val="center"/>
              <w:rPr>
                <w:rFonts w:ascii="Arial" w:hAnsi="Arial" w:cs="Arial"/>
                <w:b/>
                <w:sz w:val="16"/>
                <w:szCs w:val="16"/>
              </w:rPr>
            </w:pPr>
            <w:r w:rsidRPr="00A34E8E">
              <w:rPr>
                <w:rFonts w:ascii="Arial" w:hAnsi="Arial" w:cs="Arial"/>
                <w:b/>
                <w:sz w:val="16"/>
                <w:szCs w:val="16"/>
              </w:rPr>
              <w:t>Importe</w:t>
            </w:r>
          </w:p>
          <w:p w14:paraId="4B8BBFBA" w14:textId="77777777" w:rsidR="00A15519" w:rsidRPr="00A34E8E" w:rsidRDefault="00A15519" w:rsidP="00407ABB">
            <w:pPr>
              <w:spacing w:line="360" w:lineRule="auto"/>
              <w:ind w:right="49"/>
              <w:jc w:val="center"/>
              <w:rPr>
                <w:rFonts w:ascii="Arial" w:hAnsi="Arial" w:cs="Arial"/>
                <w:b/>
                <w:sz w:val="16"/>
                <w:szCs w:val="16"/>
              </w:rPr>
            </w:pPr>
            <w:r w:rsidRPr="00A34E8E">
              <w:rPr>
                <w:rFonts w:ascii="Arial" w:hAnsi="Arial" w:cs="Arial"/>
                <w:b/>
                <w:sz w:val="16"/>
                <w:szCs w:val="16"/>
              </w:rPr>
              <w:t>Observado</w:t>
            </w:r>
          </w:p>
        </w:tc>
      </w:tr>
      <w:tr w:rsidR="00A15519" w:rsidRPr="00A34E8E" w14:paraId="59FA71E6" w14:textId="77777777" w:rsidTr="0049327F">
        <w:trPr>
          <w:jc w:val="center"/>
        </w:trPr>
        <w:tc>
          <w:tcPr>
            <w:tcW w:w="0" w:type="auto"/>
          </w:tcPr>
          <w:p w14:paraId="01730152" w14:textId="77777777" w:rsidR="00A15519" w:rsidRPr="00A34E8E" w:rsidRDefault="00A15519" w:rsidP="00A15519">
            <w:pPr>
              <w:spacing w:line="360" w:lineRule="auto"/>
              <w:ind w:right="49"/>
              <w:rPr>
                <w:rFonts w:ascii="Arial" w:hAnsi="Arial" w:cs="Arial"/>
                <w:sz w:val="16"/>
                <w:szCs w:val="16"/>
              </w:rPr>
            </w:pPr>
            <w:r w:rsidRPr="00A34E8E">
              <w:rPr>
                <w:rFonts w:ascii="Arial" w:hAnsi="Arial" w:cs="Arial"/>
                <w:sz w:val="16"/>
                <w:szCs w:val="16"/>
              </w:rPr>
              <w:t>Resultado: 1 Observación: 1</w:t>
            </w:r>
          </w:p>
        </w:tc>
        <w:tc>
          <w:tcPr>
            <w:tcW w:w="0" w:type="auto"/>
          </w:tcPr>
          <w:p w14:paraId="340662A8" w14:textId="77777777" w:rsidR="00A15519" w:rsidRPr="00A34E8E" w:rsidRDefault="00A15519" w:rsidP="00407ABB">
            <w:pPr>
              <w:spacing w:line="360" w:lineRule="auto"/>
              <w:ind w:right="49"/>
              <w:jc w:val="both"/>
              <w:rPr>
                <w:rFonts w:ascii="Arial" w:hAnsi="Arial" w:cs="Arial"/>
                <w:sz w:val="16"/>
                <w:szCs w:val="16"/>
              </w:rPr>
            </w:pPr>
            <w:r w:rsidRPr="00A34E8E">
              <w:rPr>
                <w:rFonts w:ascii="Arial" w:hAnsi="Arial" w:cs="Arial"/>
                <w:sz w:val="16"/>
                <w:szCs w:val="16"/>
              </w:rPr>
              <w:t>Gastos por comprobar no recuperados al cierre del ejercicio</w:t>
            </w:r>
          </w:p>
        </w:tc>
        <w:tc>
          <w:tcPr>
            <w:tcW w:w="0" w:type="auto"/>
          </w:tcPr>
          <w:p w14:paraId="7403A5E4" w14:textId="77777777" w:rsidR="00A15519" w:rsidRPr="00A34E8E" w:rsidRDefault="00A15519" w:rsidP="00407ABB">
            <w:pPr>
              <w:spacing w:line="360" w:lineRule="auto"/>
              <w:ind w:right="49"/>
              <w:jc w:val="both"/>
              <w:rPr>
                <w:rFonts w:ascii="Arial" w:hAnsi="Arial" w:cs="Arial"/>
                <w:sz w:val="16"/>
                <w:szCs w:val="16"/>
              </w:rPr>
            </w:pPr>
            <w:r w:rsidRPr="00A34E8E">
              <w:rPr>
                <w:rFonts w:ascii="Arial" w:hAnsi="Arial" w:cs="Arial"/>
                <w:sz w:val="16"/>
                <w:szCs w:val="16"/>
              </w:rPr>
              <w:t>(4C) Omisiones o inconsistencias en la presentación de la información financiera</w:t>
            </w:r>
          </w:p>
        </w:tc>
        <w:tc>
          <w:tcPr>
            <w:tcW w:w="0" w:type="auto"/>
          </w:tcPr>
          <w:p w14:paraId="4AFFFF85" w14:textId="77777777" w:rsidR="00A15519" w:rsidRPr="00A34E8E" w:rsidRDefault="00A15519" w:rsidP="00A504CE">
            <w:pPr>
              <w:spacing w:line="360" w:lineRule="auto"/>
              <w:ind w:right="49"/>
              <w:jc w:val="both"/>
              <w:rPr>
                <w:rFonts w:ascii="Arial" w:hAnsi="Arial" w:cs="Arial"/>
                <w:sz w:val="16"/>
                <w:szCs w:val="16"/>
              </w:rPr>
            </w:pPr>
            <w:r w:rsidRPr="00A34E8E">
              <w:rPr>
                <w:rFonts w:ascii="Arial" w:hAnsi="Arial" w:cs="Arial"/>
                <w:bCs/>
                <w:sz w:val="16"/>
                <w:szCs w:val="16"/>
                <w:lang w:eastAsia="es-MX"/>
              </w:rPr>
              <w:t>Cumplimiento legal</w:t>
            </w:r>
          </w:p>
        </w:tc>
      </w:tr>
      <w:tr w:rsidR="00A15519" w:rsidRPr="00A34E8E" w14:paraId="704C7881" w14:textId="77777777" w:rsidTr="0049327F">
        <w:trPr>
          <w:jc w:val="center"/>
        </w:trPr>
        <w:tc>
          <w:tcPr>
            <w:tcW w:w="0" w:type="auto"/>
          </w:tcPr>
          <w:p w14:paraId="77F06390" w14:textId="77777777" w:rsidR="00A15519" w:rsidRPr="00A34E8E" w:rsidRDefault="00A15519" w:rsidP="00A15519">
            <w:pPr>
              <w:spacing w:line="360" w:lineRule="auto"/>
              <w:ind w:right="49"/>
              <w:rPr>
                <w:rFonts w:ascii="Arial" w:hAnsi="Arial" w:cs="Arial"/>
                <w:sz w:val="16"/>
                <w:szCs w:val="16"/>
              </w:rPr>
            </w:pPr>
            <w:r w:rsidRPr="00A34E8E">
              <w:rPr>
                <w:rFonts w:ascii="Arial" w:hAnsi="Arial" w:cs="Arial"/>
                <w:sz w:val="16"/>
                <w:szCs w:val="16"/>
              </w:rPr>
              <w:t>Resultado: 2 Observación: 2</w:t>
            </w:r>
          </w:p>
        </w:tc>
        <w:tc>
          <w:tcPr>
            <w:tcW w:w="0" w:type="auto"/>
          </w:tcPr>
          <w:p w14:paraId="5C287170" w14:textId="77777777" w:rsidR="00A15519" w:rsidRPr="00A34E8E" w:rsidRDefault="00A15519" w:rsidP="00407ABB">
            <w:pPr>
              <w:spacing w:line="360" w:lineRule="auto"/>
              <w:ind w:right="49"/>
              <w:jc w:val="both"/>
              <w:rPr>
                <w:rFonts w:ascii="Arial" w:hAnsi="Arial" w:cs="Arial"/>
                <w:sz w:val="16"/>
                <w:szCs w:val="16"/>
              </w:rPr>
            </w:pPr>
            <w:r w:rsidRPr="00A34E8E">
              <w:rPr>
                <w:rFonts w:ascii="Arial" w:hAnsi="Arial" w:cs="Arial"/>
                <w:sz w:val="16"/>
                <w:szCs w:val="16"/>
              </w:rPr>
              <w:t>Incumplimiento o deficiencias en la aplicación de la normatividad aplicable</w:t>
            </w:r>
          </w:p>
        </w:tc>
        <w:tc>
          <w:tcPr>
            <w:tcW w:w="0" w:type="auto"/>
          </w:tcPr>
          <w:p w14:paraId="1694C5B5" w14:textId="77777777" w:rsidR="00A15519" w:rsidRPr="00A34E8E" w:rsidRDefault="00A15519" w:rsidP="00407ABB">
            <w:pPr>
              <w:spacing w:line="360" w:lineRule="auto"/>
              <w:ind w:right="49"/>
              <w:jc w:val="both"/>
              <w:rPr>
                <w:rFonts w:ascii="Arial" w:hAnsi="Arial" w:cs="Arial"/>
                <w:sz w:val="16"/>
                <w:szCs w:val="16"/>
              </w:rPr>
            </w:pPr>
            <w:r w:rsidRPr="00A34E8E">
              <w:rPr>
                <w:rFonts w:ascii="Arial" w:hAnsi="Arial" w:cs="Arial"/>
                <w:sz w:val="16"/>
                <w:szCs w:val="16"/>
              </w:rPr>
              <w:t>(3S) Incumplimiento en programas, convenios, contratos, y/o acuerdos</w:t>
            </w:r>
          </w:p>
        </w:tc>
        <w:tc>
          <w:tcPr>
            <w:tcW w:w="0" w:type="auto"/>
          </w:tcPr>
          <w:p w14:paraId="6471796F" w14:textId="77777777" w:rsidR="00A15519" w:rsidRPr="00A34E8E" w:rsidRDefault="00A15519" w:rsidP="00A504CE">
            <w:pPr>
              <w:spacing w:line="360" w:lineRule="auto"/>
              <w:ind w:right="49"/>
              <w:jc w:val="both"/>
              <w:rPr>
                <w:rFonts w:ascii="Arial" w:hAnsi="Arial" w:cs="Arial"/>
                <w:sz w:val="16"/>
                <w:szCs w:val="16"/>
              </w:rPr>
            </w:pPr>
            <w:r w:rsidRPr="00A34E8E">
              <w:rPr>
                <w:rFonts w:ascii="Arial" w:hAnsi="Arial" w:cs="Arial"/>
                <w:sz w:val="16"/>
                <w:szCs w:val="16"/>
              </w:rPr>
              <w:t>Aspectos de Control Interno</w:t>
            </w:r>
          </w:p>
        </w:tc>
      </w:tr>
      <w:tr w:rsidR="00A15519" w:rsidRPr="00A34E8E" w14:paraId="1FFFC47C" w14:textId="77777777" w:rsidTr="0049327F">
        <w:trPr>
          <w:trHeight w:val="411"/>
          <w:jc w:val="center"/>
        </w:trPr>
        <w:tc>
          <w:tcPr>
            <w:tcW w:w="0" w:type="auto"/>
          </w:tcPr>
          <w:p w14:paraId="40B7DD42" w14:textId="77777777" w:rsidR="00A15519" w:rsidRPr="00A34E8E" w:rsidRDefault="00A15519" w:rsidP="00A15519">
            <w:pPr>
              <w:spacing w:line="360" w:lineRule="auto"/>
              <w:ind w:right="49"/>
              <w:rPr>
                <w:rFonts w:ascii="Arial" w:hAnsi="Arial" w:cs="Arial"/>
                <w:sz w:val="16"/>
                <w:szCs w:val="16"/>
              </w:rPr>
            </w:pPr>
            <w:r w:rsidRPr="00A34E8E">
              <w:rPr>
                <w:rFonts w:ascii="Arial" w:hAnsi="Arial" w:cs="Arial"/>
                <w:sz w:val="16"/>
                <w:szCs w:val="16"/>
              </w:rPr>
              <w:t>Resultado: 3</w:t>
            </w:r>
          </w:p>
          <w:p w14:paraId="68AFF222" w14:textId="77777777" w:rsidR="00A15519" w:rsidRPr="00A34E8E" w:rsidRDefault="00A15519" w:rsidP="00A15519">
            <w:pPr>
              <w:spacing w:line="360" w:lineRule="auto"/>
              <w:ind w:right="49"/>
              <w:rPr>
                <w:rFonts w:ascii="Arial" w:hAnsi="Arial" w:cs="Arial"/>
                <w:sz w:val="16"/>
                <w:szCs w:val="16"/>
              </w:rPr>
            </w:pPr>
            <w:r w:rsidRPr="00A34E8E">
              <w:rPr>
                <w:rFonts w:ascii="Arial" w:hAnsi="Arial" w:cs="Arial"/>
                <w:sz w:val="16"/>
                <w:szCs w:val="16"/>
              </w:rPr>
              <w:t>Observación: 3</w:t>
            </w:r>
          </w:p>
        </w:tc>
        <w:tc>
          <w:tcPr>
            <w:tcW w:w="0" w:type="auto"/>
          </w:tcPr>
          <w:p w14:paraId="40E8F54B" w14:textId="77777777" w:rsidR="00A15519" w:rsidRPr="00A34E8E" w:rsidRDefault="00A15519" w:rsidP="00407ABB">
            <w:pPr>
              <w:spacing w:line="360" w:lineRule="auto"/>
              <w:ind w:right="49"/>
              <w:jc w:val="both"/>
              <w:rPr>
                <w:rFonts w:ascii="Arial" w:hAnsi="Arial" w:cs="Arial"/>
                <w:sz w:val="16"/>
                <w:szCs w:val="16"/>
              </w:rPr>
            </w:pPr>
            <w:r w:rsidRPr="00A34E8E">
              <w:rPr>
                <w:rFonts w:ascii="Arial" w:hAnsi="Arial" w:cs="Arial"/>
                <w:sz w:val="16"/>
                <w:szCs w:val="16"/>
              </w:rPr>
              <w:t>Incumplimiento a los lineamientos para el uso, asignación y control de combustible</w:t>
            </w:r>
          </w:p>
        </w:tc>
        <w:tc>
          <w:tcPr>
            <w:tcW w:w="0" w:type="auto"/>
          </w:tcPr>
          <w:p w14:paraId="44170A26" w14:textId="0C944B43" w:rsidR="00A15519" w:rsidRPr="00A34E8E" w:rsidRDefault="00A15519" w:rsidP="005B2909">
            <w:pPr>
              <w:spacing w:line="360" w:lineRule="auto"/>
              <w:ind w:right="49"/>
              <w:jc w:val="both"/>
              <w:rPr>
                <w:rFonts w:ascii="Arial" w:hAnsi="Arial" w:cs="Arial"/>
                <w:sz w:val="16"/>
                <w:szCs w:val="16"/>
              </w:rPr>
            </w:pPr>
            <w:r w:rsidRPr="00A34E8E">
              <w:rPr>
                <w:rFonts w:ascii="Arial" w:hAnsi="Arial" w:cs="Arial"/>
                <w:sz w:val="16"/>
                <w:szCs w:val="16"/>
              </w:rPr>
              <w:t>(</w:t>
            </w:r>
            <w:r w:rsidR="005B2909">
              <w:rPr>
                <w:rFonts w:ascii="Arial" w:hAnsi="Arial" w:cs="Arial"/>
                <w:sz w:val="16"/>
                <w:szCs w:val="16"/>
              </w:rPr>
              <w:t>1C</w:t>
            </w:r>
            <w:r w:rsidRPr="00A34E8E">
              <w:rPr>
                <w:rFonts w:ascii="Arial" w:hAnsi="Arial" w:cs="Arial"/>
                <w:sz w:val="16"/>
                <w:szCs w:val="16"/>
              </w:rPr>
              <w:t xml:space="preserve">) </w:t>
            </w:r>
            <w:r w:rsidR="005B2909">
              <w:rPr>
                <w:rFonts w:ascii="Arial" w:hAnsi="Arial" w:cs="Arial"/>
                <w:sz w:val="16"/>
                <w:szCs w:val="16"/>
              </w:rPr>
              <w:t>Falta de autorización o justificación de las erogaciones</w:t>
            </w:r>
          </w:p>
        </w:tc>
        <w:tc>
          <w:tcPr>
            <w:tcW w:w="0" w:type="auto"/>
          </w:tcPr>
          <w:p w14:paraId="42ED2DB8" w14:textId="77777777" w:rsidR="00A15519" w:rsidRPr="00A34E8E" w:rsidRDefault="00A15519" w:rsidP="00A504CE">
            <w:pPr>
              <w:spacing w:line="360" w:lineRule="auto"/>
              <w:ind w:right="49"/>
              <w:jc w:val="both"/>
              <w:rPr>
                <w:rFonts w:ascii="Arial" w:hAnsi="Arial" w:cs="Arial"/>
                <w:sz w:val="16"/>
                <w:szCs w:val="16"/>
              </w:rPr>
            </w:pPr>
            <w:r w:rsidRPr="00A34E8E">
              <w:rPr>
                <w:rFonts w:ascii="Arial" w:hAnsi="Arial" w:cs="Arial"/>
                <w:sz w:val="16"/>
                <w:szCs w:val="16"/>
              </w:rPr>
              <w:t>Aspectos de Control Interno</w:t>
            </w:r>
          </w:p>
        </w:tc>
      </w:tr>
    </w:tbl>
    <w:p w14:paraId="20B62F47" w14:textId="64E8EE2F" w:rsidR="0093200E" w:rsidRPr="00F50A88" w:rsidRDefault="0093200E" w:rsidP="00CA4AAD">
      <w:pPr>
        <w:tabs>
          <w:tab w:val="left" w:pos="2160"/>
        </w:tabs>
        <w:spacing w:line="360" w:lineRule="auto"/>
        <w:ind w:right="51"/>
        <w:jc w:val="both"/>
        <w:rPr>
          <w:rFonts w:ascii="Arial" w:hAnsi="Arial" w:cs="Arial"/>
        </w:rPr>
      </w:pPr>
    </w:p>
    <w:p w14:paraId="7BCBF1CF" w14:textId="4EA2A65C" w:rsidR="00183532" w:rsidRPr="0030744C" w:rsidRDefault="00183532" w:rsidP="00CA4AAD">
      <w:pPr>
        <w:spacing w:line="360" w:lineRule="auto"/>
        <w:ind w:right="51"/>
        <w:jc w:val="both"/>
        <w:rPr>
          <w:rFonts w:ascii="Arial" w:hAnsi="Arial" w:cs="Arial"/>
          <w:b/>
        </w:rPr>
      </w:pPr>
      <w:bookmarkStart w:id="9" w:name="_Hlk11419882"/>
      <w:r w:rsidRPr="0030744C">
        <w:rPr>
          <w:rFonts w:ascii="Arial" w:hAnsi="Arial" w:cs="Arial"/>
          <w:b/>
        </w:rPr>
        <w:t xml:space="preserve">B. </w:t>
      </w:r>
      <w:r w:rsidR="000A472A" w:rsidRPr="0030744C">
        <w:rPr>
          <w:rFonts w:ascii="Arial" w:hAnsi="Arial" w:cs="Arial"/>
          <w:b/>
          <w:bCs/>
        </w:rPr>
        <w:t xml:space="preserve">Observaciones </w:t>
      </w:r>
      <w:r w:rsidR="00F450BC" w:rsidRPr="0030744C">
        <w:rPr>
          <w:rFonts w:ascii="Arial" w:hAnsi="Arial" w:cs="Arial"/>
          <w:b/>
          <w:bCs/>
        </w:rPr>
        <w:t>D</w:t>
      </w:r>
      <w:r w:rsidR="000A472A" w:rsidRPr="0030744C">
        <w:rPr>
          <w:rFonts w:ascii="Arial" w:hAnsi="Arial" w:cs="Arial"/>
          <w:b/>
          <w:bCs/>
        </w:rPr>
        <w:t xml:space="preserve">eterminadas </w:t>
      </w:r>
      <w:r w:rsidR="00D34659" w:rsidRPr="0030744C">
        <w:rPr>
          <w:rFonts w:ascii="Arial" w:hAnsi="Arial" w:cs="Arial"/>
          <w:b/>
          <w:bCs/>
        </w:rPr>
        <w:t>por Auditoría en Materia Financiera,</w:t>
      </w:r>
      <w:r w:rsidR="000A472A" w:rsidRPr="0030744C">
        <w:rPr>
          <w:rFonts w:ascii="Arial" w:hAnsi="Arial" w:cs="Arial"/>
          <w:b/>
          <w:bCs/>
        </w:rPr>
        <w:t xml:space="preserve"> Justificaciones y Aclaraciones de la Entidad Fiscalizada</w:t>
      </w:r>
      <w:r w:rsidR="00500074">
        <w:rPr>
          <w:rFonts w:ascii="Arial" w:hAnsi="Arial" w:cs="Arial"/>
          <w:b/>
          <w:bCs/>
        </w:rPr>
        <w:t>,</w:t>
      </w:r>
      <w:r w:rsidR="000A472A" w:rsidRPr="0030744C">
        <w:rPr>
          <w:rFonts w:ascii="Arial" w:hAnsi="Arial" w:cs="Arial"/>
          <w:b/>
          <w:bCs/>
        </w:rPr>
        <w:t xml:space="preserve"> Acciones</w:t>
      </w:r>
      <w:r w:rsidR="00500074">
        <w:rPr>
          <w:rFonts w:ascii="Arial" w:hAnsi="Arial" w:cs="Arial"/>
          <w:b/>
          <w:bCs/>
        </w:rPr>
        <w:t xml:space="preserve"> y Recomendaciones</w:t>
      </w:r>
      <w:r w:rsidR="000A472A" w:rsidRPr="0030744C">
        <w:rPr>
          <w:rFonts w:ascii="Arial" w:hAnsi="Arial" w:cs="Arial"/>
          <w:b/>
          <w:bCs/>
        </w:rPr>
        <w:t xml:space="preserve"> </w:t>
      </w:r>
      <w:r w:rsidR="00F450BC" w:rsidRPr="0030744C">
        <w:rPr>
          <w:rFonts w:ascii="Arial" w:hAnsi="Arial" w:cs="Arial"/>
          <w:b/>
          <w:bCs/>
        </w:rPr>
        <w:t>E</w:t>
      </w:r>
      <w:r w:rsidR="000A472A" w:rsidRPr="0030744C">
        <w:rPr>
          <w:rFonts w:ascii="Arial" w:hAnsi="Arial" w:cs="Arial"/>
          <w:b/>
          <w:bCs/>
        </w:rPr>
        <w:t>mitidas</w:t>
      </w:r>
      <w:r w:rsidR="00500074">
        <w:rPr>
          <w:rFonts w:ascii="Arial" w:hAnsi="Arial" w:cs="Arial"/>
          <w:b/>
          <w:bCs/>
        </w:rPr>
        <w:t xml:space="preserve"> </w:t>
      </w:r>
    </w:p>
    <w:p w14:paraId="5A088CA1" w14:textId="77777777" w:rsidR="00761FA3" w:rsidRPr="00FA65AB" w:rsidRDefault="00761FA3" w:rsidP="00CA4AAD">
      <w:pPr>
        <w:spacing w:line="360" w:lineRule="auto"/>
        <w:ind w:right="51"/>
        <w:jc w:val="both"/>
        <w:rPr>
          <w:rFonts w:ascii="Arial" w:hAnsi="Arial" w:cs="Arial"/>
          <w:b/>
        </w:rPr>
      </w:pPr>
    </w:p>
    <w:p w14:paraId="7B212193" w14:textId="78CDC83C" w:rsidR="00CE368B" w:rsidRPr="00A60075" w:rsidRDefault="00A60075" w:rsidP="00CA4AAD">
      <w:pPr>
        <w:tabs>
          <w:tab w:val="left" w:pos="9356"/>
          <w:tab w:val="left" w:pos="9498"/>
        </w:tabs>
        <w:spacing w:line="360" w:lineRule="auto"/>
        <w:ind w:right="51"/>
        <w:jc w:val="both"/>
        <w:rPr>
          <w:rFonts w:ascii="Arial" w:hAnsi="Arial" w:cs="Arial"/>
        </w:rPr>
      </w:pPr>
      <w:bookmarkStart w:id="10" w:name="_Hlk11419841"/>
      <w:r>
        <w:rPr>
          <w:rFonts w:ascii="Arial" w:hAnsi="Arial" w:cs="Arial"/>
        </w:rPr>
        <w:t>Asimismo, la entidad fiscalizada presentó</w:t>
      </w:r>
      <w:r w:rsidR="0085190B" w:rsidRPr="0085190B">
        <w:rPr>
          <w:rFonts w:ascii="Arial" w:hAnsi="Arial" w:cs="Arial"/>
        </w:rPr>
        <w:t xml:space="preserve"> en reunión </w:t>
      </w:r>
      <w:r w:rsidR="00C54980">
        <w:rPr>
          <w:rFonts w:ascii="Arial" w:hAnsi="Arial" w:cs="Arial"/>
        </w:rPr>
        <w:t xml:space="preserve">de trabajo efectuada en </w:t>
      </w:r>
      <w:r w:rsidR="00C54980" w:rsidRPr="006F100F">
        <w:rPr>
          <w:rFonts w:ascii="Arial" w:hAnsi="Arial" w:cs="Arial"/>
        </w:rPr>
        <w:t>fecha 19</w:t>
      </w:r>
      <w:r w:rsidR="0085190B" w:rsidRPr="006F100F">
        <w:rPr>
          <w:rFonts w:ascii="Arial" w:hAnsi="Arial" w:cs="Arial"/>
        </w:rPr>
        <w:t xml:space="preserve"> de </w:t>
      </w:r>
      <w:r w:rsidR="00C54980" w:rsidRPr="006F100F">
        <w:rPr>
          <w:rFonts w:ascii="Arial" w:hAnsi="Arial" w:cs="Arial"/>
        </w:rPr>
        <w:t>enero de 2021</w:t>
      </w:r>
      <w:r>
        <w:rPr>
          <w:rFonts w:ascii="Arial" w:hAnsi="Arial" w:cs="Arial"/>
        </w:rPr>
        <w:t>, l</w:t>
      </w:r>
      <w:r w:rsidR="0085190B" w:rsidRPr="0085190B">
        <w:rPr>
          <w:rFonts w:ascii="Arial" w:hAnsi="Arial" w:cs="Arial"/>
        </w:rPr>
        <w:t>as justificaciones y aclaraciones relacionadas con los conceptos observados de los resultados de auditoría en materia financiera, se detallan a continuación:</w:t>
      </w:r>
      <w:bookmarkEnd w:id="9"/>
    </w:p>
    <w:p w14:paraId="7AFC5417" w14:textId="7833313E" w:rsidR="006F100F" w:rsidRDefault="006F100F" w:rsidP="00CA4AAD">
      <w:pPr>
        <w:tabs>
          <w:tab w:val="left" w:pos="426"/>
        </w:tabs>
        <w:spacing w:line="360" w:lineRule="auto"/>
        <w:ind w:right="51"/>
        <w:rPr>
          <w:rFonts w:ascii="Arial" w:hAnsi="Arial" w:cs="Arial"/>
          <w:szCs w:val="28"/>
          <w:highlight w:val="yellow"/>
        </w:rPr>
      </w:pPr>
    </w:p>
    <w:tbl>
      <w:tblPr>
        <w:tblStyle w:val="Tablaconcuadrcul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40"/>
        <w:gridCol w:w="3470"/>
        <w:gridCol w:w="2944"/>
        <w:gridCol w:w="1824"/>
      </w:tblGrid>
      <w:tr w:rsidR="007F5EFE" w:rsidRPr="00A34E8E" w14:paraId="6B609F2D" w14:textId="77777777" w:rsidTr="007F5EFE">
        <w:trPr>
          <w:tblHeader/>
          <w:jc w:val="center"/>
        </w:trPr>
        <w:tc>
          <w:tcPr>
            <w:tcW w:w="0" w:type="auto"/>
            <w:shd w:val="clear" w:color="auto" w:fill="D0CECE" w:themeFill="background2" w:themeFillShade="E6"/>
            <w:vAlign w:val="center"/>
          </w:tcPr>
          <w:p w14:paraId="2DBF5A9C" w14:textId="77777777" w:rsidR="007F5EFE" w:rsidRPr="00A34E8E" w:rsidRDefault="007F5EFE" w:rsidP="00F11215">
            <w:pPr>
              <w:spacing w:line="360" w:lineRule="auto"/>
              <w:ind w:right="49"/>
              <w:jc w:val="center"/>
              <w:rPr>
                <w:rFonts w:ascii="Arial" w:hAnsi="Arial" w:cs="Arial"/>
                <w:b/>
                <w:sz w:val="16"/>
                <w:szCs w:val="16"/>
              </w:rPr>
            </w:pPr>
            <w:r w:rsidRPr="00A34E8E">
              <w:rPr>
                <w:rFonts w:ascii="Arial" w:hAnsi="Arial" w:cs="Arial"/>
                <w:b/>
                <w:sz w:val="16"/>
                <w:szCs w:val="16"/>
              </w:rPr>
              <w:lastRenderedPageBreak/>
              <w:t>Referencia</w:t>
            </w:r>
          </w:p>
        </w:tc>
        <w:tc>
          <w:tcPr>
            <w:tcW w:w="3470" w:type="dxa"/>
            <w:shd w:val="clear" w:color="auto" w:fill="D0CECE" w:themeFill="background2" w:themeFillShade="E6"/>
            <w:vAlign w:val="center"/>
          </w:tcPr>
          <w:p w14:paraId="2103CBB2" w14:textId="77777777" w:rsidR="007F5EFE" w:rsidRPr="00A34E8E" w:rsidRDefault="007F5EFE" w:rsidP="00F11215">
            <w:pPr>
              <w:spacing w:line="360" w:lineRule="auto"/>
              <w:ind w:right="49"/>
              <w:jc w:val="center"/>
              <w:rPr>
                <w:rFonts w:ascii="Arial" w:hAnsi="Arial" w:cs="Arial"/>
                <w:b/>
                <w:sz w:val="16"/>
                <w:szCs w:val="16"/>
              </w:rPr>
            </w:pPr>
            <w:r w:rsidRPr="00A34E8E">
              <w:rPr>
                <w:rFonts w:ascii="Arial" w:hAnsi="Arial" w:cs="Arial"/>
                <w:b/>
                <w:sz w:val="16"/>
                <w:szCs w:val="16"/>
              </w:rPr>
              <w:t>Concepto del Resultado</w:t>
            </w:r>
          </w:p>
        </w:tc>
        <w:tc>
          <w:tcPr>
            <w:tcW w:w="2944" w:type="dxa"/>
            <w:shd w:val="clear" w:color="auto" w:fill="D0CECE" w:themeFill="background2" w:themeFillShade="E6"/>
            <w:vAlign w:val="center"/>
          </w:tcPr>
          <w:p w14:paraId="29AA27E8" w14:textId="5BD66C42" w:rsidR="007F5EFE" w:rsidRPr="00A34E8E" w:rsidRDefault="007F5EFE" w:rsidP="00F11215">
            <w:pPr>
              <w:spacing w:line="360" w:lineRule="auto"/>
              <w:ind w:right="49"/>
              <w:jc w:val="center"/>
              <w:rPr>
                <w:rFonts w:ascii="Arial" w:hAnsi="Arial" w:cs="Arial"/>
                <w:b/>
                <w:sz w:val="16"/>
                <w:szCs w:val="16"/>
              </w:rPr>
            </w:pPr>
            <w:r>
              <w:rPr>
                <w:rFonts w:ascii="Arial" w:hAnsi="Arial" w:cs="Arial"/>
                <w:b/>
                <w:sz w:val="16"/>
                <w:szCs w:val="16"/>
              </w:rPr>
              <w:t xml:space="preserve">Síntesis de Justificaciones y Aclaraciones </w:t>
            </w:r>
          </w:p>
        </w:tc>
        <w:tc>
          <w:tcPr>
            <w:tcW w:w="0" w:type="auto"/>
            <w:shd w:val="clear" w:color="auto" w:fill="D0CECE" w:themeFill="background2" w:themeFillShade="E6"/>
            <w:vAlign w:val="center"/>
          </w:tcPr>
          <w:p w14:paraId="7B6EF958" w14:textId="5F98A41D" w:rsidR="007F5EFE" w:rsidRPr="00A34E8E" w:rsidRDefault="007F5EFE" w:rsidP="00F11215">
            <w:pPr>
              <w:spacing w:line="360" w:lineRule="auto"/>
              <w:ind w:right="49"/>
              <w:jc w:val="center"/>
              <w:rPr>
                <w:rFonts w:ascii="Arial" w:hAnsi="Arial" w:cs="Arial"/>
                <w:b/>
                <w:sz w:val="16"/>
                <w:szCs w:val="16"/>
              </w:rPr>
            </w:pPr>
            <w:r>
              <w:rPr>
                <w:rFonts w:ascii="Arial" w:hAnsi="Arial" w:cs="Arial"/>
                <w:b/>
                <w:sz w:val="16"/>
                <w:szCs w:val="16"/>
              </w:rPr>
              <w:t>Acción Promovida/ Recomendación</w:t>
            </w:r>
          </w:p>
        </w:tc>
      </w:tr>
      <w:tr w:rsidR="007F5EFE" w:rsidRPr="00A34E8E" w14:paraId="0747D7B1" w14:textId="77777777" w:rsidTr="007F5EFE">
        <w:trPr>
          <w:jc w:val="center"/>
        </w:trPr>
        <w:tc>
          <w:tcPr>
            <w:tcW w:w="0" w:type="auto"/>
          </w:tcPr>
          <w:p w14:paraId="74C76513" w14:textId="77777777" w:rsidR="007F5EFE" w:rsidRPr="00B0032C" w:rsidRDefault="007F5EFE" w:rsidP="00F11215">
            <w:pPr>
              <w:spacing w:line="360" w:lineRule="auto"/>
              <w:ind w:right="49"/>
              <w:rPr>
                <w:rFonts w:ascii="Arial" w:hAnsi="Arial" w:cs="Arial"/>
                <w:sz w:val="16"/>
                <w:szCs w:val="16"/>
              </w:rPr>
            </w:pPr>
            <w:r w:rsidRPr="00B0032C">
              <w:rPr>
                <w:rFonts w:ascii="Arial" w:hAnsi="Arial" w:cs="Arial"/>
                <w:sz w:val="16"/>
                <w:szCs w:val="16"/>
              </w:rPr>
              <w:t>Resultado: 1 Observación: 1</w:t>
            </w:r>
          </w:p>
        </w:tc>
        <w:tc>
          <w:tcPr>
            <w:tcW w:w="3470" w:type="dxa"/>
          </w:tcPr>
          <w:p w14:paraId="207D811E" w14:textId="77777777" w:rsidR="007F5EFE" w:rsidRPr="00B0032C" w:rsidRDefault="007F5EFE" w:rsidP="00F11215">
            <w:pPr>
              <w:spacing w:line="360" w:lineRule="auto"/>
              <w:ind w:right="49"/>
              <w:jc w:val="both"/>
              <w:rPr>
                <w:rFonts w:ascii="Arial" w:hAnsi="Arial" w:cs="Arial"/>
                <w:sz w:val="16"/>
                <w:szCs w:val="16"/>
              </w:rPr>
            </w:pPr>
            <w:r w:rsidRPr="00B0032C">
              <w:rPr>
                <w:rFonts w:ascii="Arial" w:hAnsi="Arial" w:cs="Arial"/>
                <w:sz w:val="16"/>
                <w:szCs w:val="16"/>
              </w:rPr>
              <w:t>Gastos por comprobar no recuperados al cierre del ejercicio</w:t>
            </w:r>
          </w:p>
        </w:tc>
        <w:tc>
          <w:tcPr>
            <w:tcW w:w="2944" w:type="dxa"/>
          </w:tcPr>
          <w:p w14:paraId="09CF0F14" w14:textId="4E4D1D00" w:rsidR="007F5EFE" w:rsidRPr="00B0032C" w:rsidRDefault="007F5EFE" w:rsidP="007F5EFE">
            <w:pPr>
              <w:spacing w:line="360" w:lineRule="auto"/>
              <w:ind w:right="49"/>
              <w:jc w:val="both"/>
              <w:rPr>
                <w:rFonts w:ascii="Arial" w:hAnsi="Arial" w:cs="Arial"/>
                <w:sz w:val="16"/>
                <w:szCs w:val="16"/>
              </w:rPr>
            </w:pPr>
            <w:r w:rsidRPr="00B0032C">
              <w:rPr>
                <w:rFonts w:ascii="Arial" w:hAnsi="Arial" w:cs="Arial"/>
                <w:sz w:val="16"/>
                <w:szCs w:val="16"/>
              </w:rPr>
              <w:t xml:space="preserve">La información y documentación presentada no es suficiente para desvirtuar </w:t>
            </w:r>
            <w:r w:rsidR="009A4526" w:rsidRPr="00B0032C">
              <w:rPr>
                <w:rFonts w:ascii="Arial" w:hAnsi="Arial" w:cs="Arial"/>
                <w:sz w:val="16"/>
                <w:szCs w:val="16"/>
              </w:rPr>
              <w:t>l</w:t>
            </w:r>
            <w:r w:rsidRPr="00B0032C">
              <w:rPr>
                <w:rFonts w:ascii="Arial" w:hAnsi="Arial" w:cs="Arial"/>
                <w:sz w:val="16"/>
                <w:szCs w:val="16"/>
              </w:rPr>
              <w:t>o observado</w:t>
            </w:r>
          </w:p>
        </w:tc>
        <w:tc>
          <w:tcPr>
            <w:tcW w:w="0" w:type="auto"/>
          </w:tcPr>
          <w:p w14:paraId="67822810" w14:textId="63155004" w:rsidR="007F5EFE" w:rsidRPr="00B0032C" w:rsidRDefault="00776E2C" w:rsidP="00F422E1">
            <w:pPr>
              <w:spacing w:line="360" w:lineRule="auto"/>
              <w:ind w:right="49"/>
              <w:jc w:val="center"/>
              <w:rPr>
                <w:rFonts w:ascii="Arial" w:hAnsi="Arial" w:cs="Arial"/>
                <w:sz w:val="16"/>
                <w:szCs w:val="16"/>
              </w:rPr>
            </w:pPr>
            <w:r w:rsidRPr="00B0032C">
              <w:rPr>
                <w:rFonts w:ascii="Arial" w:hAnsi="Arial" w:cs="Arial"/>
                <w:bCs/>
                <w:sz w:val="16"/>
                <w:szCs w:val="16"/>
                <w:lang w:eastAsia="es-MX"/>
              </w:rPr>
              <w:t>Solicitud de Aclaración</w:t>
            </w:r>
          </w:p>
        </w:tc>
      </w:tr>
      <w:tr w:rsidR="007F5EFE" w:rsidRPr="00A34E8E" w14:paraId="71721C54" w14:textId="77777777" w:rsidTr="007F5EFE">
        <w:trPr>
          <w:jc w:val="center"/>
        </w:trPr>
        <w:tc>
          <w:tcPr>
            <w:tcW w:w="0" w:type="auto"/>
          </w:tcPr>
          <w:p w14:paraId="6A2A47A9" w14:textId="77777777" w:rsidR="007F5EFE" w:rsidRPr="00B0032C" w:rsidRDefault="007F5EFE" w:rsidP="00F11215">
            <w:pPr>
              <w:spacing w:line="360" w:lineRule="auto"/>
              <w:ind w:right="49"/>
              <w:rPr>
                <w:rFonts w:ascii="Arial" w:hAnsi="Arial" w:cs="Arial"/>
                <w:sz w:val="16"/>
                <w:szCs w:val="16"/>
              </w:rPr>
            </w:pPr>
            <w:r w:rsidRPr="00B0032C">
              <w:rPr>
                <w:rFonts w:ascii="Arial" w:hAnsi="Arial" w:cs="Arial"/>
                <w:sz w:val="16"/>
                <w:szCs w:val="16"/>
              </w:rPr>
              <w:t>Resultado: 2 Observación: 2</w:t>
            </w:r>
          </w:p>
        </w:tc>
        <w:tc>
          <w:tcPr>
            <w:tcW w:w="3470" w:type="dxa"/>
          </w:tcPr>
          <w:p w14:paraId="730C1E98" w14:textId="77777777" w:rsidR="007F5EFE" w:rsidRPr="00B0032C" w:rsidRDefault="007F5EFE" w:rsidP="00F11215">
            <w:pPr>
              <w:spacing w:line="360" w:lineRule="auto"/>
              <w:ind w:right="49"/>
              <w:jc w:val="both"/>
              <w:rPr>
                <w:rFonts w:ascii="Arial" w:hAnsi="Arial" w:cs="Arial"/>
                <w:sz w:val="16"/>
                <w:szCs w:val="16"/>
              </w:rPr>
            </w:pPr>
            <w:r w:rsidRPr="00B0032C">
              <w:rPr>
                <w:rFonts w:ascii="Arial" w:hAnsi="Arial" w:cs="Arial"/>
                <w:sz w:val="16"/>
                <w:szCs w:val="16"/>
              </w:rPr>
              <w:t>Incumplimiento o deficiencias en la aplicación de la normatividad aplicable</w:t>
            </w:r>
          </w:p>
        </w:tc>
        <w:tc>
          <w:tcPr>
            <w:tcW w:w="2944" w:type="dxa"/>
          </w:tcPr>
          <w:p w14:paraId="32FEA541" w14:textId="5A26CE3F" w:rsidR="007F5EFE" w:rsidRPr="00B0032C" w:rsidRDefault="00BC3770" w:rsidP="00FA20EA">
            <w:pPr>
              <w:spacing w:line="360" w:lineRule="auto"/>
              <w:ind w:right="49"/>
              <w:jc w:val="both"/>
              <w:rPr>
                <w:rFonts w:ascii="Arial" w:hAnsi="Arial" w:cs="Arial"/>
                <w:sz w:val="16"/>
                <w:szCs w:val="16"/>
              </w:rPr>
            </w:pPr>
            <w:r w:rsidRPr="00B0032C">
              <w:rPr>
                <w:rFonts w:ascii="Arial" w:hAnsi="Arial" w:cs="Arial"/>
                <w:sz w:val="16"/>
                <w:szCs w:val="16"/>
              </w:rPr>
              <w:t xml:space="preserve">Se presentaron documentos </w:t>
            </w:r>
            <w:r w:rsidR="00FA20EA" w:rsidRPr="00B0032C">
              <w:rPr>
                <w:rFonts w:ascii="Arial" w:hAnsi="Arial" w:cs="Arial"/>
                <w:sz w:val="16"/>
                <w:szCs w:val="16"/>
              </w:rPr>
              <w:t>suficientes para la atención a la observación</w:t>
            </w:r>
          </w:p>
        </w:tc>
        <w:tc>
          <w:tcPr>
            <w:tcW w:w="0" w:type="auto"/>
          </w:tcPr>
          <w:p w14:paraId="6E168826" w14:textId="302DC53A" w:rsidR="007F5EFE" w:rsidRPr="00B0032C" w:rsidRDefault="00766015" w:rsidP="00766015">
            <w:pPr>
              <w:spacing w:line="360" w:lineRule="auto"/>
              <w:ind w:right="49"/>
              <w:jc w:val="center"/>
              <w:rPr>
                <w:rFonts w:ascii="Arial" w:hAnsi="Arial" w:cs="Arial"/>
                <w:sz w:val="16"/>
                <w:szCs w:val="16"/>
              </w:rPr>
            </w:pPr>
            <w:r w:rsidRPr="00B0032C">
              <w:rPr>
                <w:rFonts w:ascii="Arial" w:hAnsi="Arial" w:cs="Arial"/>
                <w:sz w:val="16"/>
                <w:szCs w:val="16"/>
              </w:rPr>
              <w:t>Solventada</w:t>
            </w:r>
          </w:p>
        </w:tc>
      </w:tr>
      <w:tr w:rsidR="007F5EFE" w:rsidRPr="00A34E8E" w14:paraId="6BA38810" w14:textId="77777777" w:rsidTr="007F5EFE">
        <w:trPr>
          <w:trHeight w:val="411"/>
          <w:jc w:val="center"/>
        </w:trPr>
        <w:tc>
          <w:tcPr>
            <w:tcW w:w="0" w:type="auto"/>
          </w:tcPr>
          <w:p w14:paraId="41B5AC8A" w14:textId="77777777" w:rsidR="007F5EFE" w:rsidRPr="00B0032C" w:rsidRDefault="007F5EFE" w:rsidP="00F11215">
            <w:pPr>
              <w:spacing w:line="360" w:lineRule="auto"/>
              <w:ind w:right="49"/>
              <w:rPr>
                <w:rFonts w:ascii="Arial" w:hAnsi="Arial" w:cs="Arial"/>
                <w:sz w:val="16"/>
                <w:szCs w:val="16"/>
              </w:rPr>
            </w:pPr>
            <w:r w:rsidRPr="00B0032C">
              <w:rPr>
                <w:rFonts w:ascii="Arial" w:hAnsi="Arial" w:cs="Arial"/>
                <w:sz w:val="16"/>
                <w:szCs w:val="16"/>
              </w:rPr>
              <w:t>Resultado: 3</w:t>
            </w:r>
          </w:p>
          <w:p w14:paraId="71A904DE" w14:textId="77777777" w:rsidR="007F5EFE" w:rsidRPr="00B0032C" w:rsidRDefault="007F5EFE" w:rsidP="00F11215">
            <w:pPr>
              <w:spacing w:line="360" w:lineRule="auto"/>
              <w:ind w:right="49"/>
              <w:rPr>
                <w:rFonts w:ascii="Arial" w:hAnsi="Arial" w:cs="Arial"/>
                <w:sz w:val="16"/>
                <w:szCs w:val="16"/>
              </w:rPr>
            </w:pPr>
            <w:r w:rsidRPr="00B0032C">
              <w:rPr>
                <w:rFonts w:ascii="Arial" w:hAnsi="Arial" w:cs="Arial"/>
                <w:sz w:val="16"/>
                <w:szCs w:val="16"/>
              </w:rPr>
              <w:t>Observación: 3</w:t>
            </w:r>
          </w:p>
        </w:tc>
        <w:tc>
          <w:tcPr>
            <w:tcW w:w="3470" w:type="dxa"/>
          </w:tcPr>
          <w:p w14:paraId="7C2CB793" w14:textId="77777777" w:rsidR="007F5EFE" w:rsidRPr="00B0032C" w:rsidRDefault="007F5EFE" w:rsidP="00F11215">
            <w:pPr>
              <w:spacing w:line="360" w:lineRule="auto"/>
              <w:ind w:right="49"/>
              <w:jc w:val="both"/>
              <w:rPr>
                <w:rFonts w:ascii="Arial" w:hAnsi="Arial" w:cs="Arial"/>
                <w:sz w:val="16"/>
                <w:szCs w:val="16"/>
              </w:rPr>
            </w:pPr>
            <w:r w:rsidRPr="00B0032C">
              <w:rPr>
                <w:rFonts w:ascii="Arial" w:hAnsi="Arial" w:cs="Arial"/>
                <w:sz w:val="16"/>
                <w:szCs w:val="16"/>
              </w:rPr>
              <w:t>Incumplimiento a los lineamientos para el uso, asignación y control de combustible</w:t>
            </w:r>
          </w:p>
        </w:tc>
        <w:tc>
          <w:tcPr>
            <w:tcW w:w="2944" w:type="dxa"/>
          </w:tcPr>
          <w:p w14:paraId="5A8B7737" w14:textId="4E95914B" w:rsidR="007F5EFE" w:rsidRPr="00B0032C" w:rsidRDefault="00435A59" w:rsidP="00F11215">
            <w:pPr>
              <w:spacing w:line="360" w:lineRule="auto"/>
              <w:ind w:right="49"/>
              <w:jc w:val="both"/>
              <w:rPr>
                <w:rFonts w:ascii="Arial" w:hAnsi="Arial" w:cs="Arial"/>
                <w:sz w:val="16"/>
                <w:szCs w:val="16"/>
              </w:rPr>
            </w:pPr>
            <w:r w:rsidRPr="00B0032C">
              <w:rPr>
                <w:rFonts w:ascii="Arial" w:hAnsi="Arial" w:cs="Arial"/>
                <w:sz w:val="16"/>
                <w:szCs w:val="16"/>
              </w:rPr>
              <w:t>Se presentó información y documentación que desvirtúan lo observado</w:t>
            </w:r>
          </w:p>
        </w:tc>
        <w:tc>
          <w:tcPr>
            <w:tcW w:w="0" w:type="auto"/>
          </w:tcPr>
          <w:p w14:paraId="336959B7" w14:textId="7459A50E" w:rsidR="007F5EFE" w:rsidRPr="00B0032C" w:rsidRDefault="00435A59" w:rsidP="00435A59">
            <w:pPr>
              <w:spacing w:line="360" w:lineRule="auto"/>
              <w:ind w:right="49"/>
              <w:jc w:val="center"/>
              <w:rPr>
                <w:rFonts w:ascii="Arial" w:hAnsi="Arial" w:cs="Arial"/>
                <w:sz w:val="16"/>
                <w:szCs w:val="16"/>
              </w:rPr>
            </w:pPr>
            <w:r w:rsidRPr="00B0032C">
              <w:rPr>
                <w:rFonts w:ascii="Arial" w:hAnsi="Arial" w:cs="Arial"/>
                <w:sz w:val="16"/>
                <w:szCs w:val="16"/>
              </w:rPr>
              <w:t>Solventada</w:t>
            </w:r>
          </w:p>
        </w:tc>
      </w:tr>
      <w:bookmarkEnd w:id="10"/>
    </w:tbl>
    <w:p w14:paraId="5F83B191" w14:textId="3CB4BCA4" w:rsidR="002F32E9" w:rsidRPr="00F50A88" w:rsidRDefault="002F32E9" w:rsidP="00587C35">
      <w:pPr>
        <w:tabs>
          <w:tab w:val="left" w:pos="2160"/>
        </w:tabs>
        <w:spacing w:line="360" w:lineRule="auto"/>
        <w:ind w:right="49"/>
        <w:jc w:val="both"/>
        <w:rPr>
          <w:rFonts w:ascii="Arial" w:hAnsi="Arial" w:cs="Arial"/>
          <w:b/>
          <w:sz w:val="28"/>
        </w:rPr>
      </w:pPr>
    </w:p>
    <w:p w14:paraId="6424A28D" w14:textId="0D39050E" w:rsidR="00112484" w:rsidRDefault="00B93E82" w:rsidP="00587C35">
      <w:pPr>
        <w:tabs>
          <w:tab w:val="left" w:pos="2160"/>
        </w:tabs>
        <w:spacing w:line="360" w:lineRule="auto"/>
        <w:ind w:right="49"/>
        <w:jc w:val="both"/>
        <w:rPr>
          <w:rFonts w:ascii="Arial" w:hAnsi="Arial" w:cs="Arial"/>
          <w:b/>
        </w:rPr>
      </w:pPr>
      <w:r>
        <w:rPr>
          <w:rFonts w:ascii="Arial" w:hAnsi="Arial" w:cs="Arial"/>
          <w:b/>
        </w:rPr>
        <w:t>I</w:t>
      </w:r>
      <w:r w:rsidR="00DF5384">
        <w:rPr>
          <w:rFonts w:ascii="Arial" w:hAnsi="Arial" w:cs="Arial"/>
          <w:b/>
        </w:rPr>
        <w:t>I</w:t>
      </w:r>
      <w:r w:rsidR="00183532">
        <w:rPr>
          <w:rFonts w:ascii="Arial" w:hAnsi="Arial" w:cs="Arial"/>
          <w:b/>
        </w:rPr>
        <w:t xml:space="preserve">. </w:t>
      </w:r>
      <w:r w:rsidR="00D60420">
        <w:rPr>
          <w:rFonts w:ascii="Arial" w:hAnsi="Arial" w:cs="Arial"/>
          <w:b/>
        </w:rPr>
        <w:t>DICTAMEN DEL INFORME</w:t>
      </w:r>
      <w:r w:rsidR="00BE445E" w:rsidRPr="00B42982">
        <w:rPr>
          <w:rFonts w:ascii="Arial" w:hAnsi="Arial" w:cs="Arial"/>
          <w:b/>
        </w:rPr>
        <w:t xml:space="preserve"> INDIVIDU</w:t>
      </w:r>
      <w:r w:rsidR="00D60420">
        <w:rPr>
          <w:rFonts w:ascii="Arial" w:hAnsi="Arial" w:cs="Arial"/>
          <w:b/>
        </w:rPr>
        <w:t>AL</w:t>
      </w:r>
      <w:r w:rsidR="00BE445E" w:rsidRPr="00B42982">
        <w:rPr>
          <w:rFonts w:ascii="Arial" w:hAnsi="Arial" w:cs="Arial"/>
          <w:b/>
        </w:rPr>
        <w:t xml:space="preserve"> DE AUDITORÍA</w:t>
      </w:r>
    </w:p>
    <w:p w14:paraId="6C7CDD60" w14:textId="77777777" w:rsidR="00BE445E" w:rsidRPr="00587C35" w:rsidRDefault="00BE445E" w:rsidP="00587C35">
      <w:pPr>
        <w:tabs>
          <w:tab w:val="left" w:pos="2160"/>
        </w:tabs>
        <w:spacing w:line="360" w:lineRule="auto"/>
        <w:ind w:right="49"/>
        <w:jc w:val="both"/>
        <w:rPr>
          <w:rFonts w:ascii="Arial" w:hAnsi="Arial" w:cs="Arial"/>
          <w:b/>
          <w:sz w:val="28"/>
        </w:rPr>
      </w:pPr>
    </w:p>
    <w:p w14:paraId="3AC06E62" w14:textId="744BCBDA" w:rsidR="00E024A3" w:rsidRPr="00A31FAF" w:rsidRDefault="00E024A3" w:rsidP="00587C35">
      <w:pPr>
        <w:spacing w:line="360" w:lineRule="auto"/>
        <w:ind w:right="49"/>
        <w:jc w:val="both"/>
        <w:rPr>
          <w:rFonts w:ascii="Arial" w:hAnsi="Arial" w:cs="Arial"/>
        </w:rPr>
      </w:pPr>
      <w:r w:rsidRPr="00E024A3">
        <w:rPr>
          <w:rFonts w:ascii="Arial" w:hAnsi="Arial" w:cs="Arial"/>
        </w:rPr>
        <w:t xml:space="preserve">El presente dictamen se emite el </w:t>
      </w:r>
      <w:r w:rsidR="00A60075">
        <w:rPr>
          <w:rFonts w:ascii="Arial" w:hAnsi="Arial" w:cs="Arial"/>
        </w:rPr>
        <w:t>29</w:t>
      </w:r>
      <w:r w:rsidR="00894EBD" w:rsidRPr="00E22F68">
        <w:rPr>
          <w:rFonts w:ascii="Arial" w:hAnsi="Arial" w:cs="Arial"/>
        </w:rPr>
        <w:t xml:space="preserve"> de enero de 2021</w:t>
      </w:r>
      <w:r w:rsidRPr="00E024A3">
        <w:rPr>
          <w:rFonts w:ascii="Arial" w:hAnsi="Arial" w:cs="Arial"/>
        </w:rPr>
        <w:t xml:space="preserve">, fecha de conclusión de los trabajos de auditoría, la cual se practicó sobre la información financiera proporcionada por la entidad fiscalizable, </w:t>
      </w:r>
      <w:r w:rsidR="00A31FAF">
        <w:rPr>
          <w:rFonts w:ascii="Arial" w:hAnsi="Arial" w:cs="Arial"/>
        </w:rPr>
        <w:t>emanada de</w:t>
      </w:r>
      <w:r w:rsidRPr="00E024A3">
        <w:rPr>
          <w:rFonts w:ascii="Arial" w:hAnsi="Arial" w:cs="Arial"/>
        </w:rPr>
        <w:t xml:space="preserve"> los estados e informes contables y presupuestarios que integran la Cuenta Pública del ejercicio fiscal </w:t>
      </w:r>
      <w:r w:rsidR="00875ED0" w:rsidRPr="00D269D5">
        <w:rPr>
          <w:rFonts w:ascii="Arial" w:hAnsi="Arial" w:cs="Arial"/>
          <w:bCs/>
        </w:rPr>
        <w:t>2019</w:t>
      </w:r>
      <w:r w:rsidRPr="00D269D5">
        <w:rPr>
          <w:rFonts w:ascii="Arial" w:hAnsi="Arial" w:cs="Arial"/>
        </w:rPr>
        <w:t>,</w:t>
      </w:r>
      <w:r w:rsidR="00A31FAF">
        <w:rPr>
          <w:rFonts w:ascii="Arial" w:hAnsi="Arial" w:cs="Arial"/>
        </w:rPr>
        <w:t xml:space="preserve"> del H. Poder Ejecutivo del Gobierno del Estado Libre y Soberano de Quintana Roo, que refleja únicamente la información de la Administración Pública Central, que incluye a la</w:t>
      </w:r>
      <w:r w:rsidRPr="00E024A3">
        <w:rPr>
          <w:rFonts w:ascii="Arial" w:hAnsi="Arial" w:cs="Arial"/>
        </w:rPr>
        <w:t xml:space="preserve"> </w:t>
      </w:r>
      <w:r w:rsidR="00875ED0">
        <w:rPr>
          <w:rFonts w:ascii="Arial" w:hAnsi="Arial" w:cs="Arial"/>
          <w:b/>
          <w:bCs/>
        </w:rPr>
        <w:t>Oficialía Mayor del Gobierno del Estado de Quintana Roo</w:t>
      </w:r>
      <w:r w:rsidR="00A31FAF">
        <w:rPr>
          <w:rFonts w:ascii="Arial" w:hAnsi="Arial" w:cs="Arial"/>
          <w:bCs/>
        </w:rPr>
        <w:t>, formulados, in</w:t>
      </w:r>
      <w:r w:rsidR="00913A16">
        <w:rPr>
          <w:rFonts w:ascii="Arial" w:hAnsi="Arial" w:cs="Arial"/>
          <w:bCs/>
        </w:rPr>
        <w:t xml:space="preserve">tegrados y presentados por la </w:t>
      </w:r>
      <w:proofErr w:type="spellStart"/>
      <w:r w:rsidR="00913A16">
        <w:rPr>
          <w:rFonts w:ascii="Arial" w:hAnsi="Arial" w:cs="Arial"/>
          <w:bCs/>
        </w:rPr>
        <w:t>Sefiplan</w:t>
      </w:r>
      <w:proofErr w:type="spellEnd"/>
      <w:r w:rsidR="00913A16">
        <w:rPr>
          <w:rFonts w:ascii="Arial" w:hAnsi="Arial" w:cs="Arial"/>
          <w:bCs/>
        </w:rPr>
        <w:t>.</w:t>
      </w:r>
    </w:p>
    <w:p w14:paraId="03578969" w14:textId="77777777" w:rsidR="00E024A3" w:rsidRPr="00587C35" w:rsidRDefault="00E024A3" w:rsidP="00587C35">
      <w:pPr>
        <w:spacing w:line="360" w:lineRule="auto"/>
        <w:ind w:right="49"/>
        <w:jc w:val="both"/>
        <w:rPr>
          <w:rFonts w:ascii="Arial" w:hAnsi="Arial" w:cs="Arial"/>
          <w:sz w:val="28"/>
        </w:rPr>
      </w:pPr>
    </w:p>
    <w:p w14:paraId="503F3286" w14:textId="77777777" w:rsidR="00E024A3" w:rsidRPr="00E024A3" w:rsidRDefault="00E024A3" w:rsidP="00587C35">
      <w:pPr>
        <w:tabs>
          <w:tab w:val="left" w:pos="9214"/>
          <w:tab w:val="left" w:pos="9356"/>
        </w:tabs>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587C35" w:rsidRDefault="00E024A3" w:rsidP="00587C35">
      <w:pPr>
        <w:spacing w:line="360" w:lineRule="auto"/>
        <w:ind w:right="49"/>
        <w:jc w:val="both"/>
        <w:rPr>
          <w:rFonts w:ascii="Arial" w:hAnsi="Arial" w:cs="Arial"/>
          <w:sz w:val="28"/>
        </w:rPr>
      </w:pPr>
    </w:p>
    <w:p w14:paraId="4F3BABC6" w14:textId="2DD0FDD0" w:rsidR="00E024A3" w:rsidRDefault="00E024A3" w:rsidP="00587C35">
      <w:pPr>
        <w:spacing w:line="360" w:lineRule="auto"/>
        <w:ind w:right="49"/>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w:t>
      </w:r>
      <w:r w:rsidR="00E22F68">
        <w:rPr>
          <w:rFonts w:ascii="Arial" w:hAnsi="Arial" w:cs="Arial"/>
        </w:rPr>
        <w:t xml:space="preserve"> de la Cuenta Pública relativa a</w:t>
      </w:r>
      <w:r w:rsidRPr="00E024A3">
        <w:rPr>
          <w:rFonts w:ascii="Arial" w:hAnsi="Arial" w:cs="Arial"/>
        </w:rPr>
        <w:t xml:space="preserve"> la entidad fiscalizada y de cuya </w:t>
      </w:r>
      <w:r w:rsidRPr="00E024A3">
        <w:rPr>
          <w:rFonts w:ascii="Arial" w:hAnsi="Arial" w:cs="Arial"/>
        </w:rPr>
        <w:lastRenderedPageBreak/>
        <w:t xml:space="preserve">veracidad es responsable, no presenta errores u omisiones importantes y que están preparados con base </w:t>
      </w:r>
      <w:r w:rsidR="00184643" w:rsidRPr="00D269D5">
        <w:rPr>
          <w:rFonts w:ascii="Arial" w:hAnsi="Arial" w:cs="Arial"/>
        </w:rPr>
        <w:t>en</w:t>
      </w:r>
      <w:r w:rsidRPr="00D269D5">
        <w:rPr>
          <w:rFonts w:ascii="Arial" w:hAnsi="Arial" w:cs="Arial"/>
        </w:rPr>
        <w:t xml:space="preserve"> l</w:t>
      </w:r>
      <w:r w:rsidRPr="00E024A3">
        <w:rPr>
          <w:rFonts w:ascii="Arial" w:hAnsi="Arial" w:cs="Arial"/>
        </w:rPr>
        <w:t xml:space="preserve">a normatividad de la materia y los Postulados Básicos de Contabilidad Gubernamental. </w:t>
      </w:r>
      <w:r w:rsidR="00DB1684">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de los estados contables y presupuestarios. </w:t>
      </w:r>
      <w:r w:rsidRPr="00E024A3">
        <w:rPr>
          <w:rFonts w:ascii="Arial" w:hAnsi="Arial" w:cs="Arial"/>
        </w:rPr>
        <w:t xml:space="preserve">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E024A3">
        <w:rPr>
          <w:rFonts w:ascii="Arial" w:hAnsi="Arial" w:cs="Arial"/>
        </w:rPr>
        <w:t>y</w:t>
      </w:r>
      <w:proofErr w:type="gramEnd"/>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7D35D9ED" w14:textId="77777777" w:rsidR="00ED52C7" w:rsidRPr="00587C35" w:rsidRDefault="00ED52C7" w:rsidP="00587C35">
      <w:pPr>
        <w:spacing w:line="360" w:lineRule="auto"/>
        <w:ind w:right="49"/>
        <w:jc w:val="both"/>
        <w:rPr>
          <w:rFonts w:ascii="Arial" w:hAnsi="Arial" w:cs="Arial"/>
          <w:sz w:val="28"/>
        </w:rPr>
      </w:pPr>
    </w:p>
    <w:p w14:paraId="1C4EE215" w14:textId="6B166829" w:rsidR="00E024A3" w:rsidRPr="00E024A3" w:rsidRDefault="00E024A3" w:rsidP="00587C35">
      <w:pPr>
        <w:spacing w:line="360" w:lineRule="auto"/>
        <w:ind w:right="49"/>
        <w:jc w:val="both"/>
        <w:rPr>
          <w:rFonts w:ascii="Arial" w:hAnsi="Arial" w:cs="Arial"/>
        </w:rPr>
      </w:pPr>
      <w:r w:rsidRPr="00ED7E08">
        <w:rPr>
          <w:rFonts w:ascii="Arial" w:hAnsi="Arial" w:cs="Arial"/>
        </w:rPr>
        <w:t xml:space="preserve">Con base en los resultados obtenidos en la auditoría practicada a la </w:t>
      </w:r>
      <w:r w:rsidR="00875ED0" w:rsidRPr="00ED7E08">
        <w:rPr>
          <w:rFonts w:ascii="Arial" w:hAnsi="Arial" w:cs="Arial"/>
          <w:b/>
          <w:bCs/>
        </w:rPr>
        <w:t>Oficialía Mayor del Gobierno del Estado de Quintana Roo</w:t>
      </w:r>
      <w:r w:rsidRPr="00ED7E08">
        <w:rPr>
          <w:rFonts w:ascii="Arial" w:hAnsi="Arial" w:cs="Arial"/>
        </w:rPr>
        <w:t>,</w:t>
      </w:r>
      <w:r w:rsidRPr="00ED7E08">
        <w:rPr>
          <w:rFonts w:ascii="Arial" w:hAnsi="Arial" w:cs="Arial"/>
          <w:b/>
        </w:rPr>
        <w:t xml:space="preserve"> </w:t>
      </w:r>
      <w:r w:rsidRPr="00ED7E08">
        <w:rPr>
          <w:rFonts w:ascii="Arial" w:hAnsi="Arial" w:cs="Arial"/>
        </w:rPr>
        <w:t>número</w:t>
      </w:r>
      <w:r w:rsidR="00875ED0" w:rsidRPr="00ED7E08">
        <w:rPr>
          <w:rFonts w:ascii="Arial" w:hAnsi="Arial" w:cs="Arial"/>
        </w:rPr>
        <w:t xml:space="preserve"> </w:t>
      </w:r>
      <w:r w:rsidR="00875ED0" w:rsidRPr="00ED7E08">
        <w:rPr>
          <w:rFonts w:ascii="Arial" w:hAnsi="Arial" w:cs="Arial"/>
          <w:b/>
        </w:rPr>
        <w:t>19-AEMF-B-GOB-005-009</w:t>
      </w:r>
      <w:r w:rsidR="00875ED0" w:rsidRPr="00ED7E08">
        <w:rPr>
          <w:rFonts w:ascii="Arial" w:hAnsi="Arial" w:cs="Arial"/>
        </w:rPr>
        <w:t xml:space="preserve">, denominada </w:t>
      </w:r>
      <w:r w:rsidRPr="00ED7E08">
        <w:rPr>
          <w:rFonts w:ascii="Arial" w:hAnsi="Arial" w:cs="Arial"/>
        </w:rPr>
        <w:t>“</w:t>
      </w:r>
      <w:r w:rsidR="00875ED0" w:rsidRPr="00ED7E08">
        <w:rPr>
          <w:rFonts w:ascii="Arial" w:hAnsi="Arial" w:cs="Arial"/>
        </w:rPr>
        <w:t>Auditoría de Cumplimiento Financiero de Egresos Ejercidos</w:t>
      </w:r>
      <w:r w:rsidR="00B91787">
        <w:rPr>
          <w:rFonts w:ascii="Arial" w:hAnsi="Arial" w:cs="Arial"/>
        </w:rPr>
        <w:t xml:space="preserve">”, cuyo objetivo fue </w:t>
      </w:r>
      <w:r w:rsidR="00F922FC">
        <w:rPr>
          <w:rFonts w:ascii="Arial" w:hAnsi="Arial" w:cs="Arial"/>
        </w:rPr>
        <w:t>f</w:t>
      </w:r>
      <w:r w:rsidR="00875ED0" w:rsidRPr="00B91787">
        <w:rPr>
          <w:rFonts w:ascii="Arial" w:hAnsi="Arial" w:cs="Arial"/>
        </w:rPr>
        <w:t xml:space="preserve">iscalizar la gestión financiera para comprobar el cumplimiento de lo dispuesto en el Presupuesto de Egresos, </w:t>
      </w:r>
      <w:r w:rsidR="00DB1684">
        <w:rPr>
          <w:rFonts w:ascii="Arial" w:hAnsi="Arial" w:cs="Arial"/>
        </w:rPr>
        <w:t xml:space="preserve">y demás disposiciones legales aplicables, </w:t>
      </w:r>
      <w:r w:rsidR="00875ED0" w:rsidRPr="00B91787">
        <w:rPr>
          <w:rFonts w:ascii="Arial" w:hAnsi="Arial" w:cs="Arial"/>
        </w:rPr>
        <w:t>en cuanto a los gastos públicos, incluyendo la revisión del manejo, la custodia y la aplicación de recursos públicos estatales, así como de información financiera, contable, patrimonial, presupuestaria y programática, conforme a las disposiciones aplicables</w:t>
      </w:r>
      <w:r w:rsidRPr="00ED7E08">
        <w:rPr>
          <w:rFonts w:ascii="Arial" w:hAnsi="Arial" w:cs="Arial"/>
        </w:rPr>
        <w:t xml:space="preserve"> para verificar que el presupuesto asignado a la </w:t>
      </w:r>
      <w:r w:rsidR="00875ED0" w:rsidRPr="00ED7E08">
        <w:rPr>
          <w:rFonts w:ascii="Arial" w:hAnsi="Arial" w:cs="Arial"/>
          <w:b/>
          <w:bCs/>
        </w:rPr>
        <w:t>Oficialía Mayor del Gobierno del Estado de Quintana Roo</w:t>
      </w:r>
      <w:r w:rsidRPr="00ED7E08">
        <w:rPr>
          <w:rFonts w:ascii="Arial" w:hAnsi="Arial" w:cs="Arial"/>
          <w:b/>
        </w:rPr>
        <w:t>,</w:t>
      </w:r>
      <w:r w:rsidRPr="00ED7E08">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875ED0" w:rsidRPr="00ED7E08">
        <w:rPr>
          <w:rFonts w:ascii="Arial" w:hAnsi="Arial" w:cs="Arial"/>
          <w:b/>
          <w:bCs/>
        </w:rPr>
        <w:t>Oficialía Mayor del Gobierno del Estado de Quintana Roo</w:t>
      </w:r>
      <w:r w:rsidRPr="00ED7E08">
        <w:rPr>
          <w:rFonts w:ascii="Arial" w:hAnsi="Arial" w:cs="Arial"/>
        </w:rPr>
        <w:t xml:space="preserve"> cumplió con las disposiciones legales y normativas que son aplicables en la materia</w:t>
      </w:r>
      <w:r w:rsidR="00B91787">
        <w:rPr>
          <w:rFonts w:ascii="Arial" w:hAnsi="Arial" w:cs="Arial"/>
        </w:rPr>
        <w:t>.</w:t>
      </w:r>
    </w:p>
    <w:p w14:paraId="5A9B2946" w14:textId="77777777" w:rsidR="00587C35" w:rsidRPr="00587C35" w:rsidRDefault="00587C35" w:rsidP="00587C35">
      <w:pPr>
        <w:tabs>
          <w:tab w:val="left" w:pos="9214"/>
        </w:tabs>
        <w:spacing w:line="360" w:lineRule="auto"/>
        <w:ind w:right="49"/>
        <w:jc w:val="both"/>
        <w:rPr>
          <w:rFonts w:ascii="Arial" w:hAnsi="Arial" w:cs="Arial"/>
          <w:sz w:val="28"/>
        </w:rPr>
      </w:pPr>
    </w:p>
    <w:p w14:paraId="67CA2C6F" w14:textId="3B598946" w:rsidR="00E024A3" w:rsidRPr="00B91787" w:rsidRDefault="00075F6B" w:rsidP="00587C35">
      <w:pPr>
        <w:tabs>
          <w:tab w:val="left" w:pos="9214"/>
        </w:tabs>
        <w:spacing w:line="360" w:lineRule="auto"/>
        <w:ind w:right="49"/>
        <w:jc w:val="both"/>
        <w:rPr>
          <w:rFonts w:ascii="Arial" w:hAnsi="Arial" w:cs="Arial"/>
        </w:rPr>
      </w:pPr>
      <w:r>
        <w:rPr>
          <w:rFonts w:ascii="Arial" w:hAnsi="Arial" w:cs="Arial"/>
        </w:rPr>
        <w:lastRenderedPageBreak/>
        <w:t>La acción emitida quedará formalmente promovida</w:t>
      </w:r>
      <w:r w:rsidR="00E024A3" w:rsidRPr="00B91787">
        <w:rPr>
          <w:rFonts w:ascii="Arial" w:hAnsi="Arial" w:cs="Arial"/>
        </w:rPr>
        <w:t xml:space="preserve"> a partir de la notificación del Informe Individual de Auditoría al ente </w:t>
      </w:r>
      <w:proofErr w:type="spellStart"/>
      <w:r w:rsidR="00E024A3" w:rsidRPr="00B91787">
        <w:rPr>
          <w:rFonts w:ascii="Arial" w:hAnsi="Arial" w:cs="Arial"/>
        </w:rPr>
        <w:t>fiscalizado</w:t>
      </w:r>
      <w:proofErr w:type="spellEnd"/>
      <w:r w:rsidR="00E024A3" w:rsidRPr="00B91787">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1006D778" w14:textId="5ED25FF0" w:rsidR="00E024A3" w:rsidRDefault="00E024A3" w:rsidP="00587C35">
      <w:pPr>
        <w:spacing w:line="360" w:lineRule="auto"/>
        <w:ind w:right="49"/>
        <w:jc w:val="both"/>
        <w:rPr>
          <w:rFonts w:ascii="Arial" w:hAnsi="Arial" w:cs="Arial"/>
        </w:rPr>
      </w:pPr>
    </w:p>
    <w:p w14:paraId="47B75BE5" w14:textId="77777777" w:rsidR="00587C35" w:rsidRDefault="00587C35" w:rsidP="00587C35">
      <w:pPr>
        <w:spacing w:line="360" w:lineRule="auto"/>
        <w:ind w:right="49"/>
        <w:jc w:val="both"/>
        <w:rPr>
          <w:rFonts w:ascii="Arial" w:hAnsi="Arial" w:cs="Arial"/>
        </w:rPr>
      </w:pPr>
    </w:p>
    <w:p w14:paraId="7184CAAB" w14:textId="77777777" w:rsidR="00E024A3" w:rsidRPr="00E024A3" w:rsidRDefault="00E024A3" w:rsidP="00587C35">
      <w:pPr>
        <w:spacing w:line="360" w:lineRule="auto"/>
        <w:ind w:right="49"/>
        <w:jc w:val="center"/>
        <w:rPr>
          <w:rFonts w:ascii="Arial" w:hAnsi="Arial" w:cs="Arial"/>
          <w:b/>
        </w:rPr>
      </w:pPr>
      <w:r w:rsidRPr="00E024A3">
        <w:rPr>
          <w:rFonts w:ascii="Arial" w:hAnsi="Arial" w:cs="Arial"/>
          <w:b/>
        </w:rPr>
        <w:t>EL AUDITOR SUPERIOR DEL ESTADO</w:t>
      </w:r>
    </w:p>
    <w:p w14:paraId="0E5FE52E" w14:textId="11EE94FA" w:rsidR="00E024A3" w:rsidRDefault="00E024A3" w:rsidP="00587C35">
      <w:pPr>
        <w:spacing w:line="360" w:lineRule="auto"/>
        <w:ind w:right="49"/>
        <w:jc w:val="center"/>
        <w:rPr>
          <w:rFonts w:ascii="Arial" w:hAnsi="Arial" w:cs="Arial"/>
          <w:b/>
        </w:rPr>
      </w:pPr>
    </w:p>
    <w:p w14:paraId="08D5E9E1" w14:textId="77777777" w:rsidR="00ED52C7" w:rsidRPr="00E024A3" w:rsidRDefault="00ED52C7" w:rsidP="00587C35">
      <w:pPr>
        <w:spacing w:line="360" w:lineRule="auto"/>
        <w:ind w:right="49"/>
        <w:jc w:val="center"/>
        <w:rPr>
          <w:rFonts w:ascii="Arial" w:hAnsi="Arial" w:cs="Arial"/>
          <w:b/>
        </w:rPr>
      </w:pPr>
    </w:p>
    <w:p w14:paraId="4AE17F51" w14:textId="77777777" w:rsidR="00E024A3" w:rsidRPr="00E024A3" w:rsidRDefault="00E024A3" w:rsidP="00587C35">
      <w:pPr>
        <w:spacing w:line="360" w:lineRule="auto"/>
        <w:ind w:right="49"/>
        <w:jc w:val="center"/>
        <w:rPr>
          <w:rFonts w:ascii="Arial" w:hAnsi="Arial" w:cs="Arial"/>
          <w:b/>
        </w:rPr>
      </w:pPr>
      <w:bookmarkStart w:id="11" w:name="_GoBack"/>
      <w:bookmarkEnd w:id="11"/>
    </w:p>
    <w:p w14:paraId="2CF0A91F" w14:textId="1879B4C1" w:rsidR="00CD66A3" w:rsidRDefault="00B459B5" w:rsidP="00587C35">
      <w:pPr>
        <w:spacing w:line="360" w:lineRule="auto"/>
        <w:ind w:right="49"/>
        <w:jc w:val="center"/>
        <w:rPr>
          <w:rFonts w:ascii="Arial" w:hAnsi="Arial" w:cs="Arial"/>
          <w:b/>
        </w:rPr>
      </w:pPr>
      <w:r w:rsidRPr="00B459B5">
        <w:rPr>
          <w:rFonts w:ascii="Arial" w:hAnsi="Arial" w:cs="Arial"/>
          <w:b/>
        </w:rPr>
        <w:t>L.C.C. MANUEL PALACIOS HERRERA</w:t>
      </w:r>
    </w:p>
    <w:sectPr w:rsidR="00CD66A3" w:rsidSect="002E0590">
      <w:headerReference w:type="even" r:id="rId8"/>
      <w:headerReference w:type="default" r:id="rId9"/>
      <w:footerReference w:type="even" r:id="rId10"/>
      <w:footerReference w:type="default" r:id="rId11"/>
      <w:headerReference w:type="first" r:id="rId12"/>
      <w:footerReference w:type="first" r:id="rId13"/>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D963C" w14:textId="77777777" w:rsidR="00814782" w:rsidRDefault="00814782">
      <w:r>
        <w:separator/>
      </w:r>
    </w:p>
  </w:endnote>
  <w:endnote w:type="continuationSeparator" w:id="0">
    <w:p w14:paraId="3248F04C" w14:textId="77777777" w:rsidR="00814782" w:rsidRDefault="00814782">
      <w:r>
        <w:continuationSeparator/>
      </w:r>
    </w:p>
  </w:endnote>
  <w:endnote w:type="continuationNotice" w:id="1">
    <w:p w14:paraId="6D4F8A66" w14:textId="77777777" w:rsidR="00814782" w:rsidRDefault="00814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2836" w14:textId="77777777" w:rsidR="00A922A1" w:rsidRDefault="00A922A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FC2F26" w:rsidRPr="00D875E2" w14:paraId="0163069B" w14:textId="77777777" w:rsidTr="00D85C61">
      <w:tc>
        <w:tcPr>
          <w:tcW w:w="10395" w:type="dxa"/>
          <w:shd w:val="clear" w:color="auto" w:fill="auto"/>
        </w:tcPr>
        <w:p w14:paraId="750CA6AC" w14:textId="77777777" w:rsidR="00FC2F26" w:rsidRPr="00D875E2" w:rsidRDefault="00FC2F26" w:rsidP="00FD32C2">
          <w:pPr>
            <w:rPr>
              <w:rStyle w:val="nfasis"/>
              <w:i w:val="0"/>
              <w:iCs w:val="0"/>
            </w:rPr>
          </w:pPr>
        </w:p>
      </w:tc>
    </w:tr>
  </w:tbl>
  <w:p w14:paraId="4F010DFF" w14:textId="7419A2C4" w:rsidR="00FC2F26" w:rsidRPr="00B516B6" w:rsidRDefault="00FC2F2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50A88">
      <w:rPr>
        <w:rFonts w:ascii="Arial" w:hAnsi="Arial" w:cs="Arial"/>
        <w:b/>
        <w:bCs/>
        <w:noProof/>
        <w:sz w:val="18"/>
        <w:szCs w:val="18"/>
      </w:rPr>
      <w:t>15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50A88">
      <w:rPr>
        <w:rFonts w:ascii="Arial" w:hAnsi="Arial" w:cs="Arial"/>
        <w:b/>
        <w:bCs/>
        <w:noProof/>
        <w:sz w:val="18"/>
        <w:szCs w:val="18"/>
      </w:rPr>
      <w:t>15</w:t>
    </w:r>
    <w:r w:rsidRPr="00B516B6">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B5581" w14:textId="77777777" w:rsidR="00A922A1" w:rsidRDefault="00A922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54E0A" w14:textId="77777777" w:rsidR="00814782" w:rsidRDefault="00814782">
      <w:r>
        <w:separator/>
      </w:r>
    </w:p>
  </w:footnote>
  <w:footnote w:type="continuationSeparator" w:id="0">
    <w:p w14:paraId="62A891F4" w14:textId="77777777" w:rsidR="00814782" w:rsidRDefault="00814782">
      <w:r>
        <w:continuationSeparator/>
      </w:r>
    </w:p>
  </w:footnote>
  <w:footnote w:type="continuationNotice" w:id="1">
    <w:p w14:paraId="6A103D09" w14:textId="77777777" w:rsidR="00814782" w:rsidRDefault="008147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E1C1" w14:textId="77777777" w:rsidR="00A922A1" w:rsidRDefault="00A922A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0" w:type="dxa"/>
      <w:jc w:val="center"/>
      <w:tblCellMar>
        <w:left w:w="70" w:type="dxa"/>
        <w:right w:w="70" w:type="dxa"/>
      </w:tblCellMar>
      <w:tblLook w:val="04A0" w:firstRow="1" w:lastRow="0" w:firstColumn="1" w:lastColumn="0" w:noHBand="0" w:noVBand="1"/>
    </w:tblPr>
    <w:tblGrid>
      <w:gridCol w:w="2087"/>
      <w:gridCol w:w="5542"/>
      <w:gridCol w:w="2061"/>
    </w:tblGrid>
    <w:tr w:rsidR="00C62BCC" w:rsidRPr="006F757C" w14:paraId="3C19A154" w14:textId="77777777" w:rsidTr="006F64CA">
      <w:trPr>
        <w:trHeight w:val="203"/>
        <w:jc w:val="center"/>
      </w:trPr>
      <w:tc>
        <w:tcPr>
          <w:tcW w:w="2087" w:type="dxa"/>
          <w:vAlign w:val="center"/>
        </w:tcPr>
        <w:p w14:paraId="5CC88BEE" w14:textId="77777777" w:rsidR="00C62BCC" w:rsidRPr="00CF3DF4" w:rsidRDefault="00C62BCC" w:rsidP="003C2FE7">
          <w:pPr>
            <w:tabs>
              <w:tab w:val="center" w:pos="4419"/>
              <w:tab w:val="right" w:pos="8838"/>
            </w:tabs>
            <w:jc w:val="center"/>
            <w:rPr>
              <w:rFonts w:ascii="Arial" w:hAnsi="Arial" w:cs="Arial"/>
              <w:noProof/>
              <w:sz w:val="18"/>
              <w:szCs w:val="18"/>
              <w:lang w:eastAsia="es-MX"/>
            </w:rPr>
          </w:pPr>
        </w:p>
      </w:tc>
      <w:tc>
        <w:tcPr>
          <w:tcW w:w="5542" w:type="dxa"/>
          <w:vAlign w:val="center"/>
        </w:tcPr>
        <w:p w14:paraId="14AD1A9B" w14:textId="77777777" w:rsidR="00C62BCC" w:rsidRPr="00CF3DF4" w:rsidRDefault="00C62BCC" w:rsidP="003C2FE7">
          <w:pPr>
            <w:tabs>
              <w:tab w:val="center" w:pos="4419"/>
              <w:tab w:val="right" w:pos="8838"/>
            </w:tabs>
            <w:jc w:val="center"/>
            <w:rPr>
              <w:rFonts w:ascii="Arial" w:hAnsi="Arial" w:cs="Arial"/>
              <w:sz w:val="18"/>
              <w:szCs w:val="18"/>
            </w:rPr>
          </w:pPr>
        </w:p>
      </w:tc>
      <w:tc>
        <w:tcPr>
          <w:tcW w:w="2061" w:type="dxa"/>
          <w:vAlign w:val="center"/>
        </w:tcPr>
        <w:p w14:paraId="4FE26A6C" w14:textId="61A75262" w:rsidR="00C62BCC" w:rsidRPr="00207E4F" w:rsidRDefault="00C62BCC" w:rsidP="00207E4F">
          <w:pPr>
            <w:tabs>
              <w:tab w:val="center" w:pos="4419"/>
              <w:tab w:val="right" w:pos="8838"/>
            </w:tabs>
            <w:jc w:val="right"/>
            <w:rPr>
              <w:rFonts w:ascii="Arial" w:hAnsi="Arial" w:cs="Arial"/>
              <w:noProof/>
              <w:sz w:val="16"/>
              <w:szCs w:val="16"/>
              <w:highlight w:val="magenta"/>
              <w:lang w:eastAsia="es-MX"/>
            </w:rPr>
          </w:pPr>
        </w:p>
      </w:tc>
    </w:tr>
    <w:tr w:rsidR="00C62BCC" w:rsidRPr="003316E8" w14:paraId="1BB428AE" w14:textId="77777777" w:rsidTr="006F64CA">
      <w:trPr>
        <w:trHeight w:val="1987"/>
        <w:jc w:val="center"/>
      </w:trPr>
      <w:tc>
        <w:tcPr>
          <w:tcW w:w="2087" w:type="dxa"/>
          <w:vAlign w:val="center"/>
          <w:hideMark/>
        </w:tcPr>
        <w:p w14:paraId="3E4EE32A" w14:textId="77777777" w:rsidR="00C62BCC" w:rsidRPr="003316E8" w:rsidRDefault="00C62BCC" w:rsidP="003C2FE7">
          <w:pPr>
            <w:tabs>
              <w:tab w:val="center" w:pos="4419"/>
              <w:tab w:val="right" w:pos="8838"/>
            </w:tabs>
            <w:jc w:val="center"/>
          </w:pPr>
          <w:r>
            <w:rPr>
              <w:noProof/>
              <w:lang w:eastAsia="es-MX"/>
            </w:rPr>
            <w:drawing>
              <wp:inline distT="0" distB="0" distL="0" distR="0" wp14:anchorId="49206A40" wp14:editId="7B98E526">
                <wp:extent cx="885825" cy="123124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42" w:type="dxa"/>
          <w:vAlign w:val="center"/>
          <w:hideMark/>
        </w:tcPr>
        <w:p w14:paraId="736D9F51" w14:textId="77777777" w:rsidR="00C62BCC" w:rsidRDefault="00C62BCC"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4F85D731" w14:textId="77777777" w:rsidR="00C62BCC" w:rsidRPr="003316E8" w:rsidRDefault="00C62BCC"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61" w:type="dxa"/>
          <w:vAlign w:val="center"/>
          <w:hideMark/>
        </w:tcPr>
        <w:p w14:paraId="5C9D5AE0" w14:textId="77777777" w:rsidR="00C62BCC" w:rsidRPr="003316E8" w:rsidRDefault="00C62BC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39BE315" wp14:editId="7E637544">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62BCC" w:rsidRPr="003316E8" w14:paraId="16A2010F" w14:textId="77777777" w:rsidTr="006F64CA">
      <w:trPr>
        <w:trHeight w:val="118"/>
        <w:jc w:val="center"/>
      </w:trPr>
      <w:tc>
        <w:tcPr>
          <w:tcW w:w="2087" w:type="dxa"/>
          <w:tcBorders>
            <w:top w:val="nil"/>
            <w:left w:val="nil"/>
            <w:bottom w:val="thinThickSmallGap" w:sz="24" w:space="0" w:color="auto"/>
            <w:right w:val="nil"/>
          </w:tcBorders>
        </w:tcPr>
        <w:p w14:paraId="698964DD" w14:textId="77777777" w:rsidR="00C62BCC" w:rsidRPr="003316E8" w:rsidRDefault="00C62BCC" w:rsidP="003C2FE7">
          <w:pPr>
            <w:tabs>
              <w:tab w:val="center" w:pos="4419"/>
              <w:tab w:val="right" w:pos="8838"/>
            </w:tabs>
            <w:rPr>
              <w:sz w:val="10"/>
            </w:rPr>
          </w:pPr>
        </w:p>
      </w:tc>
      <w:tc>
        <w:tcPr>
          <w:tcW w:w="5542" w:type="dxa"/>
          <w:tcBorders>
            <w:top w:val="nil"/>
            <w:left w:val="nil"/>
            <w:bottom w:val="thinThickSmallGap" w:sz="24" w:space="0" w:color="auto"/>
            <w:right w:val="nil"/>
          </w:tcBorders>
        </w:tcPr>
        <w:p w14:paraId="56EF6154" w14:textId="77777777" w:rsidR="00C62BCC" w:rsidRPr="003316E8" w:rsidRDefault="00C62BCC" w:rsidP="003C2FE7">
          <w:pPr>
            <w:tabs>
              <w:tab w:val="center" w:pos="4419"/>
              <w:tab w:val="right" w:pos="8838"/>
            </w:tabs>
            <w:rPr>
              <w:sz w:val="10"/>
            </w:rPr>
          </w:pPr>
        </w:p>
      </w:tc>
      <w:tc>
        <w:tcPr>
          <w:tcW w:w="2061" w:type="dxa"/>
          <w:tcBorders>
            <w:top w:val="nil"/>
            <w:left w:val="nil"/>
            <w:bottom w:val="thinThickSmallGap" w:sz="24" w:space="0" w:color="auto"/>
            <w:right w:val="nil"/>
          </w:tcBorders>
        </w:tcPr>
        <w:p w14:paraId="3875B4B3" w14:textId="77777777" w:rsidR="00C62BCC" w:rsidRPr="003316E8" w:rsidRDefault="00C62BCC" w:rsidP="003C2FE7">
          <w:pPr>
            <w:tabs>
              <w:tab w:val="center" w:pos="4419"/>
              <w:tab w:val="right" w:pos="8838"/>
            </w:tabs>
            <w:rPr>
              <w:sz w:val="10"/>
            </w:rPr>
          </w:pPr>
        </w:p>
      </w:tc>
    </w:tr>
  </w:tbl>
  <w:p w14:paraId="600F619B" w14:textId="77777777" w:rsidR="00C62BCC" w:rsidRPr="003C2FE7" w:rsidRDefault="00C62BCC">
    <w:pPr>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97B7" w14:textId="77777777" w:rsidR="00A922A1" w:rsidRDefault="00A922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070E30"/>
    <w:multiLevelType w:val="hybridMultilevel"/>
    <w:tmpl w:val="F8E631A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36B31E8"/>
    <w:multiLevelType w:val="hybridMultilevel"/>
    <w:tmpl w:val="CA940FE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176EF2"/>
    <w:multiLevelType w:val="hybridMultilevel"/>
    <w:tmpl w:val="14A2FD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370FCD"/>
    <w:multiLevelType w:val="hybridMultilevel"/>
    <w:tmpl w:val="C53E6D2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6C95252"/>
    <w:multiLevelType w:val="hybridMultilevel"/>
    <w:tmpl w:val="95C40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B53CF4"/>
    <w:multiLevelType w:val="hybridMultilevel"/>
    <w:tmpl w:val="168A2F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3841AD"/>
    <w:multiLevelType w:val="hybridMultilevel"/>
    <w:tmpl w:val="A00C685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1777AF5"/>
    <w:multiLevelType w:val="hybridMultilevel"/>
    <w:tmpl w:val="5024F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E53C6A"/>
    <w:multiLevelType w:val="hybridMultilevel"/>
    <w:tmpl w:val="83002EF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451A2"/>
    <w:multiLevelType w:val="hybridMultilevel"/>
    <w:tmpl w:val="C464B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CF46D60"/>
    <w:multiLevelType w:val="hybridMultilevel"/>
    <w:tmpl w:val="A088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176D31"/>
    <w:multiLevelType w:val="hybridMultilevel"/>
    <w:tmpl w:val="6DFE15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4"/>
  </w:num>
  <w:num w:numId="5">
    <w:abstractNumId w:val="25"/>
  </w:num>
  <w:num w:numId="6">
    <w:abstractNumId w:val="11"/>
  </w:num>
  <w:num w:numId="7">
    <w:abstractNumId w:val="24"/>
  </w:num>
  <w:num w:numId="8">
    <w:abstractNumId w:val="13"/>
  </w:num>
  <w:num w:numId="9">
    <w:abstractNumId w:val="27"/>
  </w:num>
  <w:num w:numId="10">
    <w:abstractNumId w:val="4"/>
  </w:num>
  <w:num w:numId="11">
    <w:abstractNumId w:val="28"/>
  </w:num>
  <w:num w:numId="12">
    <w:abstractNumId w:val="1"/>
  </w:num>
  <w:num w:numId="13">
    <w:abstractNumId w:val="5"/>
  </w:num>
  <w:num w:numId="14">
    <w:abstractNumId w:val="12"/>
  </w:num>
  <w:num w:numId="15">
    <w:abstractNumId w:val="16"/>
  </w:num>
  <w:num w:numId="16">
    <w:abstractNumId w:val="15"/>
  </w:num>
  <w:num w:numId="17">
    <w:abstractNumId w:val="18"/>
  </w:num>
  <w:num w:numId="18">
    <w:abstractNumId w:val="17"/>
  </w:num>
  <w:num w:numId="19">
    <w:abstractNumId w:val="10"/>
  </w:num>
  <w:num w:numId="20">
    <w:abstractNumId w:val="22"/>
  </w:num>
  <w:num w:numId="21">
    <w:abstractNumId w:val="8"/>
  </w:num>
  <w:num w:numId="22">
    <w:abstractNumId w:val="2"/>
  </w:num>
  <w:num w:numId="23">
    <w:abstractNumId w:val="26"/>
  </w:num>
  <w:num w:numId="24">
    <w:abstractNumId w:val="29"/>
  </w:num>
  <w:num w:numId="25">
    <w:abstractNumId w:val="23"/>
  </w:num>
  <w:num w:numId="26">
    <w:abstractNumId w:val="20"/>
  </w:num>
  <w:num w:numId="27">
    <w:abstractNumId w:val="3"/>
  </w:num>
  <w:num w:numId="28">
    <w:abstractNumId w:val="19"/>
  </w:num>
  <w:num w:numId="29">
    <w:abstractNumId w:val="30"/>
  </w:num>
  <w:num w:numId="30">
    <w:abstractNumId w:val="9"/>
  </w:num>
  <w:num w:numId="3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1A7"/>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1F79"/>
    <w:rsid w:val="00012525"/>
    <w:rsid w:val="00012581"/>
    <w:rsid w:val="0001279C"/>
    <w:rsid w:val="000128B6"/>
    <w:rsid w:val="00012E98"/>
    <w:rsid w:val="000132B4"/>
    <w:rsid w:val="00013BFE"/>
    <w:rsid w:val="00013F4B"/>
    <w:rsid w:val="000140E6"/>
    <w:rsid w:val="000140F1"/>
    <w:rsid w:val="00014368"/>
    <w:rsid w:val="00014398"/>
    <w:rsid w:val="000143A1"/>
    <w:rsid w:val="000148C8"/>
    <w:rsid w:val="00014A28"/>
    <w:rsid w:val="00014E52"/>
    <w:rsid w:val="00014ED2"/>
    <w:rsid w:val="0001571C"/>
    <w:rsid w:val="000167E4"/>
    <w:rsid w:val="00016922"/>
    <w:rsid w:val="00016B06"/>
    <w:rsid w:val="00016B70"/>
    <w:rsid w:val="00016E14"/>
    <w:rsid w:val="00017F67"/>
    <w:rsid w:val="00017FCA"/>
    <w:rsid w:val="00020BA8"/>
    <w:rsid w:val="00020F17"/>
    <w:rsid w:val="00021DC5"/>
    <w:rsid w:val="00022147"/>
    <w:rsid w:val="000222B0"/>
    <w:rsid w:val="0002231D"/>
    <w:rsid w:val="000223B2"/>
    <w:rsid w:val="0002252E"/>
    <w:rsid w:val="0002266E"/>
    <w:rsid w:val="0002273C"/>
    <w:rsid w:val="00023C60"/>
    <w:rsid w:val="00023CE5"/>
    <w:rsid w:val="00024808"/>
    <w:rsid w:val="00024A7E"/>
    <w:rsid w:val="00024AE6"/>
    <w:rsid w:val="00024C6D"/>
    <w:rsid w:val="00025095"/>
    <w:rsid w:val="000260E2"/>
    <w:rsid w:val="0002628B"/>
    <w:rsid w:val="000264DA"/>
    <w:rsid w:val="00026640"/>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CA5"/>
    <w:rsid w:val="00051D82"/>
    <w:rsid w:val="0005284C"/>
    <w:rsid w:val="0005371C"/>
    <w:rsid w:val="00054360"/>
    <w:rsid w:val="00055654"/>
    <w:rsid w:val="00055762"/>
    <w:rsid w:val="0005586C"/>
    <w:rsid w:val="00055A2C"/>
    <w:rsid w:val="00055AD0"/>
    <w:rsid w:val="0005619C"/>
    <w:rsid w:val="000567E2"/>
    <w:rsid w:val="00056995"/>
    <w:rsid w:val="00057151"/>
    <w:rsid w:val="00057542"/>
    <w:rsid w:val="000579FE"/>
    <w:rsid w:val="00060AE7"/>
    <w:rsid w:val="00060E1E"/>
    <w:rsid w:val="0006195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2E7F"/>
    <w:rsid w:val="00073637"/>
    <w:rsid w:val="00073C40"/>
    <w:rsid w:val="000747BF"/>
    <w:rsid w:val="0007495C"/>
    <w:rsid w:val="00075601"/>
    <w:rsid w:val="00075F6B"/>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2D0"/>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AE7"/>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9E9"/>
    <w:rsid w:val="000C7D35"/>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69EE"/>
    <w:rsid w:val="000D73C4"/>
    <w:rsid w:val="000E063B"/>
    <w:rsid w:val="000E191A"/>
    <w:rsid w:val="000E2B05"/>
    <w:rsid w:val="000E3086"/>
    <w:rsid w:val="000E3976"/>
    <w:rsid w:val="000E3AD7"/>
    <w:rsid w:val="000E3F1B"/>
    <w:rsid w:val="000E4C4E"/>
    <w:rsid w:val="000E4E46"/>
    <w:rsid w:val="000E536B"/>
    <w:rsid w:val="000E68CC"/>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970"/>
    <w:rsid w:val="00116D21"/>
    <w:rsid w:val="00117FAD"/>
    <w:rsid w:val="001207F3"/>
    <w:rsid w:val="0012096C"/>
    <w:rsid w:val="00120E3D"/>
    <w:rsid w:val="00120E9B"/>
    <w:rsid w:val="0012139F"/>
    <w:rsid w:val="00121B79"/>
    <w:rsid w:val="00121D98"/>
    <w:rsid w:val="001226D2"/>
    <w:rsid w:val="0012290C"/>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60E"/>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3EC6"/>
    <w:rsid w:val="001641BD"/>
    <w:rsid w:val="0016479A"/>
    <w:rsid w:val="0016498F"/>
    <w:rsid w:val="00165610"/>
    <w:rsid w:val="00165AC1"/>
    <w:rsid w:val="001660F3"/>
    <w:rsid w:val="00166734"/>
    <w:rsid w:val="00166BA9"/>
    <w:rsid w:val="00167EB9"/>
    <w:rsid w:val="00170002"/>
    <w:rsid w:val="0017051E"/>
    <w:rsid w:val="0017066C"/>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77D"/>
    <w:rsid w:val="00180BC3"/>
    <w:rsid w:val="00180BE3"/>
    <w:rsid w:val="001815EF"/>
    <w:rsid w:val="0018188A"/>
    <w:rsid w:val="00181F3F"/>
    <w:rsid w:val="00182043"/>
    <w:rsid w:val="0018206D"/>
    <w:rsid w:val="00182121"/>
    <w:rsid w:val="0018235A"/>
    <w:rsid w:val="00182F12"/>
    <w:rsid w:val="00183532"/>
    <w:rsid w:val="00183903"/>
    <w:rsid w:val="00184643"/>
    <w:rsid w:val="001849CA"/>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2C9"/>
    <w:rsid w:val="00193709"/>
    <w:rsid w:val="00193C02"/>
    <w:rsid w:val="00194327"/>
    <w:rsid w:val="001943CA"/>
    <w:rsid w:val="00194B53"/>
    <w:rsid w:val="00194EAC"/>
    <w:rsid w:val="0019551E"/>
    <w:rsid w:val="0019558F"/>
    <w:rsid w:val="00195BA6"/>
    <w:rsid w:val="00195F97"/>
    <w:rsid w:val="0019607A"/>
    <w:rsid w:val="001964BB"/>
    <w:rsid w:val="00196503"/>
    <w:rsid w:val="001971A8"/>
    <w:rsid w:val="001978FD"/>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5E4"/>
    <w:rsid w:val="001A59C2"/>
    <w:rsid w:val="001A6401"/>
    <w:rsid w:val="001A674C"/>
    <w:rsid w:val="001A678B"/>
    <w:rsid w:val="001A67A2"/>
    <w:rsid w:val="001A6A4A"/>
    <w:rsid w:val="001A70D8"/>
    <w:rsid w:val="001A7B95"/>
    <w:rsid w:val="001A7BD7"/>
    <w:rsid w:val="001A7C08"/>
    <w:rsid w:val="001B01D6"/>
    <w:rsid w:val="001B0549"/>
    <w:rsid w:val="001B17ED"/>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CC8"/>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0CD1"/>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42D"/>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5BA0"/>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5A4"/>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582"/>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EA1"/>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2A1"/>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B00"/>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AE1"/>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0F"/>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590"/>
    <w:rsid w:val="002E0977"/>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2E9"/>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4E3"/>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44C"/>
    <w:rsid w:val="003103D7"/>
    <w:rsid w:val="00310537"/>
    <w:rsid w:val="0031062A"/>
    <w:rsid w:val="00310E18"/>
    <w:rsid w:val="00311191"/>
    <w:rsid w:val="00311477"/>
    <w:rsid w:val="00311F6E"/>
    <w:rsid w:val="003123A5"/>
    <w:rsid w:val="0031291B"/>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5F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10E"/>
    <w:rsid w:val="003454C2"/>
    <w:rsid w:val="00345572"/>
    <w:rsid w:val="00345A06"/>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37C"/>
    <w:rsid w:val="0036676E"/>
    <w:rsid w:val="00366C80"/>
    <w:rsid w:val="003671A5"/>
    <w:rsid w:val="00367E1D"/>
    <w:rsid w:val="00367F2C"/>
    <w:rsid w:val="00370041"/>
    <w:rsid w:val="00370063"/>
    <w:rsid w:val="003709D8"/>
    <w:rsid w:val="00370FFB"/>
    <w:rsid w:val="00372594"/>
    <w:rsid w:val="00372AAB"/>
    <w:rsid w:val="00373456"/>
    <w:rsid w:val="003735BE"/>
    <w:rsid w:val="00373AD8"/>
    <w:rsid w:val="00373ADF"/>
    <w:rsid w:val="00373FC0"/>
    <w:rsid w:val="0037446E"/>
    <w:rsid w:val="00374AB5"/>
    <w:rsid w:val="00375E7E"/>
    <w:rsid w:val="00376488"/>
    <w:rsid w:val="003767E1"/>
    <w:rsid w:val="003768B4"/>
    <w:rsid w:val="00377523"/>
    <w:rsid w:val="0037786A"/>
    <w:rsid w:val="00377A0D"/>
    <w:rsid w:val="00377D85"/>
    <w:rsid w:val="00381636"/>
    <w:rsid w:val="003816B6"/>
    <w:rsid w:val="0038183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38D"/>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05D"/>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582"/>
    <w:rsid w:val="004068C4"/>
    <w:rsid w:val="00406B90"/>
    <w:rsid w:val="00406FF6"/>
    <w:rsid w:val="00407ABB"/>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0A7D"/>
    <w:rsid w:val="004211CC"/>
    <w:rsid w:val="004216DC"/>
    <w:rsid w:val="00422116"/>
    <w:rsid w:val="0042253D"/>
    <w:rsid w:val="00423028"/>
    <w:rsid w:val="004233DD"/>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183"/>
    <w:rsid w:val="00432621"/>
    <w:rsid w:val="004329EB"/>
    <w:rsid w:val="00432AA4"/>
    <w:rsid w:val="00432E7F"/>
    <w:rsid w:val="00433754"/>
    <w:rsid w:val="004339E3"/>
    <w:rsid w:val="00434A8F"/>
    <w:rsid w:val="004350DC"/>
    <w:rsid w:val="004357D8"/>
    <w:rsid w:val="00435A59"/>
    <w:rsid w:val="00435AC6"/>
    <w:rsid w:val="00435DDA"/>
    <w:rsid w:val="00436074"/>
    <w:rsid w:val="00436BD5"/>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B62"/>
    <w:rsid w:val="00451E58"/>
    <w:rsid w:val="00452078"/>
    <w:rsid w:val="004528D4"/>
    <w:rsid w:val="00452D7A"/>
    <w:rsid w:val="004531FC"/>
    <w:rsid w:val="00453A38"/>
    <w:rsid w:val="00453CEA"/>
    <w:rsid w:val="0045455F"/>
    <w:rsid w:val="004545BC"/>
    <w:rsid w:val="00454830"/>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1F5F"/>
    <w:rsid w:val="00462880"/>
    <w:rsid w:val="00462AEC"/>
    <w:rsid w:val="00462D52"/>
    <w:rsid w:val="00463144"/>
    <w:rsid w:val="00463490"/>
    <w:rsid w:val="00463500"/>
    <w:rsid w:val="00465032"/>
    <w:rsid w:val="00465301"/>
    <w:rsid w:val="004659D2"/>
    <w:rsid w:val="00465B6F"/>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6C0"/>
    <w:rsid w:val="00474DE6"/>
    <w:rsid w:val="0047509C"/>
    <w:rsid w:val="00475187"/>
    <w:rsid w:val="0047575D"/>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27F"/>
    <w:rsid w:val="00493406"/>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967"/>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B18"/>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5E5D"/>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6EB"/>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A9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101"/>
    <w:rsid w:val="004F5D78"/>
    <w:rsid w:val="004F60A1"/>
    <w:rsid w:val="004F6B21"/>
    <w:rsid w:val="004F7AEF"/>
    <w:rsid w:val="00500074"/>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4E25"/>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068A"/>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9A"/>
    <w:rsid w:val="00564EB0"/>
    <w:rsid w:val="00565329"/>
    <w:rsid w:val="0056556D"/>
    <w:rsid w:val="0056594E"/>
    <w:rsid w:val="00565F79"/>
    <w:rsid w:val="0056605D"/>
    <w:rsid w:val="005665B2"/>
    <w:rsid w:val="00566CF6"/>
    <w:rsid w:val="00566F18"/>
    <w:rsid w:val="005670E4"/>
    <w:rsid w:val="00567458"/>
    <w:rsid w:val="005675B7"/>
    <w:rsid w:val="00567820"/>
    <w:rsid w:val="0056791A"/>
    <w:rsid w:val="005701AD"/>
    <w:rsid w:val="0057141E"/>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AD2"/>
    <w:rsid w:val="00585B9F"/>
    <w:rsid w:val="00585FE1"/>
    <w:rsid w:val="0058609C"/>
    <w:rsid w:val="00586348"/>
    <w:rsid w:val="00586712"/>
    <w:rsid w:val="00586987"/>
    <w:rsid w:val="00586A31"/>
    <w:rsid w:val="00587585"/>
    <w:rsid w:val="00587AA7"/>
    <w:rsid w:val="00587C35"/>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2909"/>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1C84"/>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B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306"/>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347"/>
    <w:rsid w:val="00660937"/>
    <w:rsid w:val="006615EF"/>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08"/>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912"/>
    <w:rsid w:val="006B1B99"/>
    <w:rsid w:val="006B1C59"/>
    <w:rsid w:val="006B1DDA"/>
    <w:rsid w:val="006B2A58"/>
    <w:rsid w:val="006B31F7"/>
    <w:rsid w:val="006B45BF"/>
    <w:rsid w:val="006B4651"/>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00F"/>
    <w:rsid w:val="006F1274"/>
    <w:rsid w:val="006F17F2"/>
    <w:rsid w:val="006F18E1"/>
    <w:rsid w:val="006F1BA2"/>
    <w:rsid w:val="006F2438"/>
    <w:rsid w:val="006F2571"/>
    <w:rsid w:val="006F2921"/>
    <w:rsid w:val="006F2A93"/>
    <w:rsid w:val="006F2E84"/>
    <w:rsid w:val="006F4B8D"/>
    <w:rsid w:val="006F64CA"/>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896"/>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15"/>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6E2C"/>
    <w:rsid w:val="0077730A"/>
    <w:rsid w:val="007774AA"/>
    <w:rsid w:val="007806B5"/>
    <w:rsid w:val="00781FDE"/>
    <w:rsid w:val="0078216F"/>
    <w:rsid w:val="00782194"/>
    <w:rsid w:val="007827FE"/>
    <w:rsid w:val="0078359B"/>
    <w:rsid w:val="007851DC"/>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C3F"/>
    <w:rsid w:val="007B6EE2"/>
    <w:rsid w:val="007B7419"/>
    <w:rsid w:val="007B7451"/>
    <w:rsid w:val="007B764C"/>
    <w:rsid w:val="007B797E"/>
    <w:rsid w:val="007B7F33"/>
    <w:rsid w:val="007C0432"/>
    <w:rsid w:val="007C0521"/>
    <w:rsid w:val="007C0D1D"/>
    <w:rsid w:val="007C0F05"/>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6E24"/>
    <w:rsid w:val="007D71CB"/>
    <w:rsid w:val="007D75B1"/>
    <w:rsid w:val="007D780A"/>
    <w:rsid w:val="007D7882"/>
    <w:rsid w:val="007D7B3D"/>
    <w:rsid w:val="007E0044"/>
    <w:rsid w:val="007E08DE"/>
    <w:rsid w:val="007E0B60"/>
    <w:rsid w:val="007E0C3B"/>
    <w:rsid w:val="007E15E0"/>
    <w:rsid w:val="007E1669"/>
    <w:rsid w:val="007E1900"/>
    <w:rsid w:val="007E214B"/>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EFE"/>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CA0"/>
    <w:rsid w:val="00814782"/>
    <w:rsid w:val="00814ADB"/>
    <w:rsid w:val="00814C51"/>
    <w:rsid w:val="00815232"/>
    <w:rsid w:val="00815746"/>
    <w:rsid w:val="00815C48"/>
    <w:rsid w:val="00815C74"/>
    <w:rsid w:val="00815EE1"/>
    <w:rsid w:val="00816266"/>
    <w:rsid w:val="008165A3"/>
    <w:rsid w:val="00816851"/>
    <w:rsid w:val="00817221"/>
    <w:rsid w:val="00817237"/>
    <w:rsid w:val="00817841"/>
    <w:rsid w:val="00817EEC"/>
    <w:rsid w:val="008203A8"/>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4CF"/>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8B7"/>
    <w:rsid w:val="00847CCF"/>
    <w:rsid w:val="00847D64"/>
    <w:rsid w:val="008509AE"/>
    <w:rsid w:val="0085104E"/>
    <w:rsid w:val="008513EE"/>
    <w:rsid w:val="0085190B"/>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2D1"/>
    <w:rsid w:val="00870CD4"/>
    <w:rsid w:val="008711D3"/>
    <w:rsid w:val="008714E7"/>
    <w:rsid w:val="00871A8E"/>
    <w:rsid w:val="00871C10"/>
    <w:rsid w:val="00871DA7"/>
    <w:rsid w:val="00871E45"/>
    <w:rsid w:val="00872348"/>
    <w:rsid w:val="00872A36"/>
    <w:rsid w:val="00872E8F"/>
    <w:rsid w:val="00873F00"/>
    <w:rsid w:val="00873F27"/>
    <w:rsid w:val="008740B7"/>
    <w:rsid w:val="00874308"/>
    <w:rsid w:val="0087515D"/>
    <w:rsid w:val="0087551E"/>
    <w:rsid w:val="0087568E"/>
    <w:rsid w:val="00875BA2"/>
    <w:rsid w:val="00875ED0"/>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578"/>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30B"/>
    <w:rsid w:val="008947E1"/>
    <w:rsid w:val="00894EBD"/>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AC6"/>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33A"/>
    <w:rsid w:val="008C4B28"/>
    <w:rsid w:val="008C4CC3"/>
    <w:rsid w:val="008C4F37"/>
    <w:rsid w:val="008C51DB"/>
    <w:rsid w:val="008C537B"/>
    <w:rsid w:val="008C5C98"/>
    <w:rsid w:val="008C6AF0"/>
    <w:rsid w:val="008C6C5D"/>
    <w:rsid w:val="008C74BC"/>
    <w:rsid w:val="008C7630"/>
    <w:rsid w:val="008C789F"/>
    <w:rsid w:val="008C7A27"/>
    <w:rsid w:val="008C7ABF"/>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3E20"/>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A16"/>
    <w:rsid w:val="00913BCD"/>
    <w:rsid w:val="009149EA"/>
    <w:rsid w:val="00914D5C"/>
    <w:rsid w:val="009159B6"/>
    <w:rsid w:val="00915B3B"/>
    <w:rsid w:val="00915DB9"/>
    <w:rsid w:val="009160D8"/>
    <w:rsid w:val="00916176"/>
    <w:rsid w:val="0091648C"/>
    <w:rsid w:val="00916572"/>
    <w:rsid w:val="00916EB5"/>
    <w:rsid w:val="0091744A"/>
    <w:rsid w:val="009176C9"/>
    <w:rsid w:val="00917AEA"/>
    <w:rsid w:val="0092028E"/>
    <w:rsid w:val="009203ED"/>
    <w:rsid w:val="00920993"/>
    <w:rsid w:val="00920B09"/>
    <w:rsid w:val="009213EC"/>
    <w:rsid w:val="0092190C"/>
    <w:rsid w:val="00922172"/>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323"/>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43B"/>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B5F"/>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526"/>
    <w:rsid w:val="009A491E"/>
    <w:rsid w:val="009A4E4E"/>
    <w:rsid w:val="009A511E"/>
    <w:rsid w:val="009A527B"/>
    <w:rsid w:val="009A6EF0"/>
    <w:rsid w:val="009A77DD"/>
    <w:rsid w:val="009B00FA"/>
    <w:rsid w:val="009B02E2"/>
    <w:rsid w:val="009B0333"/>
    <w:rsid w:val="009B0463"/>
    <w:rsid w:val="009B1181"/>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1DCE"/>
    <w:rsid w:val="009F25D5"/>
    <w:rsid w:val="009F27A1"/>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3D9"/>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19"/>
    <w:rsid w:val="00A15564"/>
    <w:rsid w:val="00A158B6"/>
    <w:rsid w:val="00A15B0C"/>
    <w:rsid w:val="00A15C32"/>
    <w:rsid w:val="00A15E2F"/>
    <w:rsid w:val="00A160CA"/>
    <w:rsid w:val="00A16678"/>
    <w:rsid w:val="00A168E2"/>
    <w:rsid w:val="00A21831"/>
    <w:rsid w:val="00A22CC2"/>
    <w:rsid w:val="00A22F95"/>
    <w:rsid w:val="00A23226"/>
    <w:rsid w:val="00A23F6B"/>
    <w:rsid w:val="00A2413D"/>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FAF"/>
    <w:rsid w:val="00A3281F"/>
    <w:rsid w:val="00A329C9"/>
    <w:rsid w:val="00A32ADF"/>
    <w:rsid w:val="00A32DE9"/>
    <w:rsid w:val="00A32FAC"/>
    <w:rsid w:val="00A333EC"/>
    <w:rsid w:val="00A341CD"/>
    <w:rsid w:val="00A34B62"/>
    <w:rsid w:val="00A34E8E"/>
    <w:rsid w:val="00A356B6"/>
    <w:rsid w:val="00A356FA"/>
    <w:rsid w:val="00A35B86"/>
    <w:rsid w:val="00A36004"/>
    <w:rsid w:val="00A37084"/>
    <w:rsid w:val="00A37392"/>
    <w:rsid w:val="00A4090A"/>
    <w:rsid w:val="00A409D1"/>
    <w:rsid w:val="00A40CA8"/>
    <w:rsid w:val="00A40F4D"/>
    <w:rsid w:val="00A42B82"/>
    <w:rsid w:val="00A432D5"/>
    <w:rsid w:val="00A43F7C"/>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04CE"/>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075"/>
    <w:rsid w:val="00A602B5"/>
    <w:rsid w:val="00A6172B"/>
    <w:rsid w:val="00A61758"/>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2A1"/>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603"/>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A3F"/>
    <w:rsid w:val="00AC1B29"/>
    <w:rsid w:val="00AC1F4F"/>
    <w:rsid w:val="00AC2837"/>
    <w:rsid w:val="00AC3295"/>
    <w:rsid w:val="00AC32EC"/>
    <w:rsid w:val="00AC3546"/>
    <w:rsid w:val="00AC3639"/>
    <w:rsid w:val="00AC3B24"/>
    <w:rsid w:val="00AC3CE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B0032C"/>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1D"/>
    <w:rsid w:val="00B40890"/>
    <w:rsid w:val="00B40E5C"/>
    <w:rsid w:val="00B414A1"/>
    <w:rsid w:val="00B427AD"/>
    <w:rsid w:val="00B43171"/>
    <w:rsid w:val="00B43BF7"/>
    <w:rsid w:val="00B4438B"/>
    <w:rsid w:val="00B44C91"/>
    <w:rsid w:val="00B455C1"/>
    <w:rsid w:val="00B458F1"/>
    <w:rsid w:val="00B459B5"/>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00E"/>
    <w:rsid w:val="00B62836"/>
    <w:rsid w:val="00B6345D"/>
    <w:rsid w:val="00B63CD4"/>
    <w:rsid w:val="00B6445C"/>
    <w:rsid w:val="00B64571"/>
    <w:rsid w:val="00B64B72"/>
    <w:rsid w:val="00B65475"/>
    <w:rsid w:val="00B659A6"/>
    <w:rsid w:val="00B65F3E"/>
    <w:rsid w:val="00B66125"/>
    <w:rsid w:val="00B66450"/>
    <w:rsid w:val="00B6646D"/>
    <w:rsid w:val="00B667DA"/>
    <w:rsid w:val="00B67370"/>
    <w:rsid w:val="00B70510"/>
    <w:rsid w:val="00B705C9"/>
    <w:rsid w:val="00B70830"/>
    <w:rsid w:val="00B71067"/>
    <w:rsid w:val="00B718C0"/>
    <w:rsid w:val="00B72030"/>
    <w:rsid w:val="00B7228B"/>
    <w:rsid w:val="00B72578"/>
    <w:rsid w:val="00B72626"/>
    <w:rsid w:val="00B73B6A"/>
    <w:rsid w:val="00B73E2E"/>
    <w:rsid w:val="00B74969"/>
    <w:rsid w:val="00B74E47"/>
    <w:rsid w:val="00B7511F"/>
    <w:rsid w:val="00B752F7"/>
    <w:rsid w:val="00B75A32"/>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1787"/>
    <w:rsid w:val="00B92116"/>
    <w:rsid w:val="00B92D52"/>
    <w:rsid w:val="00B934AB"/>
    <w:rsid w:val="00B936BC"/>
    <w:rsid w:val="00B93C02"/>
    <w:rsid w:val="00B93E82"/>
    <w:rsid w:val="00B93F1F"/>
    <w:rsid w:val="00B95E85"/>
    <w:rsid w:val="00B966C9"/>
    <w:rsid w:val="00B97478"/>
    <w:rsid w:val="00B97CCB"/>
    <w:rsid w:val="00B97FD0"/>
    <w:rsid w:val="00BA00B1"/>
    <w:rsid w:val="00BA02EB"/>
    <w:rsid w:val="00BA10B3"/>
    <w:rsid w:val="00BA1D77"/>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770"/>
    <w:rsid w:val="00BC3B54"/>
    <w:rsid w:val="00BC3F49"/>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809"/>
    <w:rsid w:val="00BF6C86"/>
    <w:rsid w:val="00BF6F6E"/>
    <w:rsid w:val="00BF7144"/>
    <w:rsid w:val="00C0122F"/>
    <w:rsid w:val="00C012FD"/>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617"/>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980"/>
    <w:rsid w:val="00C54B77"/>
    <w:rsid w:val="00C54F91"/>
    <w:rsid w:val="00C55410"/>
    <w:rsid w:val="00C555B4"/>
    <w:rsid w:val="00C55B5C"/>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BCC"/>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939"/>
    <w:rsid w:val="00C85BAC"/>
    <w:rsid w:val="00C85D37"/>
    <w:rsid w:val="00C85E88"/>
    <w:rsid w:val="00C8684D"/>
    <w:rsid w:val="00C87250"/>
    <w:rsid w:val="00C87EED"/>
    <w:rsid w:val="00C87FBE"/>
    <w:rsid w:val="00C901E1"/>
    <w:rsid w:val="00C9052D"/>
    <w:rsid w:val="00C906F5"/>
    <w:rsid w:val="00C908E4"/>
    <w:rsid w:val="00C90BDE"/>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AAD"/>
    <w:rsid w:val="00CA4B3E"/>
    <w:rsid w:val="00CA4B8E"/>
    <w:rsid w:val="00CA4E7F"/>
    <w:rsid w:val="00CA5232"/>
    <w:rsid w:val="00CA5DDC"/>
    <w:rsid w:val="00CA633B"/>
    <w:rsid w:val="00CA6737"/>
    <w:rsid w:val="00CA6A49"/>
    <w:rsid w:val="00CA713D"/>
    <w:rsid w:val="00CA72B8"/>
    <w:rsid w:val="00CA7E5D"/>
    <w:rsid w:val="00CA7E97"/>
    <w:rsid w:val="00CA7FA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83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4C6"/>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6EB1"/>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231"/>
    <w:rsid w:val="00D1152D"/>
    <w:rsid w:val="00D11650"/>
    <w:rsid w:val="00D11C66"/>
    <w:rsid w:val="00D12254"/>
    <w:rsid w:val="00D12B20"/>
    <w:rsid w:val="00D12DAA"/>
    <w:rsid w:val="00D12DD2"/>
    <w:rsid w:val="00D12EEA"/>
    <w:rsid w:val="00D130DF"/>
    <w:rsid w:val="00D1344F"/>
    <w:rsid w:val="00D1420B"/>
    <w:rsid w:val="00D1451B"/>
    <w:rsid w:val="00D146EE"/>
    <w:rsid w:val="00D14E13"/>
    <w:rsid w:val="00D15219"/>
    <w:rsid w:val="00D16173"/>
    <w:rsid w:val="00D16495"/>
    <w:rsid w:val="00D167A1"/>
    <w:rsid w:val="00D16918"/>
    <w:rsid w:val="00D16A9C"/>
    <w:rsid w:val="00D173E3"/>
    <w:rsid w:val="00D17534"/>
    <w:rsid w:val="00D17A88"/>
    <w:rsid w:val="00D17DCB"/>
    <w:rsid w:val="00D20817"/>
    <w:rsid w:val="00D2082E"/>
    <w:rsid w:val="00D20928"/>
    <w:rsid w:val="00D20CAD"/>
    <w:rsid w:val="00D20DD3"/>
    <w:rsid w:val="00D21095"/>
    <w:rsid w:val="00D21347"/>
    <w:rsid w:val="00D2182D"/>
    <w:rsid w:val="00D21AD0"/>
    <w:rsid w:val="00D21B68"/>
    <w:rsid w:val="00D220F7"/>
    <w:rsid w:val="00D22933"/>
    <w:rsid w:val="00D22A73"/>
    <w:rsid w:val="00D249BB"/>
    <w:rsid w:val="00D24EE9"/>
    <w:rsid w:val="00D24EFD"/>
    <w:rsid w:val="00D26180"/>
    <w:rsid w:val="00D26508"/>
    <w:rsid w:val="00D265C9"/>
    <w:rsid w:val="00D269D5"/>
    <w:rsid w:val="00D26EFC"/>
    <w:rsid w:val="00D3084A"/>
    <w:rsid w:val="00D308A3"/>
    <w:rsid w:val="00D30F6B"/>
    <w:rsid w:val="00D31730"/>
    <w:rsid w:val="00D32F17"/>
    <w:rsid w:val="00D33184"/>
    <w:rsid w:val="00D3328F"/>
    <w:rsid w:val="00D337C9"/>
    <w:rsid w:val="00D33AC2"/>
    <w:rsid w:val="00D3427E"/>
    <w:rsid w:val="00D34659"/>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2DD1"/>
    <w:rsid w:val="00D4316D"/>
    <w:rsid w:val="00D4375C"/>
    <w:rsid w:val="00D44384"/>
    <w:rsid w:val="00D449CD"/>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420"/>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4D49"/>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1C9"/>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11F"/>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684"/>
    <w:rsid w:val="00DB1895"/>
    <w:rsid w:val="00DB1B93"/>
    <w:rsid w:val="00DB2271"/>
    <w:rsid w:val="00DB2A1A"/>
    <w:rsid w:val="00DB328C"/>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7F0"/>
    <w:rsid w:val="00DC484D"/>
    <w:rsid w:val="00DC4BC8"/>
    <w:rsid w:val="00DC554D"/>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2B8D"/>
    <w:rsid w:val="00DE3129"/>
    <w:rsid w:val="00DE3402"/>
    <w:rsid w:val="00DE3560"/>
    <w:rsid w:val="00DE376B"/>
    <w:rsid w:val="00DE3B39"/>
    <w:rsid w:val="00DE44FA"/>
    <w:rsid w:val="00DE453C"/>
    <w:rsid w:val="00DE55D0"/>
    <w:rsid w:val="00DE5723"/>
    <w:rsid w:val="00DE5E80"/>
    <w:rsid w:val="00DE7275"/>
    <w:rsid w:val="00DE7D48"/>
    <w:rsid w:val="00DF0680"/>
    <w:rsid w:val="00DF1561"/>
    <w:rsid w:val="00DF1F5A"/>
    <w:rsid w:val="00DF257F"/>
    <w:rsid w:val="00DF28A2"/>
    <w:rsid w:val="00DF3C21"/>
    <w:rsid w:val="00DF427E"/>
    <w:rsid w:val="00DF44BA"/>
    <w:rsid w:val="00DF4E77"/>
    <w:rsid w:val="00DF4F72"/>
    <w:rsid w:val="00DF5384"/>
    <w:rsid w:val="00DF5741"/>
    <w:rsid w:val="00DF6A61"/>
    <w:rsid w:val="00DF7724"/>
    <w:rsid w:val="00E00156"/>
    <w:rsid w:val="00E00CEF"/>
    <w:rsid w:val="00E010E3"/>
    <w:rsid w:val="00E01D11"/>
    <w:rsid w:val="00E024A3"/>
    <w:rsid w:val="00E0280C"/>
    <w:rsid w:val="00E02928"/>
    <w:rsid w:val="00E02B40"/>
    <w:rsid w:val="00E02B4B"/>
    <w:rsid w:val="00E0329A"/>
    <w:rsid w:val="00E0346E"/>
    <w:rsid w:val="00E039AF"/>
    <w:rsid w:val="00E03C9B"/>
    <w:rsid w:val="00E03D87"/>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A1D"/>
    <w:rsid w:val="00E21CEA"/>
    <w:rsid w:val="00E22054"/>
    <w:rsid w:val="00E224A8"/>
    <w:rsid w:val="00E22A7E"/>
    <w:rsid w:val="00E22F68"/>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4FB0"/>
    <w:rsid w:val="00E54FBC"/>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6AE1"/>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2CEE"/>
    <w:rsid w:val="00E930F5"/>
    <w:rsid w:val="00E93D1D"/>
    <w:rsid w:val="00E94491"/>
    <w:rsid w:val="00E945A1"/>
    <w:rsid w:val="00E94E9C"/>
    <w:rsid w:val="00E95869"/>
    <w:rsid w:val="00E95DC3"/>
    <w:rsid w:val="00E95EA9"/>
    <w:rsid w:val="00E96661"/>
    <w:rsid w:val="00E96E83"/>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52C7"/>
    <w:rsid w:val="00ED67DD"/>
    <w:rsid w:val="00ED6C55"/>
    <w:rsid w:val="00ED6D23"/>
    <w:rsid w:val="00ED735A"/>
    <w:rsid w:val="00ED75AB"/>
    <w:rsid w:val="00ED7A29"/>
    <w:rsid w:val="00ED7A9F"/>
    <w:rsid w:val="00ED7D9B"/>
    <w:rsid w:val="00ED7E08"/>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0DAD"/>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3C3"/>
    <w:rsid w:val="00F2354B"/>
    <w:rsid w:val="00F235C5"/>
    <w:rsid w:val="00F247BA"/>
    <w:rsid w:val="00F24B71"/>
    <w:rsid w:val="00F24CE4"/>
    <w:rsid w:val="00F24F51"/>
    <w:rsid w:val="00F258F3"/>
    <w:rsid w:val="00F2593D"/>
    <w:rsid w:val="00F25E15"/>
    <w:rsid w:val="00F260DD"/>
    <w:rsid w:val="00F26419"/>
    <w:rsid w:val="00F264A5"/>
    <w:rsid w:val="00F265D7"/>
    <w:rsid w:val="00F26E48"/>
    <w:rsid w:val="00F27055"/>
    <w:rsid w:val="00F2726A"/>
    <w:rsid w:val="00F27894"/>
    <w:rsid w:val="00F301A2"/>
    <w:rsid w:val="00F30278"/>
    <w:rsid w:val="00F31120"/>
    <w:rsid w:val="00F3162E"/>
    <w:rsid w:val="00F31BD1"/>
    <w:rsid w:val="00F31CFE"/>
    <w:rsid w:val="00F326F4"/>
    <w:rsid w:val="00F3280F"/>
    <w:rsid w:val="00F32A33"/>
    <w:rsid w:val="00F32E33"/>
    <w:rsid w:val="00F32E81"/>
    <w:rsid w:val="00F33108"/>
    <w:rsid w:val="00F341B4"/>
    <w:rsid w:val="00F344AB"/>
    <w:rsid w:val="00F3482A"/>
    <w:rsid w:val="00F34E09"/>
    <w:rsid w:val="00F34FE1"/>
    <w:rsid w:val="00F3505C"/>
    <w:rsid w:val="00F35203"/>
    <w:rsid w:val="00F3535F"/>
    <w:rsid w:val="00F35E72"/>
    <w:rsid w:val="00F36964"/>
    <w:rsid w:val="00F37004"/>
    <w:rsid w:val="00F37086"/>
    <w:rsid w:val="00F37B57"/>
    <w:rsid w:val="00F408AB"/>
    <w:rsid w:val="00F409CC"/>
    <w:rsid w:val="00F40A44"/>
    <w:rsid w:val="00F40C02"/>
    <w:rsid w:val="00F40CDF"/>
    <w:rsid w:val="00F41B9A"/>
    <w:rsid w:val="00F41D63"/>
    <w:rsid w:val="00F4226E"/>
    <w:rsid w:val="00F422E1"/>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A88"/>
    <w:rsid w:val="00F50F09"/>
    <w:rsid w:val="00F522B3"/>
    <w:rsid w:val="00F52F12"/>
    <w:rsid w:val="00F5308D"/>
    <w:rsid w:val="00F53515"/>
    <w:rsid w:val="00F5355A"/>
    <w:rsid w:val="00F53A48"/>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68B"/>
    <w:rsid w:val="00F60AD9"/>
    <w:rsid w:val="00F60C47"/>
    <w:rsid w:val="00F61162"/>
    <w:rsid w:val="00F61D19"/>
    <w:rsid w:val="00F6281B"/>
    <w:rsid w:val="00F62DDE"/>
    <w:rsid w:val="00F630A7"/>
    <w:rsid w:val="00F63175"/>
    <w:rsid w:val="00F63F7F"/>
    <w:rsid w:val="00F64487"/>
    <w:rsid w:val="00F644C7"/>
    <w:rsid w:val="00F6453F"/>
    <w:rsid w:val="00F64C2E"/>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840"/>
    <w:rsid w:val="00F87946"/>
    <w:rsid w:val="00F9112B"/>
    <w:rsid w:val="00F91FF8"/>
    <w:rsid w:val="00F9200B"/>
    <w:rsid w:val="00F92039"/>
    <w:rsid w:val="00F922FC"/>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0EA"/>
    <w:rsid w:val="00FA21BA"/>
    <w:rsid w:val="00FA2684"/>
    <w:rsid w:val="00FA332E"/>
    <w:rsid w:val="00FA41ED"/>
    <w:rsid w:val="00FA45C1"/>
    <w:rsid w:val="00FA48D3"/>
    <w:rsid w:val="00FA4D20"/>
    <w:rsid w:val="00FA55F6"/>
    <w:rsid w:val="00FA5B9C"/>
    <w:rsid w:val="00FA5F4F"/>
    <w:rsid w:val="00FA60A3"/>
    <w:rsid w:val="00FA63CF"/>
    <w:rsid w:val="00FA65AB"/>
    <w:rsid w:val="00FA695C"/>
    <w:rsid w:val="00FA69A6"/>
    <w:rsid w:val="00FA78FD"/>
    <w:rsid w:val="00FB0A99"/>
    <w:rsid w:val="00FB0F17"/>
    <w:rsid w:val="00FB1329"/>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2F26"/>
    <w:rsid w:val="00FC3609"/>
    <w:rsid w:val="00FC3F31"/>
    <w:rsid w:val="00FC44A4"/>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2C6"/>
    <w:rsid w:val="00FF2CC8"/>
    <w:rsid w:val="00FF32F6"/>
    <w:rsid w:val="00FF3513"/>
    <w:rsid w:val="00FF3624"/>
    <w:rsid w:val="00FF3723"/>
    <w:rsid w:val="00FF420B"/>
    <w:rsid w:val="00FF43F6"/>
    <w:rsid w:val="00FF44A6"/>
    <w:rsid w:val="00FF4682"/>
    <w:rsid w:val="00FF5365"/>
    <w:rsid w:val="00FF577D"/>
    <w:rsid w:val="00FF5D9D"/>
    <w:rsid w:val="00FF66C1"/>
    <w:rsid w:val="00FF6B32"/>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574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56AF-90D6-41D8-B1AE-D318F9B8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3404</Words>
  <Characters>18727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Ivan J. Valdez Frias</cp:lastModifiedBy>
  <cp:revision>48</cp:revision>
  <cp:lastPrinted>2021-02-01T16:43:00Z</cp:lastPrinted>
  <dcterms:created xsi:type="dcterms:W3CDTF">2021-02-08T21:19:00Z</dcterms:created>
  <dcterms:modified xsi:type="dcterms:W3CDTF">2021-03-02T21:14:00Z</dcterms:modified>
</cp:coreProperties>
</file>