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1484" w14:textId="77777777" w:rsidR="00C232E9" w:rsidRPr="00F769C6" w:rsidRDefault="00C232E9" w:rsidP="00C923E5">
      <w:pPr>
        <w:spacing w:after="100" w:line="240" w:lineRule="auto"/>
        <w:rPr>
          <w:rFonts w:eastAsia="Times New Roman" w:cs="Arial"/>
          <w:b/>
          <w:sz w:val="22"/>
          <w:lang w:eastAsia="es-MX"/>
        </w:rPr>
      </w:pPr>
    </w:p>
    <w:p w14:paraId="1516523E" w14:textId="2862A68B" w:rsidR="00C232E9" w:rsidRPr="002740EA" w:rsidRDefault="00C232E9" w:rsidP="00C923E5">
      <w:pPr>
        <w:spacing w:after="100" w:line="240" w:lineRule="auto"/>
        <w:rPr>
          <w:rFonts w:eastAsia="Times New Roman" w:cs="Arial"/>
          <w:b/>
          <w:sz w:val="22"/>
          <w:lang w:eastAsia="es-MX"/>
        </w:rPr>
      </w:pPr>
      <w:r w:rsidRPr="00F769C6">
        <w:rPr>
          <w:rFonts w:eastAsia="Times New Roman" w:cs="Arial"/>
          <w:b/>
          <w:sz w:val="22"/>
          <w:lang w:eastAsia="es-MX"/>
        </w:rPr>
        <w:t xml:space="preserve">                                                              </w:t>
      </w:r>
      <w:r w:rsidRPr="00536110">
        <w:rPr>
          <w:rFonts w:eastAsia="Times New Roman" w:cs="Arial"/>
          <w:b/>
          <w:lang w:eastAsia="es-MX"/>
        </w:rPr>
        <w:t xml:space="preserve">Í </w:t>
      </w:r>
      <w:r w:rsidR="00536110">
        <w:rPr>
          <w:rFonts w:eastAsia="Times New Roman" w:cs="Arial"/>
          <w:b/>
          <w:lang w:eastAsia="es-MX"/>
        </w:rPr>
        <w:t xml:space="preserve">  N   D   I   C   E      </w:t>
      </w:r>
      <w:r w:rsidRPr="00536110">
        <w:rPr>
          <w:rFonts w:eastAsia="Times New Roman" w:cs="Arial"/>
          <w:b/>
          <w:lang w:eastAsia="es-MX"/>
        </w:rPr>
        <w:t xml:space="preserve">                               PÁGIN</w:t>
      </w:r>
      <w:r w:rsidRPr="002740EA">
        <w:rPr>
          <w:rFonts w:eastAsia="Times New Roman" w:cs="Arial"/>
          <w:b/>
          <w:sz w:val="22"/>
          <w:lang w:eastAsia="es-MX"/>
        </w:rPr>
        <w:t>A</w:t>
      </w:r>
    </w:p>
    <w:p w14:paraId="763CC54C" w14:textId="77777777" w:rsidR="005D5BBD" w:rsidRPr="002740EA" w:rsidRDefault="005D5BBD" w:rsidP="00C923E5">
      <w:pPr>
        <w:pStyle w:val="TDC1"/>
      </w:pPr>
    </w:p>
    <w:p w14:paraId="1A6E46DF" w14:textId="00294F14" w:rsidR="00B63CC3" w:rsidRPr="00536110" w:rsidRDefault="00E20758" w:rsidP="00C923E5">
      <w:pPr>
        <w:pStyle w:val="TDC1"/>
        <w:rPr>
          <w:rStyle w:val="Hipervnculo"/>
          <w:noProof/>
          <w:sz w:val="24"/>
          <w:szCs w:val="24"/>
        </w:rPr>
      </w:pPr>
      <w:r w:rsidRPr="002740EA">
        <w:fldChar w:fldCharType="begin"/>
      </w:r>
      <w:r w:rsidRPr="002740EA">
        <w:instrText xml:space="preserve"> TOC \o "1-3" \h \z \u </w:instrText>
      </w:r>
      <w:r w:rsidRPr="002740EA">
        <w:fldChar w:fldCharType="separate"/>
      </w:r>
      <w:hyperlink w:anchor="_Toc75348439" w:history="1">
        <w:r w:rsidR="00B63CC3" w:rsidRPr="00536110">
          <w:rPr>
            <w:rStyle w:val="Hipervnculo"/>
            <w:noProof/>
            <w:sz w:val="24"/>
            <w:szCs w:val="24"/>
          </w:rPr>
          <w:t>INTRODUCCIÓN</w:t>
        </w:r>
        <w:r w:rsidR="00B63CC3" w:rsidRPr="00536110">
          <w:rPr>
            <w:noProof/>
            <w:webHidden/>
            <w:sz w:val="24"/>
            <w:szCs w:val="24"/>
          </w:rPr>
          <w:tab/>
        </w:r>
        <w:r w:rsidR="00B63CC3" w:rsidRPr="00536110">
          <w:rPr>
            <w:noProof/>
            <w:webHidden/>
            <w:sz w:val="24"/>
            <w:szCs w:val="24"/>
          </w:rPr>
          <w:fldChar w:fldCharType="begin"/>
        </w:r>
        <w:r w:rsidR="00B63CC3" w:rsidRPr="00536110">
          <w:rPr>
            <w:noProof/>
            <w:webHidden/>
            <w:sz w:val="24"/>
            <w:szCs w:val="24"/>
          </w:rPr>
          <w:instrText xml:space="preserve"> PAGEREF _Toc75348439 \h </w:instrText>
        </w:r>
        <w:r w:rsidR="00B63CC3" w:rsidRPr="00536110">
          <w:rPr>
            <w:noProof/>
            <w:webHidden/>
            <w:sz w:val="24"/>
            <w:szCs w:val="24"/>
          </w:rPr>
        </w:r>
        <w:r w:rsidR="00B63CC3" w:rsidRPr="00536110">
          <w:rPr>
            <w:noProof/>
            <w:webHidden/>
            <w:sz w:val="24"/>
            <w:szCs w:val="24"/>
          </w:rPr>
          <w:fldChar w:fldCharType="separate"/>
        </w:r>
        <w:r w:rsidR="005F0081">
          <w:rPr>
            <w:noProof/>
            <w:webHidden/>
            <w:sz w:val="24"/>
            <w:szCs w:val="24"/>
          </w:rPr>
          <w:t>2</w:t>
        </w:r>
        <w:r w:rsidR="00B63CC3" w:rsidRPr="00536110">
          <w:rPr>
            <w:noProof/>
            <w:webHidden/>
            <w:sz w:val="24"/>
            <w:szCs w:val="24"/>
          </w:rPr>
          <w:fldChar w:fldCharType="end"/>
        </w:r>
      </w:hyperlink>
    </w:p>
    <w:p w14:paraId="2101D02D" w14:textId="77777777" w:rsidR="00DD20E1" w:rsidRPr="00536110" w:rsidRDefault="00DD20E1" w:rsidP="00C923E5">
      <w:pPr>
        <w:pStyle w:val="TDC2"/>
        <w:rPr>
          <w:rStyle w:val="Hipervnculo"/>
          <w:noProof/>
        </w:rPr>
      </w:pPr>
    </w:p>
    <w:p w14:paraId="13A198C7" w14:textId="04F48319" w:rsidR="00B63CC3" w:rsidRPr="00536110" w:rsidRDefault="00DC170A" w:rsidP="00C923E5">
      <w:pPr>
        <w:pStyle w:val="TDC2"/>
        <w:rPr>
          <w:rStyle w:val="Hipervnculo"/>
          <w:noProof/>
        </w:rPr>
      </w:pPr>
      <w:hyperlink w:anchor="_Toc75348440" w:history="1">
        <w:r w:rsidR="00B63CC3" w:rsidRPr="00536110">
          <w:rPr>
            <w:rStyle w:val="Hipervnculo"/>
            <w:noProof/>
          </w:rPr>
          <w:t>I.</w:t>
        </w:r>
        <w:r w:rsidR="00B63CC3" w:rsidRPr="00536110">
          <w:rPr>
            <w:rFonts w:asciiTheme="minorHAnsi" w:eastAsiaTheme="minorEastAsia" w:hAnsiTheme="minorHAnsi" w:cstheme="minorBidi"/>
            <w:noProof/>
            <w:lang w:eastAsia="es-MX"/>
          </w:rPr>
          <w:tab/>
        </w:r>
        <w:r w:rsidR="00B63CC3" w:rsidRPr="00536110">
          <w:rPr>
            <w:rStyle w:val="Hipervnculo"/>
            <w:noProof/>
          </w:rPr>
          <w:t>AUDITORÍA AL DESEMPEÑO DE LAS MATRICES DE INDICADORES PARA RESULTADOS 20-AEMD-A-GOB-048-098.</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_Toc75348440 \h </w:instrText>
        </w:r>
        <w:r w:rsidR="00B63CC3" w:rsidRPr="00536110">
          <w:rPr>
            <w:noProof/>
            <w:webHidden/>
          </w:rPr>
        </w:r>
        <w:r w:rsidR="00B63CC3" w:rsidRPr="00536110">
          <w:rPr>
            <w:noProof/>
            <w:webHidden/>
          </w:rPr>
          <w:fldChar w:fldCharType="separate"/>
        </w:r>
        <w:r w:rsidR="005F0081">
          <w:rPr>
            <w:noProof/>
            <w:webHidden/>
          </w:rPr>
          <w:t>4</w:t>
        </w:r>
        <w:r w:rsidR="00B63CC3" w:rsidRPr="00536110">
          <w:rPr>
            <w:noProof/>
            <w:webHidden/>
          </w:rPr>
          <w:fldChar w:fldCharType="end"/>
        </w:r>
      </w:hyperlink>
    </w:p>
    <w:p w14:paraId="0DACA63F" w14:textId="77777777" w:rsidR="00DD20E1" w:rsidRPr="00536110" w:rsidRDefault="00DD20E1" w:rsidP="00C923E5">
      <w:pPr>
        <w:spacing w:line="240" w:lineRule="auto"/>
        <w:rPr>
          <w:noProof/>
          <w:szCs w:val="24"/>
        </w:rPr>
      </w:pPr>
    </w:p>
    <w:p w14:paraId="396ED3E0" w14:textId="08ECEB47" w:rsidR="00B63CC3" w:rsidRPr="00536110" w:rsidRDefault="00DC170A" w:rsidP="00C923E5">
      <w:pPr>
        <w:pStyle w:val="TDC2"/>
        <w:rPr>
          <w:rStyle w:val="Hipervnculo"/>
          <w:noProof/>
        </w:rPr>
      </w:pPr>
      <w:hyperlink w:anchor="_Toc75348441" w:history="1">
        <w:r w:rsidR="00B63CC3" w:rsidRPr="00536110">
          <w:rPr>
            <w:rStyle w:val="Hipervnculo"/>
            <w:noProof/>
          </w:rPr>
          <w:t>I.1. ANTECEDENTES</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_Toc75348441 \h </w:instrText>
        </w:r>
        <w:r w:rsidR="00B63CC3" w:rsidRPr="00536110">
          <w:rPr>
            <w:noProof/>
            <w:webHidden/>
          </w:rPr>
        </w:r>
        <w:r w:rsidR="00B63CC3" w:rsidRPr="00536110">
          <w:rPr>
            <w:noProof/>
            <w:webHidden/>
          </w:rPr>
          <w:fldChar w:fldCharType="separate"/>
        </w:r>
        <w:r w:rsidR="005F0081">
          <w:rPr>
            <w:noProof/>
            <w:webHidden/>
          </w:rPr>
          <w:t>4</w:t>
        </w:r>
        <w:r w:rsidR="00B63CC3" w:rsidRPr="00536110">
          <w:rPr>
            <w:noProof/>
            <w:webHidden/>
          </w:rPr>
          <w:fldChar w:fldCharType="end"/>
        </w:r>
      </w:hyperlink>
    </w:p>
    <w:p w14:paraId="6E319E80" w14:textId="77777777" w:rsidR="00DD20E1" w:rsidRPr="00536110" w:rsidRDefault="00DD20E1" w:rsidP="00C923E5">
      <w:pPr>
        <w:spacing w:line="240" w:lineRule="auto"/>
        <w:rPr>
          <w:noProof/>
          <w:szCs w:val="24"/>
        </w:rPr>
      </w:pPr>
    </w:p>
    <w:p w14:paraId="6BC2FA16" w14:textId="299D8B23" w:rsidR="00B63CC3" w:rsidRPr="00536110" w:rsidRDefault="00DC170A" w:rsidP="00C923E5">
      <w:pPr>
        <w:pStyle w:val="TDC2"/>
        <w:rPr>
          <w:rStyle w:val="Hipervnculo"/>
          <w:noProof/>
        </w:rPr>
      </w:pPr>
      <w:hyperlink w:anchor="_Toc75348442" w:history="1">
        <w:r w:rsidR="00B63CC3" w:rsidRPr="00536110">
          <w:rPr>
            <w:rStyle w:val="Hipervnculo"/>
            <w:noProof/>
          </w:rPr>
          <w:t>I.2. ASPECTOS GENERALES DE AUDITORÍA</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_Toc75348442 \h </w:instrText>
        </w:r>
        <w:r w:rsidR="00B63CC3" w:rsidRPr="00536110">
          <w:rPr>
            <w:noProof/>
            <w:webHidden/>
          </w:rPr>
        </w:r>
        <w:r w:rsidR="00B63CC3" w:rsidRPr="00536110">
          <w:rPr>
            <w:noProof/>
            <w:webHidden/>
          </w:rPr>
          <w:fldChar w:fldCharType="separate"/>
        </w:r>
        <w:r w:rsidR="005F0081">
          <w:rPr>
            <w:noProof/>
            <w:webHidden/>
          </w:rPr>
          <w:t>8</w:t>
        </w:r>
        <w:r w:rsidR="00B63CC3" w:rsidRPr="00536110">
          <w:rPr>
            <w:noProof/>
            <w:webHidden/>
          </w:rPr>
          <w:fldChar w:fldCharType="end"/>
        </w:r>
      </w:hyperlink>
    </w:p>
    <w:p w14:paraId="1BC84CE0" w14:textId="77777777" w:rsidR="00DD20E1" w:rsidRPr="00536110" w:rsidRDefault="00DD20E1" w:rsidP="006F1133">
      <w:pPr>
        <w:spacing w:line="240" w:lineRule="auto"/>
        <w:rPr>
          <w:noProof/>
          <w:szCs w:val="24"/>
        </w:rPr>
      </w:pPr>
    </w:p>
    <w:p w14:paraId="3201034C" w14:textId="4F850C0E"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43" w:history="1">
        <w:r w:rsidR="00B63CC3" w:rsidRPr="00536110">
          <w:rPr>
            <w:rStyle w:val="Hipervnculo"/>
            <w:rFonts w:cs="Arial"/>
            <w:b/>
            <w:i w:val="0"/>
            <w:noProof/>
            <w:sz w:val="24"/>
            <w:szCs w:val="24"/>
            <w:lang w:eastAsia="es-MX"/>
          </w:rPr>
          <w:t>A.</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lang w:eastAsia="es-MX"/>
          </w:rPr>
          <w:t>Título de la auditoría.</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_Toc75348443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8</w:t>
        </w:r>
        <w:r w:rsidR="00B63CC3" w:rsidRPr="00536110">
          <w:rPr>
            <w:b/>
            <w:i w:val="0"/>
            <w:noProof/>
            <w:webHidden/>
            <w:sz w:val="24"/>
            <w:szCs w:val="24"/>
          </w:rPr>
          <w:fldChar w:fldCharType="end"/>
        </w:r>
      </w:hyperlink>
    </w:p>
    <w:p w14:paraId="6BE84443" w14:textId="43727C11"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44" w:history="1">
        <w:r w:rsidR="00B63CC3" w:rsidRPr="00536110">
          <w:rPr>
            <w:rStyle w:val="Hipervnculo"/>
            <w:rFonts w:cs="Arial"/>
            <w:b/>
            <w:i w:val="0"/>
            <w:noProof/>
            <w:sz w:val="24"/>
            <w:szCs w:val="24"/>
            <w:lang w:eastAsia="es-MX"/>
          </w:rPr>
          <w:t>B.</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lang w:eastAsia="es-MX"/>
          </w:rPr>
          <w:t>Objetivo</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_Toc75348444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8</w:t>
        </w:r>
        <w:r w:rsidR="00B63CC3" w:rsidRPr="00536110">
          <w:rPr>
            <w:b/>
            <w:i w:val="0"/>
            <w:noProof/>
            <w:webHidden/>
            <w:sz w:val="24"/>
            <w:szCs w:val="24"/>
          </w:rPr>
          <w:fldChar w:fldCharType="end"/>
        </w:r>
      </w:hyperlink>
    </w:p>
    <w:p w14:paraId="488FAD62" w14:textId="347B74AE"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45" w:history="1">
        <w:r w:rsidR="00B63CC3" w:rsidRPr="00536110">
          <w:rPr>
            <w:rStyle w:val="Hipervnculo"/>
            <w:rFonts w:cs="Arial"/>
            <w:b/>
            <w:i w:val="0"/>
            <w:noProof/>
            <w:sz w:val="24"/>
            <w:szCs w:val="24"/>
            <w:lang w:eastAsia="es-MX"/>
          </w:rPr>
          <w:t>C.</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lang w:eastAsia="es-MX"/>
          </w:rPr>
          <w:t>Alcance</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_Toc75348445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8</w:t>
        </w:r>
        <w:r w:rsidR="00B63CC3" w:rsidRPr="00536110">
          <w:rPr>
            <w:b/>
            <w:i w:val="0"/>
            <w:noProof/>
            <w:webHidden/>
            <w:sz w:val="24"/>
            <w:szCs w:val="24"/>
          </w:rPr>
          <w:fldChar w:fldCharType="end"/>
        </w:r>
      </w:hyperlink>
    </w:p>
    <w:p w14:paraId="4AFB69EF" w14:textId="26182435"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46" w:history="1">
        <w:r w:rsidR="00B63CC3" w:rsidRPr="00536110">
          <w:rPr>
            <w:rStyle w:val="Hipervnculo"/>
            <w:rFonts w:cs="Arial"/>
            <w:b/>
            <w:i w:val="0"/>
            <w:noProof/>
            <w:sz w:val="24"/>
            <w:szCs w:val="24"/>
            <w:lang w:eastAsia="es-MX"/>
          </w:rPr>
          <w:t>D.</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lang w:eastAsia="es-MX"/>
          </w:rPr>
          <w:t>Criterios de Selección</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_Toc75348446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9</w:t>
        </w:r>
        <w:r w:rsidR="00B63CC3" w:rsidRPr="00536110">
          <w:rPr>
            <w:b/>
            <w:i w:val="0"/>
            <w:noProof/>
            <w:webHidden/>
            <w:sz w:val="24"/>
            <w:szCs w:val="24"/>
          </w:rPr>
          <w:fldChar w:fldCharType="end"/>
        </w:r>
      </w:hyperlink>
    </w:p>
    <w:p w14:paraId="2A1BCDCB" w14:textId="19B6AD8A"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47" w:history="1">
        <w:r w:rsidR="00B63CC3" w:rsidRPr="00536110">
          <w:rPr>
            <w:rStyle w:val="Hipervnculo"/>
            <w:rFonts w:cs="Arial"/>
            <w:b/>
            <w:i w:val="0"/>
            <w:noProof/>
            <w:sz w:val="24"/>
            <w:szCs w:val="24"/>
            <w:lang w:eastAsia="es-MX"/>
          </w:rPr>
          <w:t>E.</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lang w:eastAsia="es-MX"/>
          </w:rPr>
          <w:t>Áreas Revisadas</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_Toc75348447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9</w:t>
        </w:r>
        <w:r w:rsidR="00B63CC3" w:rsidRPr="00536110">
          <w:rPr>
            <w:b/>
            <w:i w:val="0"/>
            <w:noProof/>
            <w:webHidden/>
            <w:sz w:val="24"/>
            <w:szCs w:val="24"/>
          </w:rPr>
          <w:fldChar w:fldCharType="end"/>
        </w:r>
      </w:hyperlink>
    </w:p>
    <w:p w14:paraId="07B2A1AB" w14:textId="0D5DF280"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48" w:history="1">
        <w:r w:rsidR="00B63CC3" w:rsidRPr="00536110">
          <w:rPr>
            <w:rStyle w:val="Hipervnculo"/>
            <w:rFonts w:eastAsia="Times New Roman" w:cs="Times New Roman"/>
            <w:b/>
            <w:bCs/>
            <w:i w:val="0"/>
            <w:noProof/>
            <w:sz w:val="24"/>
            <w:szCs w:val="24"/>
            <w:lang w:eastAsia="es-MX"/>
          </w:rPr>
          <w:t>F.</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lang w:eastAsia="es-MX"/>
          </w:rPr>
          <w:t>Procedimientos de Auditoría Aplicados</w:t>
        </w:r>
        <w:r w:rsidR="00B63CC3" w:rsidRPr="00536110">
          <w:rPr>
            <w:rStyle w:val="Hipervnculo"/>
            <w:rFonts w:eastAsia="Times New Roman" w:cs="Times New Roman"/>
            <w:b/>
            <w:bCs/>
            <w:i w:val="0"/>
            <w:noProof/>
            <w:sz w:val="24"/>
            <w:szCs w:val="24"/>
            <w:lang w:eastAsia="es-MX"/>
          </w:rPr>
          <w:t>.</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_Toc75348448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9</w:t>
        </w:r>
        <w:r w:rsidR="00B63CC3" w:rsidRPr="00536110">
          <w:rPr>
            <w:b/>
            <w:i w:val="0"/>
            <w:noProof/>
            <w:webHidden/>
            <w:sz w:val="24"/>
            <w:szCs w:val="24"/>
          </w:rPr>
          <w:fldChar w:fldCharType="end"/>
        </w:r>
      </w:hyperlink>
    </w:p>
    <w:p w14:paraId="6AF0C415" w14:textId="1A8B7CA2" w:rsidR="00B63CC3" w:rsidRPr="00536110" w:rsidRDefault="00DC170A" w:rsidP="00FF4942">
      <w:pPr>
        <w:pStyle w:val="TDC3"/>
        <w:tabs>
          <w:tab w:val="clear" w:pos="8828"/>
          <w:tab w:val="right" w:leader="dot" w:pos="9072"/>
        </w:tabs>
        <w:spacing w:line="360" w:lineRule="auto"/>
        <w:rPr>
          <w:rStyle w:val="Hipervnculo"/>
          <w:b/>
          <w:i w:val="0"/>
          <w:noProof/>
          <w:sz w:val="24"/>
          <w:szCs w:val="24"/>
        </w:rPr>
      </w:pPr>
      <w:hyperlink w:anchor="_Toc75348449" w:history="1">
        <w:r w:rsidR="00B63CC3" w:rsidRPr="00536110">
          <w:rPr>
            <w:rStyle w:val="Hipervnculo"/>
            <w:rFonts w:cs="Arial"/>
            <w:b/>
            <w:i w:val="0"/>
            <w:noProof/>
            <w:sz w:val="24"/>
            <w:szCs w:val="24"/>
          </w:rPr>
          <w:t>G.</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rPr>
          <w:t>Servidores Públicos que intervinieron en la Auditoría</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_Toc75348449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11</w:t>
        </w:r>
        <w:r w:rsidR="00B63CC3" w:rsidRPr="00536110">
          <w:rPr>
            <w:b/>
            <w:i w:val="0"/>
            <w:noProof/>
            <w:webHidden/>
            <w:sz w:val="24"/>
            <w:szCs w:val="24"/>
          </w:rPr>
          <w:fldChar w:fldCharType="end"/>
        </w:r>
      </w:hyperlink>
    </w:p>
    <w:p w14:paraId="3778E2C6" w14:textId="77777777" w:rsidR="00DD20E1" w:rsidRPr="00536110" w:rsidRDefault="00DD20E1" w:rsidP="006F1133">
      <w:pPr>
        <w:spacing w:after="0" w:line="240" w:lineRule="auto"/>
        <w:rPr>
          <w:noProof/>
          <w:szCs w:val="24"/>
        </w:rPr>
      </w:pPr>
    </w:p>
    <w:p w14:paraId="319F44DA" w14:textId="4A80D884" w:rsidR="00B63CC3" w:rsidRPr="00536110" w:rsidRDefault="00DC170A" w:rsidP="00C923E5">
      <w:pPr>
        <w:pStyle w:val="TDC2"/>
        <w:rPr>
          <w:rStyle w:val="Hipervnculo"/>
          <w:noProof/>
        </w:rPr>
      </w:pPr>
      <w:hyperlink w:anchor="_Toc75348450" w:history="1">
        <w:r w:rsidR="00B63CC3" w:rsidRPr="00536110">
          <w:rPr>
            <w:rStyle w:val="Hipervnculo"/>
            <w:noProof/>
          </w:rPr>
          <w:t>I.3.  RESULTADOS DE LA FISCALIZACIÓN EFECTUADA</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_Toc75348450 \h </w:instrText>
        </w:r>
        <w:r w:rsidR="00B63CC3" w:rsidRPr="00536110">
          <w:rPr>
            <w:noProof/>
            <w:webHidden/>
          </w:rPr>
        </w:r>
        <w:r w:rsidR="00B63CC3" w:rsidRPr="00536110">
          <w:rPr>
            <w:noProof/>
            <w:webHidden/>
          </w:rPr>
          <w:fldChar w:fldCharType="separate"/>
        </w:r>
        <w:r w:rsidR="005F0081">
          <w:rPr>
            <w:noProof/>
            <w:webHidden/>
          </w:rPr>
          <w:t>11</w:t>
        </w:r>
        <w:r w:rsidR="00B63CC3" w:rsidRPr="00536110">
          <w:rPr>
            <w:noProof/>
            <w:webHidden/>
          </w:rPr>
          <w:fldChar w:fldCharType="end"/>
        </w:r>
      </w:hyperlink>
    </w:p>
    <w:p w14:paraId="4FF107D9" w14:textId="77777777" w:rsidR="00DD20E1" w:rsidRPr="00536110" w:rsidRDefault="00DD20E1" w:rsidP="00C923E5">
      <w:pPr>
        <w:spacing w:line="240" w:lineRule="auto"/>
        <w:rPr>
          <w:noProof/>
          <w:szCs w:val="24"/>
        </w:rPr>
      </w:pPr>
    </w:p>
    <w:p w14:paraId="46213656" w14:textId="141A5798" w:rsidR="00B63CC3" w:rsidRPr="00536110" w:rsidRDefault="00DC170A" w:rsidP="00FF4942">
      <w:pPr>
        <w:pStyle w:val="TDC3"/>
        <w:tabs>
          <w:tab w:val="clear" w:pos="8828"/>
          <w:tab w:val="right" w:leader="dot" w:pos="9072"/>
        </w:tabs>
        <w:spacing w:line="360" w:lineRule="auto"/>
        <w:rPr>
          <w:rFonts w:asciiTheme="minorHAnsi" w:eastAsiaTheme="minorEastAsia" w:hAnsiTheme="minorHAnsi"/>
          <w:b/>
          <w:i w:val="0"/>
          <w:iCs w:val="0"/>
          <w:noProof/>
          <w:sz w:val="24"/>
          <w:szCs w:val="24"/>
          <w:lang w:eastAsia="es-MX"/>
        </w:rPr>
      </w:pPr>
      <w:hyperlink w:anchor="_Toc75348451" w:history="1">
        <w:r w:rsidR="00B63CC3" w:rsidRPr="00536110">
          <w:rPr>
            <w:rStyle w:val="Hipervnculo"/>
            <w:rFonts w:cs="Arial"/>
            <w:b/>
            <w:i w:val="0"/>
            <w:noProof/>
            <w:sz w:val="24"/>
            <w:szCs w:val="24"/>
          </w:rPr>
          <w:t>A.</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rPr>
          <w:t>Resumen general de observaciones y recomendaciones emitidas en materia de desempeño.</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_Toc75348451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11</w:t>
        </w:r>
        <w:r w:rsidR="00B63CC3" w:rsidRPr="00536110">
          <w:rPr>
            <w:b/>
            <w:i w:val="0"/>
            <w:noProof/>
            <w:webHidden/>
            <w:sz w:val="24"/>
            <w:szCs w:val="24"/>
          </w:rPr>
          <w:fldChar w:fldCharType="end"/>
        </w:r>
      </w:hyperlink>
    </w:p>
    <w:p w14:paraId="032E649A" w14:textId="60B3CC74" w:rsidR="00B63CC3" w:rsidRPr="00536110" w:rsidRDefault="00DC170A" w:rsidP="00FF4942">
      <w:pPr>
        <w:pStyle w:val="TDC3"/>
        <w:tabs>
          <w:tab w:val="clear" w:pos="8828"/>
          <w:tab w:val="right" w:leader="dot" w:pos="9072"/>
        </w:tabs>
        <w:spacing w:line="360" w:lineRule="auto"/>
        <w:rPr>
          <w:rStyle w:val="Hipervnculo"/>
          <w:b/>
          <w:i w:val="0"/>
          <w:noProof/>
          <w:sz w:val="24"/>
          <w:szCs w:val="24"/>
        </w:rPr>
      </w:pPr>
      <w:hyperlink w:anchor="_Toc75348452" w:history="1">
        <w:r w:rsidR="00B63CC3" w:rsidRPr="00536110">
          <w:rPr>
            <w:rStyle w:val="Hipervnculo"/>
            <w:rFonts w:cs="Arial"/>
            <w:b/>
            <w:i w:val="0"/>
            <w:noProof/>
            <w:sz w:val="24"/>
            <w:szCs w:val="24"/>
          </w:rPr>
          <w:t>B.</w:t>
        </w:r>
        <w:r w:rsidR="00B63CC3" w:rsidRPr="00536110">
          <w:rPr>
            <w:rFonts w:asciiTheme="minorHAnsi" w:eastAsiaTheme="minorEastAsia" w:hAnsiTheme="minorHAnsi"/>
            <w:b/>
            <w:i w:val="0"/>
            <w:iCs w:val="0"/>
            <w:noProof/>
            <w:sz w:val="24"/>
            <w:szCs w:val="24"/>
            <w:lang w:eastAsia="es-MX"/>
          </w:rPr>
          <w:tab/>
        </w:r>
        <w:r w:rsidR="00B63CC3" w:rsidRPr="00536110">
          <w:rPr>
            <w:rStyle w:val="Hipervnculo"/>
            <w:rFonts w:cs="Arial"/>
            <w:b/>
            <w:i w:val="0"/>
            <w:noProof/>
            <w:sz w:val="24"/>
            <w:szCs w:val="24"/>
          </w:rPr>
          <w:t>Detalle de Resultados</w:t>
        </w:r>
        <w:r w:rsidR="00B63CC3" w:rsidRPr="00536110">
          <w:rPr>
            <w:b/>
            <w:i w:val="0"/>
            <w:noProof/>
            <w:webHidden/>
            <w:sz w:val="24"/>
            <w:szCs w:val="24"/>
          </w:rPr>
          <w:tab/>
        </w:r>
        <w:r w:rsidR="00B63CC3" w:rsidRPr="00536110">
          <w:rPr>
            <w:b/>
            <w:i w:val="0"/>
            <w:noProof/>
            <w:webHidden/>
            <w:sz w:val="24"/>
            <w:szCs w:val="24"/>
          </w:rPr>
          <w:fldChar w:fldCharType="begin"/>
        </w:r>
        <w:r w:rsidR="00B63CC3" w:rsidRPr="00536110">
          <w:rPr>
            <w:b/>
            <w:i w:val="0"/>
            <w:noProof/>
            <w:webHidden/>
            <w:sz w:val="24"/>
            <w:szCs w:val="24"/>
          </w:rPr>
          <w:instrText xml:space="preserve"> PAGEREF _Toc75348452 \h </w:instrText>
        </w:r>
        <w:r w:rsidR="00B63CC3" w:rsidRPr="00536110">
          <w:rPr>
            <w:b/>
            <w:i w:val="0"/>
            <w:noProof/>
            <w:webHidden/>
            <w:sz w:val="24"/>
            <w:szCs w:val="24"/>
          </w:rPr>
        </w:r>
        <w:r w:rsidR="00B63CC3" w:rsidRPr="00536110">
          <w:rPr>
            <w:b/>
            <w:i w:val="0"/>
            <w:noProof/>
            <w:webHidden/>
            <w:sz w:val="24"/>
            <w:szCs w:val="24"/>
          </w:rPr>
          <w:fldChar w:fldCharType="separate"/>
        </w:r>
        <w:r w:rsidR="005F0081">
          <w:rPr>
            <w:b/>
            <w:i w:val="0"/>
            <w:noProof/>
            <w:webHidden/>
            <w:sz w:val="24"/>
            <w:szCs w:val="24"/>
          </w:rPr>
          <w:t>12</w:t>
        </w:r>
        <w:r w:rsidR="00B63CC3" w:rsidRPr="00536110">
          <w:rPr>
            <w:b/>
            <w:i w:val="0"/>
            <w:noProof/>
            <w:webHidden/>
            <w:sz w:val="24"/>
            <w:szCs w:val="24"/>
          </w:rPr>
          <w:fldChar w:fldCharType="end"/>
        </w:r>
      </w:hyperlink>
    </w:p>
    <w:p w14:paraId="0A51A9F6" w14:textId="77777777" w:rsidR="00DD20E1" w:rsidRPr="00536110" w:rsidRDefault="00DD20E1" w:rsidP="005D710F">
      <w:pPr>
        <w:spacing w:after="0" w:line="240" w:lineRule="auto"/>
        <w:rPr>
          <w:noProof/>
          <w:szCs w:val="24"/>
        </w:rPr>
      </w:pPr>
    </w:p>
    <w:p w14:paraId="25D615E1" w14:textId="527775AE" w:rsidR="00B63CC3" w:rsidRPr="00536110" w:rsidRDefault="00DC170A" w:rsidP="00C923E5">
      <w:pPr>
        <w:pStyle w:val="TDC2"/>
        <w:rPr>
          <w:rStyle w:val="Hipervnculo"/>
          <w:noProof/>
        </w:rPr>
      </w:pPr>
      <w:hyperlink w:anchor="_Toc75348453" w:history="1">
        <w:r w:rsidR="00B63CC3" w:rsidRPr="00536110">
          <w:rPr>
            <w:rStyle w:val="Hipervnculo"/>
            <w:noProof/>
          </w:rPr>
          <w:t>I.4. COMENTARIOS DEL ENTE FISCALIZADO</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_Toc75348453 \h </w:instrText>
        </w:r>
        <w:r w:rsidR="00B63CC3" w:rsidRPr="00536110">
          <w:rPr>
            <w:noProof/>
            <w:webHidden/>
          </w:rPr>
        </w:r>
        <w:r w:rsidR="00B63CC3" w:rsidRPr="00536110">
          <w:rPr>
            <w:noProof/>
            <w:webHidden/>
          </w:rPr>
          <w:fldChar w:fldCharType="separate"/>
        </w:r>
        <w:r w:rsidR="005F0081">
          <w:rPr>
            <w:noProof/>
            <w:webHidden/>
          </w:rPr>
          <w:t>38</w:t>
        </w:r>
        <w:r w:rsidR="00B63CC3" w:rsidRPr="00536110">
          <w:rPr>
            <w:noProof/>
            <w:webHidden/>
          </w:rPr>
          <w:fldChar w:fldCharType="end"/>
        </w:r>
      </w:hyperlink>
    </w:p>
    <w:p w14:paraId="20EB7A4F" w14:textId="77777777" w:rsidR="005C1BCF" w:rsidRPr="00536110" w:rsidRDefault="005C1BCF" w:rsidP="005C1BCF">
      <w:pPr>
        <w:spacing w:line="240" w:lineRule="auto"/>
        <w:rPr>
          <w:noProof/>
          <w:szCs w:val="24"/>
        </w:rPr>
      </w:pPr>
    </w:p>
    <w:p w14:paraId="2112197B" w14:textId="7CE5AADF" w:rsidR="00B63CC3" w:rsidRPr="00536110" w:rsidRDefault="00DC170A" w:rsidP="00C923E5">
      <w:pPr>
        <w:pStyle w:val="TDC2"/>
        <w:rPr>
          <w:rStyle w:val="Hipervnculo"/>
          <w:noProof/>
        </w:rPr>
      </w:pPr>
      <w:hyperlink w:anchor="_Toc75348454" w:history="1">
        <w:r w:rsidR="00B63CC3" w:rsidRPr="00536110">
          <w:rPr>
            <w:rStyle w:val="Hipervnculo"/>
            <w:bCs/>
            <w:noProof/>
          </w:rPr>
          <w:t xml:space="preserve">I.5. </w:t>
        </w:r>
        <w:r w:rsidR="00B63CC3" w:rsidRPr="00536110">
          <w:rPr>
            <w:rStyle w:val="Hipervnculo"/>
            <w:noProof/>
          </w:rPr>
          <w:t xml:space="preserve"> TABLA DE JUSTIFICACIONES Y ACLARACIONES DE LOS RESULTADOS</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_Toc75348454 \h </w:instrText>
        </w:r>
        <w:r w:rsidR="00B63CC3" w:rsidRPr="00536110">
          <w:rPr>
            <w:noProof/>
            <w:webHidden/>
          </w:rPr>
        </w:r>
        <w:r w:rsidR="00B63CC3" w:rsidRPr="00536110">
          <w:rPr>
            <w:noProof/>
            <w:webHidden/>
          </w:rPr>
          <w:fldChar w:fldCharType="separate"/>
        </w:r>
        <w:r w:rsidR="005F0081">
          <w:rPr>
            <w:noProof/>
            <w:webHidden/>
          </w:rPr>
          <w:t>38</w:t>
        </w:r>
        <w:r w:rsidR="00B63CC3" w:rsidRPr="00536110">
          <w:rPr>
            <w:noProof/>
            <w:webHidden/>
          </w:rPr>
          <w:fldChar w:fldCharType="end"/>
        </w:r>
      </w:hyperlink>
    </w:p>
    <w:p w14:paraId="508E3943" w14:textId="77777777" w:rsidR="005C1BCF" w:rsidRPr="00536110" w:rsidRDefault="005C1BCF" w:rsidP="005C1BCF">
      <w:pPr>
        <w:spacing w:line="240" w:lineRule="auto"/>
        <w:rPr>
          <w:noProof/>
          <w:szCs w:val="24"/>
        </w:rPr>
      </w:pPr>
    </w:p>
    <w:p w14:paraId="4E684BC4" w14:textId="54382243" w:rsidR="00B63CC3" w:rsidRPr="002740EA" w:rsidRDefault="00DC170A" w:rsidP="00C923E5">
      <w:pPr>
        <w:pStyle w:val="TDC2"/>
        <w:rPr>
          <w:rFonts w:asciiTheme="minorHAnsi" w:eastAsiaTheme="minorEastAsia" w:hAnsiTheme="minorHAnsi" w:cstheme="minorBidi"/>
          <w:noProof/>
          <w:lang w:eastAsia="es-MX"/>
        </w:rPr>
      </w:pPr>
      <w:hyperlink w:anchor="_Toc75348455" w:history="1">
        <w:r w:rsidR="00B63CC3" w:rsidRPr="00536110">
          <w:rPr>
            <w:rStyle w:val="Hipervnculo"/>
            <w:noProof/>
          </w:rPr>
          <w:t>II. DICTAMEN DEL INFORME INDIVIDUAL DE AUDITORÍA</w:t>
        </w:r>
        <w:r w:rsidR="00B63CC3" w:rsidRPr="00536110">
          <w:rPr>
            <w:noProof/>
            <w:webHidden/>
          </w:rPr>
          <w:tab/>
        </w:r>
        <w:r w:rsidR="00B63CC3" w:rsidRPr="00536110">
          <w:rPr>
            <w:noProof/>
            <w:webHidden/>
          </w:rPr>
          <w:fldChar w:fldCharType="begin"/>
        </w:r>
        <w:r w:rsidR="00B63CC3" w:rsidRPr="00536110">
          <w:rPr>
            <w:noProof/>
            <w:webHidden/>
          </w:rPr>
          <w:instrText xml:space="preserve"> PAGEREF _Toc75348455 \h </w:instrText>
        </w:r>
        <w:r w:rsidR="00B63CC3" w:rsidRPr="00536110">
          <w:rPr>
            <w:noProof/>
            <w:webHidden/>
          </w:rPr>
        </w:r>
        <w:r w:rsidR="00B63CC3" w:rsidRPr="00536110">
          <w:rPr>
            <w:noProof/>
            <w:webHidden/>
          </w:rPr>
          <w:fldChar w:fldCharType="separate"/>
        </w:r>
        <w:r w:rsidR="005F0081">
          <w:rPr>
            <w:noProof/>
            <w:webHidden/>
          </w:rPr>
          <w:t>39</w:t>
        </w:r>
        <w:r w:rsidR="00B63CC3" w:rsidRPr="00536110">
          <w:rPr>
            <w:noProof/>
            <w:webHidden/>
          </w:rPr>
          <w:fldChar w:fldCharType="end"/>
        </w:r>
      </w:hyperlink>
    </w:p>
    <w:p w14:paraId="498D3BAB" w14:textId="4EF3741B" w:rsidR="00501669" w:rsidRPr="002740EA" w:rsidRDefault="00E20758" w:rsidP="00C923E5">
      <w:pPr>
        <w:pStyle w:val="TDC2"/>
      </w:pPr>
      <w:r w:rsidRPr="002740EA">
        <w:fldChar w:fldCharType="end"/>
      </w:r>
      <w:bookmarkStart w:id="0" w:name="_Toc11413500"/>
    </w:p>
    <w:p w14:paraId="01049E78" w14:textId="201B6E96" w:rsidR="00B021A6" w:rsidRPr="002740EA" w:rsidRDefault="00B021A6" w:rsidP="00C923E5">
      <w:pPr>
        <w:pStyle w:val="TDC2"/>
      </w:pPr>
      <w:bookmarkStart w:id="1" w:name="_Toc75348439"/>
      <w:r w:rsidRPr="002740EA">
        <w:lastRenderedPageBreak/>
        <w:t>INTRODUCCIÓN</w:t>
      </w:r>
      <w:bookmarkEnd w:id="0"/>
      <w:bookmarkEnd w:id="1"/>
    </w:p>
    <w:p w14:paraId="7455AE5F" w14:textId="77777777" w:rsidR="00086CB2" w:rsidRPr="002740EA" w:rsidRDefault="00086CB2" w:rsidP="00C232E9">
      <w:pPr>
        <w:tabs>
          <w:tab w:val="right" w:leader="dot" w:pos="9072"/>
        </w:tabs>
        <w:spacing w:after="0" w:line="276" w:lineRule="auto"/>
        <w:jc w:val="center"/>
        <w:rPr>
          <w:rFonts w:cs="Arial"/>
          <w:szCs w:val="24"/>
        </w:rPr>
      </w:pPr>
    </w:p>
    <w:p w14:paraId="294010CD" w14:textId="546E3915" w:rsidR="00AC5667" w:rsidRPr="002740EA" w:rsidRDefault="00AC5667" w:rsidP="00C232E9">
      <w:pPr>
        <w:tabs>
          <w:tab w:val="right" w:leader="dot" w:pos="9072"/>
        </w:tabs>
        <w:spacing w:after="0" w:line="276" w:lineRule="auto"/>
        <w:jc w:val="both"/>
        <w:rPr>
          <w:szCs w:val="24"/>
        </w:rPr>
      </w:pPr>
      <w:r w:rsidRPr="002740EA">
        <w:rPr>
          <w:rFonts w:cs="Arial"/>
          <w:szCs w:val="24"/>
        </w:rPr>
        <w:t xml:space="preserve">Por disposición contenida en los artículos 75 fracción XXIX y 77 de la Constitución Política del Estado Libre y Soberano del Estado de Quintana Roo, corresponde al Poder Legislativo, a través de la Auditoría Superior del Estado, </w:t>
      </w:r>
      <w:r w:rsidRPr="002740EA">
        <w:rPr>
          <w:szCs w:val="24"/>
        </w:rPr>
        <w:t>revisar, de manera posterior la Cuenta Pública que el Gobierno del Estado le presente sobre los resultados de la gestión financiera, y el grado de cumplimiento de los objetivos contenidos en los planes y programas aprobados conforme a la ley. Esta revisión comprende la fiscalización a las Entidades Fiscalizables, que se traduce, a su vez, en la obligación de las autoridades que las representan de presentar su Cuenta Pública para efectos de que sea revisada y fiscalizada.</w:t>
      </w:r>
    </w:p>
    <w:p w14:paraId="2390C7A7" w14:textId="77777777" w:rsidR="006D0C25" w:rsidRPr="002740EA" w:rsidRDefault="006D0C25" w:rsidP="000C6B37">
      <w:pPr>
        <w:spacing w:after="0" w:line="276" w:lineRule="auto"/>
        <w:jc w:val="both"/>
        <w:rPr>
          <w:szCs w:val="24"/>
        </w:rPr>
      </w:pPr>
    </w:p>
    <w:p w14:paraId="6B7920E9" w14:textId="3A6380E6" w:rsidR="006E69F2" w:rsidRPr="002740EA" w:rsidRDefault="00AC5667" w:rsidP="000C6B37">
      <w:pPr>
        <w:spacing w:after="0" w:line="276" w:lineRule="auto"/>
        <w:jc w:val="both"/>
        <w:rPr>
          <w:rFonts w:cs="Arial"/>
          <w:szCs w:val="24"/>
        </w:rPr>
      </w:pPr>
      <w:r w:rsidRPr="002740EA">
        <w:rPr>
          <w:rFonts w:cs="Arial"/>
          <w:szCs w:val="24"/>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a efecto de poder rendir </w:t>
      </w:r>
      <w:r w:rsidR="000A46E7" w:rsidRPr="002740EA">
        <w:rPr>
          <w:rFonts w:cs="Arial"/>
          <w:szCs w:val="24"/>
        </w:rPr>
        <w:t xml:space="preserve">el presente </w:t>
      </w:r>
      <w:r w:rsidR="009A0EE1" w:rsidRPr="002740EA">
        <w:rPr>
          <w:rFonts w:cs="Arial"/>
          <w:szCs w:val="24"/>
        </w:rPr>
        <w:t>I</w:t>
      </w:r>
      <w:r w:rsidR="000A46E7" w:rsidRPr="002740EA">
        <w:rPr>
          <w:rFonts w:cs="Arial"/>
          <w:szCs w:val="24"/>
        </w:rPr>
        <w:t>nforme</w:t>
      </w:r>
      <w:r w:rsidRPr="002740EA">
        <w:rPr>
          <w:rFonts w:cs="Arial"/>
          <w:szCs w:val="24"/>
        </w:rPr>
        <w:t xml:space="preserve"> a </w:t>
      </w:r>
      <w:r w:rsidR="00FC5FD0" w:rsidRPr="002740EA">
        <w:rPr>
          <w:rFonts w:cs="Arial"/>
          <w:szCs w:val="24"/>
        </w:rPr>
        <w:t>esta</w:t>
      </w:r>
      <w:r w:rsidRPr="002740EA">
        <w:rPr>
          <w:rFonts w:cs="Arial"/>
          <w:szCs w:val="24"/>
        </w:rPr>
        <w:t xml:space="preserve"> H. XVI Legislatura del Estado de Quintana Roo, con relación al manejo de las mismas por parte de las autoridades estatales. </w:t>
      </w:r>
    </w:p>
    <w:p w14:paraId="4719FD3D" w14:textId="77777777" w:rsidR="00DE1292" w:rsidRPr="002740EA" w:rsidRDefault="00DE1292" w:rsidP="000C6B37">
      <w:pPr>
        <w:spacing w:after="0" w:line="276" w:lineRule="auto"/>
        <w:jc w:val="both"/>
        <w:rPr>
          <w:rFonts w:cs="Arial"/>
          <w:szCs w:val="24"/>
        </w:rPr>
      </w:pPr>
    </w:p>
    <w:p w14:paraId="0D73D9BE" w14:textId="4FA84BE2" w:rsidR="00AC5667" w:rsidRPr="002740EA" w:rsidRDefault="00AC5667" w:rsidP="000C6B37">
      <w:pPr>
        <w:spacing w:after="0" w:line="276" w:lineRule="auto"/>
        <w:jc w:val="both"/>
        <w:rPr>
          <w:rFonts w:cs="Arial"/>
          <w:szCs w:val="24"/>
        </w:rPr>
      </w:pPr>
      <w:r w:rsidRPr="002740EA">
        <w:rPr>
          <w:rFonts w:cs="Arial"/>
          <w:szCs w:val="24"/>
        </w:rPr>
        <w:t>La formulación, revisión y aprobación de la Cuenta Pública de la</w:t>
      </w:r>
      <w:r w:rsidRPr="002740EA">
        <w:rPr>
          <w:rFonts w:cs="Arial"/>
          <w:b/>
          <w:szCs w:val="24"/>
        </w:rPr>
        <w:t xml:space="preserve"> Universidad de Quintana Roo,</w:t>
      </w:r>
      <w:r w:rsidRPr="002740EA">
        <w:rPr>
          <w:rFonts w:cs="Arial"/>
          <w:szCs w:val="24"/>
        </w:rPr>
        <w:t xml:space="preserve"> contiene la realización de actividades en las que participa la Legislatura del Estado</w:t>
      </w:r>
      <w:r w:rsidR="00CA2EBA" w:rsidRPr="002740EA">
        <w:rPr>
          <w:rFonts w:cs="Arial"/>
          <w:szCs w:val="24"/>
        </w:rPr>
        <w:t>. E</w:t>
      </w:r>
      <w:r w:rsidRPr="002740EA">
        <w:rPr>
          <w:rFonts w:cs="Arial"/>
          <w:szCs w:val="24"/>
        </w:rPr>
        <w:t>stas acciones comprenden:</w:t>
      </w:r>
    </w:p>
    <w:p w14:paraId="536DA944" w14:textId="77777777" w:rsidR="00EF5A4F" w:rsidRPr="002740EA" w:rsidRDefault="00EF5A4F" w:rsidP="000C6B37">
      <w:pPr>
        <w:spacing w:after="0" w:line="276" w:lineRule="auto"/>
        <w:jc w:val="both"/>
        <w:rPr>
          <w:rFonts w:cs="Arial"/>
          <w:szCs w:val="24"/>
        </w:rPr>
      </w:pPr>
    </w:p>
    <w:p w14:paraId="3075158B" w14:textId="753AA585" w:rsidR="00AC5667" w:rsidRPr="002740EA" w:rsidRDefault="00AC5667" w:rsidP="000C6B37">
      <w:pPr>
        <w:spacing w:after="0" w:line="276" w:lineRule="auto"/>
        <w:jc w:val="both"/>
        <w:rPr>
          <w:rFonts w:cs="Arial"/>
          <w:szCs w:val="24"/>
        </w:rPr>
      </w:pPr>
      <w:r w:rsidRPr="002740EA">
        <w:rPr>
          <w:rFonts w:cs="Arial"/>
          <w:b/>
          <w:szCs w:val="24"/>
        </w:rPr>
        <w:t>A.- El Proceso Administrativo</w:t>
      </w:r>
      <w:r w:rsidRPr="002740EA">
        <w:rPr>
          <w:rFonts w:cs="Arial"/>
          <w:szCs w:val="24"/>
        </w:rPr>
        <w:t xml:space="preserve">; que es desarrollado fundamentalmente por la </w:t>
      </w:r>
      <w:r w:rsidRPr="002740EA">
        <w:rPr>
          <w:rFonts w:cs="Arial"/>
          <w:b/>
          <w:szCs w:val="24"/>
        </w:rPr>
        <w:t>Universidad de Quintana Roo</w:t>
      </w:r>
      <w:r w:rsidRPr="002740EA">
        <w:rPr>
          <w:rFonts w:cs="Arial"/>
          <w:szCs w:val="24"/>
        </w:rPr>
        <w:t>, en la integración de la Cuenta Pública, la cual incluye los resultados de las labores administrativas realizadas en el Ejercicio Fiscal 2020, así como las principales políticas financieras, económicas y sociales que influyeron en el resultado de los objetivos contenidos en los programas estatales, conforme a los indicadores establecidos en el Presupuesto de Egresos, tomando en cuenta el Plan Estatal de Desarrollo, el programa sectorial, regional, institucional, anuales y demás programas aplicados por el Ente.</w:t>
      </w:r>
    </w:p>
    <w:p w14:paraId="65ECDD7E" w14:textId="4A1D08AA" w:rsidR="00BD4E5E" w:rsidRDefault="00BD4E5E" w:rsidP="000C6B37">
      <w:pPr>
        <w:spacing w:after="0" w:line="276" w:lineRule="auto"/>
        <w:jc w:val="both"/>
        <w:rPr>
          <w:rFonts w:cs="Arial"/>
          <w:szCs w:val="24"/>
        </w:rPr>
      </w:pPr>
    </w:p>
    <w:p w14:paraId="56E24410" w14:textId="77777777" w:rsidR="00E3756B" w:rsidRPr="002740EA" w:rsidRDefault="00E3756B" w:rsidP="000C6B37">
      <w:pPr>
        <w:spacing w:after="0" w:line="276" w:lineRule="auto"/>
        <w:jc w:val="both"/>
        <w:rPr>
          <w:rFonts w:cs="Arial"/>
          <w:szCs w:val="24"/>
        </w:rPr>
      </w:pPr>
    </w:p>
    <w:p w14:paraId="16C84A94" w14:textId="3586B96E" w:rsidR="00AC5667" w:rsidRPr="002740EA" w:rsidRDefault="00AC5667" w:rsidP="000C6B37">
      <w:pPr>
        <w:spacing w:after="0" w:line="276" w:lineRule="auto"/>
        <w:jc w:val="both"/>
        <w:rPr>
          <w:rFonts w:cs="Arial"/>
          <w:b/>
          <w:szCs w:val="24"/>
        </w:rPr>
      </w:pPr>
      <w:r w:rsidRPr="002740EA">
        <w:rPr>
          <w:rFonts w:cs="Arial"/>
          <w:b/>
          <w:szCs w:val="24"/>
        </w:rPr>
        <w:lastRenderedPageBreak/>
        <w:t>B.- El Proceso de Vigilancia</w:t>
      </w:r>
      <w:r w:rsidRPr="002740EA">
        <w:rPr>
          <w:rFonts w:cs="Arial"/>
          <w:szCs w:val="24"/>
        </w:rPr>
        <w:t xml:space="preserve">; que es desarrollado por la Legislatura del Estado con apoyo de la Auditoría Superior del Estado, cuya función es la revisión y fiscalización superior de los </w:t>
      </w:r>
      <w:r w:rsidR="003F190C" w:rsidRPr="002740EA">
        <w:rPr>
          <w:rFonts w:cs="Arial"/>
          <w:szCs w:val="24"/>
        </w:rPr>
        <w:t>I</w:t>
      </w:r>
      <w:r w:rsidRPr="002740EA">
        <w:rPr>
          <w:rFonts w:cs="Arial"/>
          <w:szCs w:val="24"/>
        </w:rPr>
        <w:t xml:space="preserve">ngresos, </w:t>
      </w:r>
      <w:r w:rsidR="003F190C" w:rsidRPr="002740EA">
        <w:rPr>
          <w:rFonts w:cs="Arial"/>
          <w:szCs w:val="24"/>
        </w:rPr>
        <w:t>P</w:t>
      </w:r>
      <w:r w:rsidRPr="002740EA">
        <w:rPr>
          <w:rFonts w:cs="Arial"/>
          <w:szCs w:val="24"/>
        </w:rPr>
        <w:t xml:space="preserve">resupuestos, </w:t>
      </w:r>
      <w:r w:rsidR="003F190C" w:rsidRPr="002740EA">
        <w:rPr>
          <w:rFonts w:cs="Arial"/>
          <w:szCs w:val="24"/>
        </w:rPr>
        <w:t>E</w:t>
      </w:r>
      <w:r w:rsidRPr="002740EA">
        <w:rPr>
          <w:rFonts w:cs="Arial"/>
          <w:szCs w:val="24"/>
        </w:rPr>
        <w:t xml:space="preserve">gresos, </w:t>
      </w:r>
      <w:r w:rsidR="003F190C" w:rsidRPr="002740EA">
        <w:rPr>
          <w:rFonts w:cs="Arial"/>
          <w:szCs w:val="24"/>
        </w:rPr>
        <w:t>P</w:t>
      </w:r>
      <w:r w:rsidRPr="002740EA">
        <w:rPr>
          <w:rFonts w:cs="Arial"/>
          <w:szCs w:val="24"/>
        </w:rPr>
        <w:t>olíticas, cumplimiento de los objetivos y metas contenidos en los programas y todo lo relacionado con la actividad financiera-administrativa de la</w:t>
      </w:r>
      <w:r w:rsidRPr="002740EA">
        <w:rPr>
          <w:rFonts w:cs="Arial"/>
          <w:b/>
          <w:szCs w:val="24"/>
        </w:rPr>
        <w:t xml:space="preserve"> Universidad de Quintana Roo.</w:t>
      </w:r>
    </w:p>
    <w:p w14:paraId="31B9F3FC" w14:textId="77777777" w:rsidR="00CA2EBA" w:rsidRPr="002740EA" w:rsidRDefault="00CA2EBA" w:rsidP="000C6B37">
      <w:pPr>
        <w:spacing w:after="0" w:line="276" w:lineRule="auto"/>
        <w:jc w:val="both"/>
        <w:rPr>
          <w:rFonts w:cs="Arial"/>
          <w:b/>
          <w:szCs w:val="24"/>
        </w:rPr>
      </w:pPr>
    </w:p>
    <w:p w14:paraId="637E3951" w14:textId="22CAF881" w:rsidR="003F4A42" w:rsidRPr="002740EA" w:rsidRDefault="003F4A42" w:rsidP="000C6B37">
      <w:pPr>
        <w:spacing w:after="0"/>
        <w:jc w:val="both"/>
        <w:rPr>
          <w:rFonts w:cs="Arial"/>
          <w:bCs/>
          <w:szCs w:val="24"/>
        </w:rPr>
      </w:pPr>
      <w:r w:rsidRPr="002740EA">
        <w:rPr>
          <w:rFonts w:cs="Arial"/>
          <w:bCs/>
          <w:szCs w:val="24"/>
        </w:rPr>
        <w:t>En la Cuenta Pública del H. Poder Ejecutivo del Gobierno del Estado Libre y Soberano de Quintana Roo, correspondiente al Ejercicio Fiscal 2020, se encuentra reflejado el ejercicio del gasto público de la administración pública central, integrada por el despacho del Gobernador, incluidos sus órganos administrativos desconcentrados, organismos públicos descentralizados y las dependencias, dentro de las cuales se encuentra la</w:t>
      </w:r>
      <w:r w:rsidRPr="002740EA">
        <w:rPr>
          <w:rFonts w:cs="Arial"/>
          <w:b/>
          <w:bCs/>
          <w:szCs w:val="24"/>
        </w:rPr>
        <w:t xml:space="preserve"> Universidad </w:t>
      </w:r>
      <w:r w:rsidRPr="002740EA">
        <w:rPr>
          <w:rFonts w:cs="Arial"/>
          <w:b/>
          <w:szCs w:val="24"/>
        </w:rPr>
        <w:t>de Quintana Roo,</w:t>
      </w:r>
      <w:r w:rsidRPr="002740EA">
        <w:rPr>
          <w:rFonts w:cs="Arial"/>
          <w:bCs/>
          <w:szCs w:val="24"/>
        </w:rPr>
        <w:t xml:space="preserve"> registrando la aplicación de recursos federales, estatales e ingresos propios.</w:t>
      </w:r>
    </w:p>
    <w:p w14:paraId="5B96AE1F" w14:textId="77777777" w:rsidR="006D0C25" w:rsidRPr="002740EA" w:rsidRDefault="006D0C25" w:rsidP="000C6B37">
      <w:pPr>
        <w:spacing w:after="0" w:line="276" w:lineRule="auto"/>
        <w:jc w:val="both"/>
        <w:rPr>
          <w:rFonts w:cs="Arial"/>
          <w:bCs/>
          <w:szCs w:val="24"/>
        </w:rPr>
      </w:pPr>
    </w:p>
    <w:p w14:paraId="5B07EFDE" w14:textId="6E841140" w:rsidR="00C2651C" w:rsidRPr="002740EA" w:rsidRDefault="00AC5667" w:rsidP="000C6B37">
      <w:pPr>
        <w:spacing w:after="0" w:line="276" w:lineRule="auto"/>
        <w:jc w:val="both"/>
        <w:rPr>
          <w:rFonts w:cs="Arial"/>
          <w:bCs/>
          <w:szCs w:val="24"/>
        </w:rPr>
      </w:pPr>
      <w:r w:rsidRPr="002740EA">
        <w:rPr>
          <w:rFonts w:cs="Arial"/>
          <w:bCs/>
          <w:szCs w:val="24"/>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w:t>
      </w:r>
      <w:r w:rsidR="008C40FA" w:rsidRPr="002740EA">
        <w:rPr>
          <w:rFonts w:cs="Arial"/>
          <w:bCs/>
          <w:szCs w:val="24"/>
        </w:rPr>
        <w:t>l año 2021, y que contempla la F</w:t>
      </w:r>
      <w:r w:rsidRPr="002740EA">
        <w:rPr>
          <w:rFonts w:cs="Arial"/>
          <w:bCs/>
          <w:szCs w:val="24"/>
        </w:rPr>
        <w:t xml:space="preserve">iscalización a las Cuentas Públicas del Ejercicio Fiscal 2020, el cual fue expedido y publicado en el portal web de la Auditoría Superior del Estado de Quintana Roo. </w:t>
      </w:r>
    </w:p>
    <w:p w14:paraId="5FAE0C5F" w14:textId="77777777" w:rsidR="00C2651C" w:rsidRPr="002740EA" w:rsidRDefault="00C2651C" w:rsidP="000C6B37">
      <w:pPr>
        <w:spacing w:after="0" w:line="276" w:lineRule="auto"/>
        <w:jc w:val="both"/>
        <w:rPr>
          <w:rFonts w:cs="Arial"/>
          <w:bCs/>
          <w:szCs w:val="24"/>
        </w:rPr>
      </w:pPr>
    </w:p>
    <w:p w14:paraId="572FB7AD" w14:textId="521D11B1" w:rsidR="0012534B" w:rsidRPr="002740EA" w:rsidRDefault="00AC5667" w:rsidP="000C6B37">
      <w:pPr>
        <w:spacing w:after="0" w:line="276" w:lineRule="auto"/>
        <w:jc w:val="both"/>
        <w:rPr>
          <w:rFonts w:cs="Arial"/>
          <w:szCs w:val="24"/>
        </w:rPr>
      </w:pPr>
      <w:r w:rsidRPr="002740EA">
        <w:rPr>
          <w:rFonts w:cs="Arial"/>
          <w:bCs/>
          <w:szCs w:val="24"/>
        </w:rPr>
        <w:t xml:space="preserve">En este sentido, la auditoría realizada a la Cuenta Pública de la </w:t>
      </w:r>
      <w:r w:rsidRPr="002740EA">
        <w:rPr>
          <w:rFonts w:cs="Arial"/>
          <w:b/>
          <w:szCs w:val="24"/>
        </w:rPr>
        <w:t>Universidad de Quintana Roo</w:t>
      </w:r>
      <w:r w:rsidR="00645D5C" w:rsidRPr="002740EA">
        <w:rPr>
          <w:rFonts w:cs="Arial"/>
          <w:b/>
          <w:szCs w:val="24"/>
        </w:rPr>
        <w:t>,</w:t>
      </w:r>
      <w:r w:rsidRPr="002740EA">
        <w:rPr>
          <w:rFonts w:cs="Arial"/>
          <w:bCs/>
          <w:szCs w:val="24"/>
        </w:rPr>
        <w:t xml:space="preserve"> correspondiente al Ejercicio Fiscal 2020, desarrollada</w:t>
      </w:r>
      <w:r w:rsidR="005100F7" w:rsidRPr="002740EA">
        <w:rPr>
          <w:rFonts w:cs="Arial"/>
          <w:bCs/>
          <w:szCs w:val="24"/>
        </w:rPr>
        <w:t xml:space="preserve"> con un enfoque de Desempeño, fue</w:t>
      </w:r>
      <w:r w:rsidRPr="002740EA">
        <w:rPr>
          <w:rFonts w:cs="Arial"/>
          <w:bCs/>
          <w:szCs w:val="24"/>
        </w:rPr>
        <w:t xml:space="preserve"> denomina</w:t>
      </w:r>
      <w:r w:rsidR="005100F7" w:rsidRPr="002740EA">
        <w:rPr>
          <w:rFonts w:cs="Arial"/>
          <w:bCs/>
          <w:szCs w:val="24"/>
        </w:rPr>
        <w:t>da</w:t>
      </w:r>
      <w:r w:rsidRPr="002740EA">
        <w:rPr>
          <w:rFonts w:cs="Arial"/>
          <w:bCs/>
          <w:szCs w:val="24"/>
        </w:rPr>
        <w:t xml:space="preserve"> </w:t>
      </w:r>
      <w:r w:rsidRPr="002740EA">
        <w:rPr>
          <w:rFonts w:cs="Arial"/>
          <w:b/>
          <w:bCs/>
          <w:szCs w:val="24"/>
        </w:rPr>
        <w:t>Auditoria al Desempeño de las Matrices de Indicadores para Resultados</w:t>
      </w:r>
      <w:r w:rsidR="004B294D" w:rsidRPr="002740EA">
        <w:rPr>
          <w:rFonts w:cs="Arial"/>
          <w:b/>
          <w:bCs/>
          <w:szCs w:val="24"/>
        </w:rPr>
        <w:t xml:space="preserve"> 20-AEMD-A-GOB-048-098</w:t>
      </w:r>
      <w:r w:rsidR="006A7B63" w:rsidRPr="002740EA">
        <w:rPr>
          <w:rFonts w:cs="Arial"/>
          <w:b/>
          <w:bCs/>
          <w:szCs w:val="24"/>
        </w:rPr>
        <w:t xml:space="preserve">, </w:t>
      </w:r>
      <w:r w:rsidR="003F593E" w:rsidRPr="002740EA">
        <w:rPr>
          <w:rFonts w:cs="Arial"/>
          <w:bCs/>
          <w:szCs w:val="24"/>
        </w:rPr>
        <w:t>y</w:t>
      </w:r>
      <w:r w:rsidR="006A7B63" w:rsidRPr="002740EA">
        <w:rPr>
          <w:rFonts w:cs="Arial"/>
          <w:bCs/>
          <w:szCs w:val="24"/>
        </w:rPr>
        <w:t xml:space="preserve"> notificada </w:t>
      </w:r>
      <w:r w:rsidR="00C4317B" w:rsidRPr="002740EA">
        <w:rPr>
          <w:rFonts w:cs="Arial"/>
          <w:bCs/>
          <w:szCs w:val="24"/>
        </w:rPr>
        <w:t>en fecha</w:t>
      </w:r>
      <w:r w:rsidRPr="002740EA">
        <w:rPr>
          <w:rFonts w:cs="Arial"/>
          <w:bCs/>
          <w:szCs w:val="24"/>
        </w:rPr>
        <w:t xml:space="preserve"> </w:t>
      </w:r>
      <w:r w:rsidRPr="002740EA">
        <w:rPr>
          <w:rFonts w:cs="Arial"/>
          <w:szCs w:val="24"/>
        </w:rPr>
        <w:t xml:space="preserve">13 de abril de 2021, </w:t>
      </w:r>
      <w:r w:rsidR="00591038" w:rsidRPr="002740EA">
        <w:rPr>
          <w:rFonts w:cs="Arial"/>
          <w:bCs/>
          <w:szCs w:val="24"/>
        </w:rPr>
        <w:t xml:space="preserve">mediante </w:t>
      </w:r>
      <w:r w:rsidRPr="002740EA">
        <w:rPr>
          <w:rFonts w:cs="Arial"/>
          <w:bCs/>
          <w:szCs w:val="24"/>
        </w:rPr>
        <w:t xml:space="preserve">Orden de Auditoría, Visita e Inspección con número de oficio </w:t>
      </w:r>
      <w:r w:rsidRPr="002740EA">
        <w:rPr>
          <w:rFonts w:cs="Arial"/>
          <w:b/>
          <w:bCs/>
          <w:szCs w:val="24"/>
        </w:rPr>
        <w:t>ASEQROO/ASE/AEMD/0442/04/2021</w:t>
      </w:r>
      <w:r w:rsidR="00140B79" w:rsidRPr="002740EA">
        <w:rPr>
          <w:rFonts w:cs="Arial"/>
          <w:szCs w:val="24"/>
        </w:rPr>
        <w:t>.</w:t>
      </w:r>
    </w:p>
    <w:p w14:paraId="2E7DF77B" w14:textId="77777777" w:rsidR="006D0C25" w:rsidRPr="002740EA" w:rsidRDefault="006D0C25" w:rsidP="000C6B37">
      <w:pPr>
        <w:spacing w:after="0" w:line="276" w:lineRule="auto"/>
        <w:jc w:val="both"/>
        <w:rPr>
          <w:szCs w:val="24"/>
        </w:rPr>
      </w:pPr>
    </w:p>
    <w:p w14:paraId="20861368" w14:textId="224B2C00" w:rsidR="00AC5667" w:rsidRPr="002740EA" w:rsidRDefault="00AC5667" w:rsidP="000C6B37">
      <w:pPr>
        <w:spacing w:after="0" w:line="276" w:lineRule="auto"/>
        <w:jc w:val="both"/>
        <w:rPr>
          <w:szCs w:val="24"/>
        </w:rPr>
      </w:pPr>
      <w:r w:rsidRPr="002740EA">
        <w:rPr>
          <w:szCs w:val="24"/>
        </w:rPr>
        <w:t>Por lo anterior, y en cumplimiento a los artículos 2, 3, 4, 5,</w:t>
      </w:r>
      <w:r w:rsidR="00AC493A" w:rsidRPr="002740EA">
        <w:rPr>
          <w:szCs w:val="24"/>
        </w:rPr>
        <w:t xml:space="preserve"> 6</w:t>
      </w:r>
      <w:r w:rsidRPr="002740EA">
        <w:rPr>
          <w:szCs w:val="24"/>
        </w:rPr>
        <w:t xml:space="preserve"> fracciones </w:t>
      </w:r>
      <w:r w:rsidR="00AC493A" w:rsidRPr="002740EA">
        <w:rPr>
          <w:szCs w:val="24"/>
        </w:rPr>
        <w:t>I,II, y  XX</w:t>
      </w:r>
      <w:r w:rsidRPr="002740EA">
        <w:rPr>
          <w:szCs w:val="24"/>
        </w:rPr>
        <w:t xml:space="preserve">, </w:t>
      </w:r>
      <w:r w:rsidR="00887A35" w:rsidRPr="002740EA">
        <w:rPr>
          <w:szCs w:val="24"/>
        </w:rPr>
        <w:t>1</w:t>
      </w:r>
      <w:r w:rsidRPr="002740EA">
        <w:rPr>
          <w:szCs w:val="24"/>
        </w:rPr>
        <w:t>6,</w:t>
      </w:r>
      <w:r w:rsidR="00887A35" w:rsidRPr="002740EA">
        <w:rPr>
          <w:szCs w:val="24"/>
        </w:rPr>
        <w:t xml:space="preserve"> 17, </w:t>
      </w:r>
      <w:r w:rsidRPr="002740EA">
        <w:rPr>
          <w:szCs w:val="24"/>
        </w:rPr>
        <w:t xml:space="preserve">19 fracciones I, V, VII, XII, XV, XXVI y XXVIII, 22 </w:t>
      </w:r>
      <w:r w:rsidR="00567132" w:rsidRPr="002740EA">
        <w:rPr>
          <w:szCs w:val="24"/>
        </w:rPr>
        <w:t xml:space="preserve">en su último párrafo, 38, 40, 41, 42, 61 y 86 fracciones I, XVII, XXII y XXXVI </w:t>
      </w:r>
      <w:r w:rsidRPr="002740EA">
        <w:rPr>
          <w:szCs w:val="24"/>
        </w:rPr>
        <w:t>de la Ley de Fiscalización y Rendición de Cuentas del Estado de Quintana Roo, se tiene a bien presentar</w:t>
      </w:r>
      <w:r w:rsidR="00451EDD" w:rsidRPr="002740EA">
        <w:rPr>
          <w:szCs w:val="24"/>
        </w:rPr>
        <w:t xml:space="preserve"> </w:t>
      </w:r>
      <w:r w:rsidR="00F33D6C" w:rsidRPr="002740EA">
        <w:rPr>
          <w:szCs w:val="24"/>
        </w:rPr>
        <w:t xml:space="preserve">el </w:t>
      </w:r>
      <w:r w:rsidR="00451EDD" w:rsidRPr="002740EA">
        <w:rPr>
          <w:szCs w:val="24"/>
        </w:rPr>
        <w:t>Informe I</w:t>
      </w:r>
      <w:r w:rsidR="00B35D76" w:rsidRPr="002740EA">
        <w:rPr>
          <w:szCs w:val="24"/>
        </w:rPr>
        <w:t>ndividual de Auditoría obteni</w:t>
      </w:r>
      <w:r w:rsidR="00F33D6C" w:rsidRPr="002740EA">
        <w:rPr>
          <w:szCs w:val="24"/>
        </w:rPr>
        <w:t>do</w:t>
      </w:r>
      <w:r w:rsidR="00EC1BEF" w:rsidRPr="002740EA">
        <w:rPr>
          <w:szCs w:val="24"/>
        </w:rPr>
        <w:t xml:space="preserve">, </w:t>
      </w:r>
      <w:r w:rsidR="00F33D6C" w:rsidRPr="002740EA">
        <w:rPr>
          <w:szCs w:val="24"/>
        </w:rPr>
        <w:t>en</w:t>
      </w:r>
      <w:r w:rsidRPr="002740EA">
        <w:rPr>
          <w:szCs w:val="24"/>
        </w:rPr>
        <w:t xml:space="preserve"> relación </w:t>
      </w:r>
      <w:r w:rsidR="005F0081">
        <w:rPr>
          <w:szCs w:val="24"/>
        </w:rPr>
        <w:t>con la auditoría de</w:t>
      </w:r>
      <w:r w:rsidR="008966C5" w:rsidRPr="002740EA">
        <w:rPr>
          <w:szCs w:val="24"/>
        </w:rPr>
        <w:t xml:space="preserve"> desempeño de la Cuenta Pública </w:t>
      </w:r>
      <w:r w:rsidRPr="002740EA">
        <w:rPr>
          <w:szCs w:val="24"/>
        </w:rPr>
        <w:t>de la</w:t>
      </w:r>
      <w:r w:rsidRPr="002740EA">
        <w:rPr>
          <w:b/>
          <w:szCs w:val="24"/>
        </w:rPr>
        <w:t xml:space="preserve"> </w:t>
      </w:r>
      <w:r w:rsidRPr="002740EA">
        <w:rPr>
          <w:rFonts w:cs="Arial"/>
          <w:b/>
          <w:bCs/>
          <w:szCs w:val="24"/>
        </w:rPr>
        <w:t xml:space="preserve">Universidad </w:t>
      </w:r>
      <w:r w:rsidRPr="002740EA">
        <w:rPr>
          <w:rFonts w:cs="Arial"/>
          <w:b/>
          <w:szCs w:val="24"/>
        </w:rPr>
        <w:t>de Quintana Roo,</w:t>
      </w:r>
      <w:r w:rsidRPr="002740EA">
        <w:rPr>
          <w:szCs w:val="24"/>
        </w:rPr>
        <w:t xml:space="preserve"> correspondiente al Ejercicio Fiscal 2020.</w:t>
      </w:r>
    </w:p>
    <w:p w14:paraId="5FB6693F" w14:textId="77777777" w:rsidR="006B5FA1" w:rsidRPr="002740EA" w:rsidRDefault="006B5FA1" w:rsidP="000C6B37">
      <w:pPr>
        <w:spacing w:after="0" w:line="276" w:lineRule="auto"/>
        <w:jc w:val="both"/>
        <w:rPr>
          <w:szCs w:val="24"/>
        </w:rPr>
      </w:pPr>
    </w:p>
    <w:p w14:paraId="6C17D85A" w14:textId="75ABE8A8" w:rsidR="00932E53" w:rsidRPr="002740EA" w:rsidRDefault="00932E53" w:rsidP="000C6B37">
      <w:pPr>
        <w:pStyle w:val="Ttulo2"/>
        <w:numPr>
          <w:ilvl w:val="0"/>
          <w:numId w:val="15"/>
        </w:numPr>
        <w:spacing w:before="0"/>
        <w:ind w:left="284" w:hanging="284"/>
        <w:jc w:val="both"/>
        <w:rPr>
          <w:rFonts w:cs="Arial"/>
          <w:szCs w:val="24"/>
        </w:rPr>
      </w:pPr>
      <w:bookmarkStart w:id="2" w:name="_Toc75348440"/>
      <w:r w:rsidRPr="002740EA">
        <w:rPr>
          <w:rFonts w:cs="Arial"/>
          <w:szCs w:val="24"/>
        </w:rPr>
        <w:lastRenderedPageBreak/>
        <w:t>AUDITORÍA AL DESEMPEÑO DE LAS MATRICES DE INDICADORES PARA RESULTADOS</w:t>
      </w:r>
      <w:r w:rsidR="00761694" w:rsidRPr="002740EA">
        <w:rPr>
          <w:rFonts w:cs="Arial"/>
          <w:szCs w:val="24"/>
        </w:rPr>
        <w:t xml:space="preserve"> 20-AEMD-A-GOB-048-098</w:t>
      </w:r>
      <w:r w:rsidR="002A696E" w:rsidRPr="002740EA">
        <w:rPr>
          <w:rFonts w:cs="Arial"/>
          <w:szCs w:val="24"/>
        </w:rPr>
        <w:t>.</w:t>
      </w:r>
      <w:bookmarkEnd w:id="2"/>
    </w:p>
    <w:p w14:paraId="28CE6157" w14:textId="77777777" w:rsidR="00932E53" w:rsidRPr="002740EA" w:rsidRDefault="00932E53" w:rsidP="000C6B37">
      <w:pPr>
        <w:pStyle w:val="Ttulo2"/>
        <w:spacing w:before="0"/>
        <w:rPr>
          <w:rFonts w:cs="Arial"/>
          <w:szCs w:val="24"/>
        </w:rPr>
      </w:pPr>
    </w:p>
    <w:p w14:paraId="1B7844C8" w14:textId="1D37CCD9" w:rsidR="005A0495" w:rsidRPr="002740EA" w:rsidRDefault="0039520F" w:rsidP="000C6B37">
      <w:pPr>
        <w:pStyle w:val="Ttulo2"/>
        <w:spacing w:before="0"/>
      </w:pPr>
      <w:bookmarkStart w:id="3" w:name="_Toc75348441"/>
      <w:r w:rsidRPr="002740EA">
        <w:rPr>
          <w:rFonts w:cs="Arial"/>
          <w:szCs w:val="24"/>
        </w:rPr>
        <w:t>I.</w:t>
      </w:r>
      <w:r w:rsidR="001F16F1" w:rsidRPr="002740EA">
        <w:rPr>
          <w:rFonts w:cs="Arial"/>
          <w:szCs w:val="24"/>
        </w:rPr>
        <w:t xml:space="preserve">1. </w:t>
      </w:r>
      <w:r w:rsidR="0034688E" w:rsidRPr="002740EA">
        <w:t>ANTECEDENTE</w:t>
      </w:r>
      <w:r w:rsidR="00C931AB" w:rsidRPr="002740EA">
        <w:t>S</w:t>
      </w:r>
      <w:bookmarkEnd w:id="3"/>
    </w:p>
    <w:p w14:paraId="6FF36E4A" w14:textId="77777777" w:rsidR="00383A94" w:rsidRPr="002740EA" w:rsidRDefault="00383A94" w:rsidP="000C6B37">
      <w:pPr>
        <w:spacing w:after="0" w:line="276" w:lineRule="auto"/>
        <w:jc w:val="both"/>
        <w:rPr>
          <w:rFonts w:cs="Arial"/>
          <w:szCs w:val="24"/>
        </w:rPr>
      </w:pPr>
    </w:p>
    <w:p w14:paraId="00D22C13" w14:textId="2901DD86" w:rsidR="00023141" w:rsidRPr="002740EA" w:rsidRDefault="00023141" w:rsidP="000C6B37">
      <w:pPr>
        <w:spacing w:after="0" w:line="276" w:lineRule="auto"/>
        <w:jc w:val="both"/>
        <w:rPr>
          <w:rFonts w:cs="Arial"/>
          <w:szCs w:val="24"/>
        </w:rPr>
      </w:pPr>
      <w:r w:rsidRPr="002740EA">
        <w:rPr>
          <w:rFonts w:cs="Arial"/>
          <w:szCs w:val="24"/>
        </w:rPr>
        <w:t xml:space="preserve">En los últimos treinta años, economías de diversos países rompieron paradigmas en cuanto al enfoque de la administración de los recursos públicos, por dos razones principales: </w:t>
      </w:r>
    </w:p>
    <w:p w14:paraId="479C2B88" w14:textId="77777777" w:rsidR="008E485B" w:rsidRPr="002740EA" w:rsidRDefault="008E485B" w:rsidP="000C6B37">
      <w:pPr>
        <w:spacing w:after="0" w:line="276" w:lineRule="auto"/>
        <w:jc w:val="both"/>
        <w:rPr>
          <w:rFonts w:cs="Arial"/>
          <w:szCs w:val="24"/>
        </w:rPr>
      </w:pPr>
    </w:p>
    <w:p w14:paraId="5DEDBB9C" w14:textId="1C28D243" w:rsidR="004D0020" w:rsidRPr="002740EA" w:rsidRDefault="00023141" w:rsidP="000C6B37">
      <w:pPr>
        <w:pStyle w:val="Prrafodelista"/>
        <w:spacing w:after="0"/>
        <w:ind w:hanging="360"/>
        <w:jc w:val="both"/>
        <w:rPr>
          <w:rFonts w:cs="Arial"/>
          <w:szCs w:val="24"/>
        </w:rPr>
      </w:pPr>
      <w:r w:rsidRPr="002740EA">
        <w:rPr>
          <w:rFonts w:cs="Arial"/>
          <w:szCs w:val="24"/>
        </w:rPr>
        <w:sym w:font="Symbol" w:char="F0B7"/>
      </w:r>
      <w:r w:rsidR="004B400E" w:rsidRPr="002740EA">
        <w:rPr>
          <w:rFonts w:cs="Arial"/>
          <w:szCs w:val="24"/>
        </w:rPr>
        <w:t xml:space="preserve"> </w:t>
      </w:r>
      <w:r w:rsidRPr="002740EA">
        <w:rPr>
          <w:rFonts w:cs="Arial"/>
          <w:szCs w:val="24"/>
        </w:rPr>
        <w:t xml:space="preserve"> La necesidad de hacer más con los mismos recursos, y </w:t>
      </w:r>
    </w:p>
    <w:p w14:paraId="542A153B" w14:textId="7ACBE604" w:rsidR="001B4511" w:rsidRPr="002740EA" w:rsidRDefault="00023141" w:rsidP="000C6B37">
      <w:pPr>
        <w:pStyle w:val="Prrafodelista"/>
        <w:spacing w:after="0"/>
        <w:ind w:hanging="360"/>
        <w:jc w:val="both"/>
        <w:rPr>
          <w:rFonts w:cs="Arial"/>
          <w:szCs w:val="24"/>
        </w:rPr>
      </w:pPr>
      <w:r w:rsidRPr="002740EA">
        <w:rPr>
          <w:rFonts w:cs="Arial"/>
          <w:szCs w:val="24"/>
        </w:rPr>
        <w:sym w:font="Symbol" w:char="F0B7"/>
      </w:r>
      <w:r w:rsidR="004B400E" w:rsidRPr="002740EA">
        <w:rPr>
          <w:rFonts w:cs="Arial"/>
          <w:szCs w:val="24"/>
        </w:rPr>
        <w:t xml:space="preserve"> </w:t>
      </w:r>
      <w:r w:rsidRPr="002740EA">
        <w:rPr>
          <w:rFonts w:cs="Arial"/>
          <w:szCs w:val="24"/>
        </w:rPr>
        <w:t xml:space="preserve"> La necesidad de rendir cuentas a los ciudada</w:t>
      </w:r>
      <w:r w:rsidR="001B4511" w:rsidRPr="002740EA">
        <w:rPr>
          <w:rFonts w:cs="Arial"/>
          <w:szCs w:val="24"/>
        </w:rPr>
        <w:t>nos, cada vez más exigentes con</w:t>
      </w:r>
    </w:p>
    <w:p w14:paraId="7EB0C61A" w14:textId="2BB87824" w:rsidR="00023141" w:rsidRPr="002740EA" w:rsidRDefault="001B4511" w:rsidP="000C6B37">
      <w:pPr>
        <w:pStyle w:val="Prrafodelista"/>
        <w:spacing w:after="0"/>
        <w:ind w:hanging="360"/>
        <w:jc w:val="both"/>
        <w:rPr>
          <w:rFonts w:cs="Arial"/>
          <w:szCs w:val="24"/>
        </w:rPr>
      </w:pPr>
      <w:r w:rsidRPr="002740EA">
        <w:rPr>
          <w:rFonts w:cs="Arial"/>
          <w:szCs w:val="24"/>
        </w:rPr>
        <w:t xml:space="preserve"> </w:t>
      </w:r>
      <w:r w:rsidR="004B400E" w:rsidRPr="002740EA">
        <w:rPr>
          <w:rFonts w:cs="Arial"/>
          <w:szCs w:val="24"/>
        </w:rPr>
        <w:t xml:space="preserve"> </w:t>
      </w:r>
      <w:r w:rsidRPr="002740EA">
        <w:rPr>
          <w:rFonts w:cs="Arial"/>
          <w:szCs w:val="24"/>
        </w:rPr>
        <w:t xml:space="preserve"> </w:t>
      </w:r>
      <w:r w:rsidR="00023141" w:rsidRPr="002740EA">
        <w:rPr>
          <w:rFonts w:cs="Arial"/>
          <w:szCs w:val="24"/>
        </w:rPr>
        <w:t xml:space="preserve">la eficiencia, en la asignación y uso de los recursos públicos. </w:t>
      </w:r>
    </w:p>
    <w:p w14:paraId="5EACC855" w14:textId="77777777" w:rsidR="00023141" w:rsidRPr="002740EA" w:rsidRDefault="00023141" w:rsidP="000C6B37">
      <w:pPr>
        <w:spacing w:after="0" w:line="276" w:lineRule="auto"/>
        <w:jc w:val="both"/>
        <w:rPr>
          <w:rFonts w:cs="Arial"/>
          <w:szCs w:val="24"/>
        </w:rPr>
      </w:pPr>
    </w:p>
    <w:p w14:paraId="258E4C82" w14:textId="77777777" w:rsidR="00023141" w:rsidRPr="002740EA" w:rsidRDefault="00023141" w:rsidP="000C6B37">
      <w:pPr>
        <w:spacing w:after="0" w:line="276" w:lineRule="auto"/>
        <w:jc w:val="both"/>
        <w:rPr>
          <w:rFonts w:cs="Arial"/>
          <w:szCs w:val="24"/>
        </w:rPr>
      </w:pPr>
      <w:r w:rsidRPr="002740EA">
        <w:rPr>
          <w:rFonts w:cs="Arial"/>
          <w:szCs w:val="24"/>
        </w:rPr>
        <w:t>Como resultado, surge el enfoque de Gestión para Resultados (GpR). La GpR es un modelo de cultura organizacional, directiva y de desempeño institucional que pone más énfasis en los resultados que en los procedimientos. Aunque también interesa cómo se hacen las cosas, cobra mayor relevancia qué se hace, qué se logra y cuál es su impacto en el bienestar de la población; es decir, la creación de valor público.</w:t>
      </w:r>
    </w:p>
    <w:p w14:paraId="5F19D2B8" w14:textId="77777777" w:rsidR="00023141" w:rsidRPr="002740EA" w:rsidRDefault="00023141" w:rsidP="000C6B37">
      <w:pPr>
        <w:spacing w:after="0" w:line="276" w:lineRule="auto"/>
        <w:jc w:val="both"/>
        <w:rPr>
          <w:rFonts w:cs="Arial"/>
          <w:szCs w:val="24"/>
        </w:rPr>
      </w:pPr>
    </w:p>
    <w:p w14:paraId="7CB5BF39" w14:textId="77777777" w:rsidR="00023141" w:rsidRPr="002740EA" w:rsidRDefault="00023141" w:rsidP="000C6B37">
      <w:pPr>
        <w:pStyle w:val="NormalWeb"/>
        <w:spacing w:after="0" w:line="276" w:lineRule="auto"/>
        <w:jc w:val="both"/>
        <w:rPr>
          <w:rFonts w:ascii="Arial" w:hAnsi="Arial" w:cs="Arial"/>
          <w:color w:val="000000"/>
        </w:rPr>
      </w:pPr>
      <w:r w:rsidRPr="002740EA">
        <w:rPr>
          <w:rFonts w:ascii="Arial" w:hAnsi="Arial" w:cs="Arial"/>
          <w:color w:val="000000"/>
        </w:rPr>
        <w:t>En el marco de la GpR y con fundamento en el marco constitucional y legal, a partir de 2006 y hasta 2008, se implantó en la Administración Pública Federal (APF) el Presupuesto basado en Resultados (PbR), procurando la alineación entre la planeación, la programación, el presupuesto, el control, el ejercicio, el seguimiento y la evaluación del gasto público. De 2009 en adelante, se está llevando a cabo la consolidación de dicha iniciativa.</w:t>
      </w:r>
    </w:p>
    <w:p w14:paraId="6375DA80" w14:textId="77777777" w:rsidR="00023141" w:rsidRPr="002740EA" w:rsidRDefault="00023141" w:rsidP="000C6B37">
      <w:pPr>
        <w:autoSpaceDE w:val="0"/>
        <w:autoSpaceDN w:val="0"/>
        <w:adjustRightInd w:val="0"/>
        <w:spacing w:after="0" w:line="276" w:lineRule="auto"/>
        <w:jc w:val="both"/>
        <w:rPr>
          <w:rFonts w:cs="Arial"/>
          <w:color w:val="000000"/>
          <w:szCs w:val="24"/>
        </w:rPr>
      </w:pPr>
    </w:p>
    <w:p w14:paraId="3B4C56D0" w14:textId="77777777" w:rsidR="00023141" w:rsidRPr="002740EA" w:rsidRDefault="00023141" w:rsidP="000C6B37">
      <w:pPr>
        <w:autoSpaceDE w:val="0"/>
        <w:autoSpaceDN w:val="0"/>
        <w:adjustRightInd w:val="0"/>
        <w:spacing w:after="0" w:line="276" w:lineRule="auto"/>
        <w:jc w:val="both"/>
        <w:rPr>
          <w:rFonts w:cs="Arial"/>
          <w:color w:val="000000"/>
          <w:szCs w:val="24"/>
        </w:rPr>
      </w:pPr>
      <w:r w:rsidRPr="002740EA">
        <w:rPr>
          <w:rFonts w:cs="Arial"/>
          <w:color w:val="000000"/>
          <w:szCs w:val="24"/>
        </w:rPr>
        <w:t xml:space="preserve">El PbR es un proceso basado en consideraciones objetivas sobre los resultados esperados y alcanzados para la asignación de recursos, con la finalidad de fortalecer la calidad del diseño y gestión de las políticas, programas públicos y desempeño institucional, cuyo aporte sea decisivo para generar las condiciones sociales, económicas y ambientales para el desarrollo nacional sustentable; en otras palabras, </w:t>
      </w:r>
      <w:r w:rsidRPr="002740EA">
        <w:rPr>
          <w:rFonts w:cs="Arial"/>
          <w:bCs/>
          <w:color w:val="000000"/>
          <w:szCs w:val="24"/>
        </w:rPr>
        <w:t>el PbR busca elevar la cobertura y la calidad de los bienes y servicios públicos, cuidando la</w:t>
      </w:r>
      <w:r w:rsidRPr="002740EA">
        <w:rPr>
          <w:rFonts w:cs="Arial"/>
          <w:color w:val="000000"/>
          <w:szCs w:val="24"/>
        </w:rPr>
        <w:t xml:space="preserve"> </w:t>
      </w:r>
      <w:r w:rsidRPr="002740EA">
        <w:rPr>
          <w:rFonts w:cs="Arial"/>
          <w:bCs/>
          <w:color w:val="000000"/>
          <w:szCs w:val="24"/>
        </w:rPr>
        <w:t>asignación de recursos particularmente a los que sean prioritarios y estratégicos para obtener los</w:t>
      </w:r>
      <w:r w:rsidRPr="002740EA">
        <w:rPr>
          <w:rFonts w:cs="Arial"/>
          <w:color w:val="000000"/>
          <w:szCs w:val="24"/>
        </w:rPr>
        <w:t xml:space="preserve"> </w:t>
      </w:r>
      <w:r w:rsidRPr="002740EA">
        <w:rPr>
          <w:rFonts w:cs="Arial"/>
          <w:bCs/>
          <w:color w:val="000000"/>
          <w:szCs w:val="24"/>
        </w:rPr>
        <w:t>resultados esperados.</w:t>
      </w:r>
      <w:r w:rsidRPr="002740EA">
        <w:rPr>
          <w:rFonts w:cs="Arial"/>
          <w:color w:val="000000"/>
          <w:szCs w:val="24"/>
        </w:rPr>
        <w:t xml:space="preserve"> </w:t>
      </w:r>
    </w:p>
    <w:p w14:paraId="162EC4A3" w14:textId="77777777" w:rsidR="00023141" w:rsidRPr="002740EA" w:rsidRDefault="00023141" w:rsidP="000C6B37">
      <w:pPr>
        <w:autoSpaceDE w:val="0"/>
        <w:autoSpaceDN w:val="0"/>
        <w:adjustRightInd w:val="0"/>
        <w:spacing w:line="276" w:lineRule="auto"/>
        <w:jc w:val="both"/>
        <w:rPr>
          <w:rFonts w:cs="Arial"/>
          <w:szCs w:val="24"/>
        </w:rPr>
      </w:pPr>
      <w:r w:rsidRPr="002740EA">
        <w:rPr>
          <w:rFonts w:cs="Arial"/>
          <w:color w:val="000000"/>
          <w:szCs w:val="24"/>
        </w:rPr>
        <w:lastRenderedPageBreak/>
        <w:t xml:space="preserve">Así mismo, dentro de este contexto </w:t>
      </w:r>
      <w:r w:rsidRPr="002740EA">
        <w:rPr>
          <w:rFonts w:cs="Arial"/>
          <w:szCs w:val="24"/>
        </w:rPr>
        <w:t xml:space="preserve">la Metodología de Marco Lógico (MML) es una herramienta que facilita el proceso de conceptualización, diseño, ejecución, monitoreo y evaluación de programas y proyectos. Su uso permite: </w:t>
      </w:r>
    </w:p>
    <w:p w14:paraId="5D4FC534" w14:textId="560F4230" w:rsidR="007E7FCC" w:rsidRPr="002740EA" w:rsidRDefault="00023141" w:rsidP="004C0679">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Presentar de forma sistemática y lógica los objetivos de un programa y sus </w:t>
      </w:r>
    </w:p>
    <w:p w14:paraId="1B3A646E" w14:textId="71714483" w:rsidR="00023141" w:rsidRPr="002740EA" w:rsidRDefault="00023141" w:rsidP="00DD5CDC">
      <w:pPr>
        <w:pStyle w:val="Prrafodelista"/>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relaciones de causalidad; </w:t>
      </w:r>
    </w:p>
    <w:p w14:paraId="42306698" w14:textId="45DC43EB" w:rsidR="007E7FCC" w:rsidRPr="002740EA" w:rsidRDefault="00023141" w:rsidP="004C0679">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Identificar y definir los factores externos al programa que pueden influir en </w:t>
      </w:r>
      <w:r w:rsidR="007E7FCC" w:rsidRPr="002740EA">
        <w:rPr>
          <w:rFonts w:cs="Arial"/>
          <w:color w:val="000000" w:themeColor="text1"/>
          <w:szCs w:val="24"/>
          <w:shd w:val="clear" w:color="auto" w:fill="FFFFFF"/>
        </w:rPr>
        <w:t xml:space="preserve">   </w:t>
      </w:r>
    </w:p>
    <w:p w14:paraId="2A2B80D1" w14:textId="291243F7" w:rsidR="00023141" w:rsidRPr="002740EA" w:rsidRDefault="00023141" w:rsidP="00DD5CDC">
      <w:pPr>
        <w:pStyle w:val="Prrafodelista"/>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el cumplimiento de los objetivos; </w:t>
      </w:r>
    </w:p>
    <w:p w14:paraId="4CACD376" w14:textId="27973A91" w:rsidR="009B1E56" w:rsidRPr="002740EA" w:rsidRDefault="00023141" w:rsidP="004C0679">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Evaluar el avance en la consecución de los objetivos, así como examinar </w:t>
      </w:r>
      <w:r w:rsidR="009B1E56" w:rsidRPr="002740EA">
        <w:rPr>
          <w:rFonts w:cs="Arial"/>
          <w:color w:val="000000" w:themeColor="text1"/>
          <w:szCs w:val="24"/>
          <w:shd w:val="clear" w:color="auto" w:fill="FFFFFF"/>
        </w:rPr>
        <w:t xml:space="preserve">  </w:t>
      </w:r>
    </w:p>
    <w:p w14:paraId="3EF7F5A3" w14:textId="49E8ABB2" w:rsidR="00023141" w:rsidRPr="002740EA" w:rsidRDefault="00023141" w:rsidP="00DD5CDC">
      <w:pPr>
        <w:pStyle w:val="Prrafodelista"/>
        <w:spacing w:after="160"/>
        <w:jc w:val="both"/>
        <w:rPr>
          <w:rFonts w:cs="Arial"/>
          <w:szCs w:val="24"/>
        </w:rPr>
      </w:pPr>
      <w:r w:rsidRPr="002740EA">
        <w:rPr>
          <w:rFonts w:cs="Arial"/>
          <w:color w:val="000000" w:themeColor="text1"/>
          <w:szCs w:val="24"/>
          <w:shd w:val="clear" w:color="auto" w:fill="FFFFFF"/>
        </w:rPr>
        <w:t>el desempeño</w:t>
      </w:r>
      <w:r w:rsidRPr="002740EA">
        <w:rPr>
          <w:rFonts w:cs="Arial"/>
          <w:szCs w:val="24"/>
        </w:rPr>
        <w:t xml:space="preserve"> del programa en todas sus etapas.</w:t>
      </w:r>
    </w:p>
    <w:p w14:paraId="499755B1" w14:textId="338E72C0" w:rsidR="00023141" w:rsidRPr="002740EA" w:rsidRDefault="00023141" w:rsidP="000C6B37">
      <w:pPr>
        <w:autoSpaceDE w:val="0"/>
        <w:autoSpaceDN w:val="0"/>
        <w:adjustRightInd w:val="0"/>
        <w:spacing w:after="0" w:line="276" w:lineRule="auto"/>
        <w:jc w:val="both"/>
        <w:rPr>
          <w:rFonts w:cs="Arial"/>
          <w:szCs w:val="24"/>
        </w:rPr>
      </w:pPr>
      <w:r w:rsidRPr="002740EA">
        <w:rPr>
          <w:rFonts w:cs="Arial"/>
          <w:szCs w:val="24"/>
        </w:rPr>
        <w:t>La Matriz de Indicadores para Resultados (MIR) es una herramienta que permite vincular, los distintos instrumentos para el diseño, organización, ejecución, seguimiento, evaluación, y mejora de los programas, resultado de un proceso de planeación realizado con base en la Metodología de Marco Lógico</w:t>
      </w:r>
      <w:r w:rsidRPr="002740EA">
        <w:rPr>
          <w:rStyle w:val="Refdenotaalpie"/>
          <w:rFonts w:cs="Arial"/>
          <w:szCs w:val="24"/>
        </w:rPr>
        <w:footnoteReference w:id="1"/>
      </w:r>
      <w:r w:rsidR="00802DC4" w:rsidRPr="002740EA">
        <w:rPr>
          <w:rFonts w:cs="Arial"/>
          <w:szCs w:val="24"/>
        </w:rPr>
        <w:t>.</w:t>
      </w:r>
    </w:p>
    <w:p w14:paraId="4DBF3B38" w14:textId="77777777" w:rsidR="00023141" w:rsidRPr="002740EA" w:rsidRDefault="00023141" w:rsidP="000C6B37">
      <w:pPr>
        <w:autoSpaceDE w:val="0"/>
        <w:autoSpaceDN w:val="0"/>
        <w:adjustRightInd w:val="0"/>
        <w:spacing w:after="0" w:line="276" w:lineRule="auto"/>
        <w:jc w:val="both"/>
        <w:rPr>
          <w:rFonts w:cs="Arial"/>
          <w:szCs w:val="24"/>
        </w:rPr>
      </w:pPr>
    </w:p>
    <w:p w14:paraId="18EBAC49" w14:textId="77777777" w:rsidR="00142354" w:rsidRPr="002740EA" w:rsidRDefault="00023141" w:rsidP="000C6B37">
      <w:pPr>
        <w:spacing w:after="0" w:line="276" w:lineRule="auto"/>
        <w:jc w:val="both"/>
        <w:rPr>
          <w:rFonts w:cs="Arial"/>
          <w:szCs w:val="24"/>
        </w:rPr>
      </w:pPr>
      <w:r w:rsidRPr="002740EA">
        <w:rPr>
          <w:rFonts w:cs="Arial"/>
          <w:szCs w:val="24"/>
        </w:rPr>
        <w:t xml:space="preserve">Desde la perspectiva igualitaria de oportunidades administrativas y de responsabilidad hacendaria, la metodología de Presupuesto con base en Resultados que aplicará el presente gobierno a través del </w:t>
      </w:r>
      <w:r w:rsidRPr="002740EA">
        <w:rPr>
          <w:rFonts w:cs="Arial"/>
        </w:rPr>
        <w:t>Plan Estatal de Desarrollo (</w:t>
      </w:r>
      <w:r w:rsidRPr="002740EA">
        <w:rPr>
          <w:rFonts w:cs="Arial"/>
          <w:szCs w:val="24"/>
        </w:rPr>
        <w:t>PED) propone enfrentar la asignación irracional e inercial del gasto público, cambiar la verticalidad de las decisiones en materia de planeación y gestión gubernamental, reforzar los esquemas de transparencia y rendición de cuentas, pero ante todo, coadyuvar para que el gobierno estatal, en coordinación con los otros órdenes de gobierno sean aliados de los ciudadanos en el diseño y aplicación de políticas públicas orientadas a la generación de valor público</w:t>
      </w:r>
      <w:r w:rsidRPr="002740EA">
        <w:rPr>
          <w:rFonts w:cs="Arial"/>
          <w:szCs w:val="24"/>
          <w:vertAlign w:val="superscript"/>
        </w:rPr>
        <w:footnoteReference w:id="2"/>
      </w:r>
      <w:r w:rsidR="009240F3" w:rsidRPr="002740EA">
        <w:rPr>
          <w:rFonts w:cs="Arial"/>
          <w:szCs w:val="24"/>
        </w:rPr>
        <w:t>.</w:t>
      </w:r>
      <w:r w:rsidR="00B753D4" w:rsidRPr="002740EA">
        <w:rPr>
          <w:rFonts w:cs="Arial"/>
          <w:szCs w:val="24"/>
        </w:rPr>
        <w:t xml:space="preserve"> </w:t>
      </w:r>
    </w:p>
    <w:p w14:paraId="0919DF3E" w14:textId="77777777" w:rsidR="00142354" w:rsidRPr="002740EA" w:rsidRDefault="00142354" w:rsidP="000C6B37">
      <w:pPr>
        <w:spacing w:after="0" w:line="276" w:lineRule="auto"/>
        <w:jc w:val="both"/>
        <w:rPr>
          <w:rFonts w:cs="Arial"/>
          <w:szCs w:val="24"/>
        </w:rPr>
      </w:pPr>
    </w:p>
    <w:p w14:paraId="5A3798C7" w14:textId="6363DCC8" w:rsidR="00023141" w:rsidRPr="002740EA" w:rsidRDefault="00023141" w:rsidP="000C6B37">
      <w:pPr>
        <w:spacing w:after="0" w:line="276" w:lineRule="auto"/>
        <w:jc w:val="both"/>
        <w:rPr>
          <w:rFonts w:cs="Arial"/>
          <w:szCs w:val="24"/>
        </w:rPr>
      </w:pPr>
      <w:r w:rsidRPr="002740EA">
        <w:rPr>
          <w:rFonts w:cs="Arial"/>
          <w:szCs w:val="24"/>
        </w:rPr>
        <w:t>Quintana Roo enfrenta un contexto complejo ante la fragilidad de los sistemas de planeación, programación, seguimiento, evaluación y control, vinculado a la ausencia de técnicas, que en conjunto obligan a la revisión minuciosa de la acción gubernamental; esta situación ha generado que los errores cometidos históricamente sean expuestos en la vitrina pública del contexto nacional</w:t>
      </w:r>
      <w:r w:rsidRPr="002740EA">
        <w:rPr>
          <w:rStyle w:val="Refdenotaalpie"/>
          <w:rFonts w:cs="Arial"/>
          <w:szCs w:val="24"/>
        </w:rPr>
        <w:footnoteReference w:id="3"/>
      </w:r>
      <w:r w:rsidRPr="002740EA">
        <w:rPr>
          <w:rFonts w:cs="Arial"/>
          <w:szCs w:val="24"/>
        </w:rPr>
        <w:t>.</w:t>
      </w:r>
    </w:p>
    <w:p w14:paraId="21ECE149" w14:textId="1322AB10" w:rsidR="00023141" w:rsidRPr="002740EA" w:rsidRDefault="00023141" w:rsidP="000C6B37">
      <w:pPr>
        <w:spacing w:after="0" w:line="276" w:lineRule="auto"/>
        <w:jc w:val="both"/>
        <w:rPr>
          <w:rFonts w:cs="Arial"/>
          <w:szCs w:val="24"/>
        </w:rPr>
      </w:pPr>
      <w:r w:rsidRPr="002740EA">
        <w:rPr>
          <w:rFonts w:cs="Arial"/>
          <w:szCs w:val="24"/>
        </w:rPr>
        <w:lastRenderedPageBreak/>
        <w:t>El modelo de gobierno de la administración 2016-2022 está sustentado en la Gestión para Resultados (</w:t>
      </w:r>
      <w:r w:rsidR="00D51E1F" w:rsidRPr="002740EA">
        <w:rPr>
          <w:rFonts w:cs="Arial"/>
          <w:szCs w:val="24"/>
        </w:rPr>
        <w:t>GpR), dando pauta a consolidar a</w:t>
      </w:r>
      <w:r w:rsidRPr="002740EA">
        <w:rPr>
          <w:rFonts w:cs="Arial"/>
          <w:szCs w:val="24"/>
        </w:rPr>
        <w:t>l Presupuesto basado en Resultados (P</w:t>
      </w:r>
      <w:r w:rsidR="00004828" w:rsidRPr="002740EA">
        <w:rPr>
          <w:rFonts w:cs="Arial"/>
          <w:szCs w:val="24"/>
        </w:rPr>
        <w:t>bR) y al Sistema de Evaluación del</w:t>
      </w:r>
      <w:r w:rsidRPr="002740EA">
        <w:rPr>
          <w:rFonts w:cs="Arial"/>
          <w:szCs w:val="24"/>
        </w:rPr>
        <w:t xml:space="preserve"> Desempeño (SED), de una manera operable al integrar los resultados para la toma de decisiones del proceso de programación, presupuestario, seguimiento, evaluación, control, rendición de cuentas y transparencia al interior y exterior de la administración pública</w:t>
      </w:r>
      <w:r w:rsidRPr="002740EA">
        <w:rPr>
          <w:rStyle w:val="Refdenotaalpie"/>
          <w:rFonts w:cs="Arial"/>
          <w:szCs w:val="24"/>
        </w:rPr>
        <w:footnoteReference w:id="4"/>
      </w:r>
      <w:r w:rsidRPr="002740EA">
        <w:rPr>
          <w:rFonts w:cs="Arial"/>
          <w:szCs w:val="24"/>
        </w:rPr>
        <w:t>.</w:t>
      </w:r>
    </w:p>
    <w:p w14:paraId="5C5E502C" w14:textId="77777777" w:rsidR="00B81231" w:rsidRPr="002740EA" w:rsidRDefault="00B81231" w:rsidP="000C6B37">
      <w:pPr>
        <w:spacing w:after="0" w:line="276" w:lineRule="auto"/>
        <w:jc w:val="both"/>
        <w:rPr>
          <w:rFonts w:cs="Arial"/>
          <w:szCs w:val="24"/>
        </w:rPr>
      </w:pPr>
    </w:p>
    <w:p w14:paraId="178B82F1" w14:textId="10230E6A" w:rsidR="00023141" w:rsidRDefault="00023141" w:rsidP="00536110">
      <w:pPr>
        <w:spacing w:after="0" w:line="276" w:lineRule="auto"/>
        <w:jc w:val="both"/>
        <w:rPr>
          <w:rFonts w:cs="Arial"/>
          <w:szCs w:val="24"/>
        </w:rPr>
      </w:pPr>
      <w:r w:rsidRPr="002740EA">
        <w:rPr>
          <w:rFonts w:cs="Arial"/>
          <w:szCs w:val="24"/>
        </w:rPr>
        <w:t xml:space="preserve">La </w:t>
      </w:r>
      <w:r w:rsidR="00583CE8" w:rsidRPr="002740EA">
        <w:rPr>
          <w:rFonts w:cs="Arial"/>
          <w:b/>
          <w:szCs w:val="24"/>
        </w:rPr>
        <w:t xml:space="preserve">Universidad de Quintana Roo </w:t>
      </w:r>
      <w:r w:rsidRPr="002740EA">
        <w:rPr>
          <w:rFonts w:cs="Arial"/>
          <w:szCs w:val="24"/>
        </w:rPr>
        <w:t>(UQROO)</w:t>
      </w:r>
      <w:r w:rsidR="00072888" w:rsidRPr="002740EA">
        <w:rPr>
          <w:rFonts w:cs="Arial"/>
          <w:szCs w:val="24"/>
        </w:rPr>
        <w:t>,</w:t>
      </w:r>
      <w:r w:rsidRPr="002740EA">
        <w:rPr>
          <w:rFonts w:cs="Arial"/>
          <w:szCs w:val="24"/>
        </w:rPr>
        <w:t xml:space="preserve"> </w:t>
      </w:r>
      <w:r w:rsidR="00333FAD" w:rsidRPr="002740EA">
        <w:rPr>
          <w:rFonts w:cs="Arial"/>
          <w:shd w:val="clear" w:color="auto" w:fill="FFFFFF"/>
        </w:rPr>
        <w:t xml:space="preserve">es una </w:t>
      </w:r>
      <w:r w:rsidR="00333FAD" w:rsidRPr="002740EA">
        <w:rPr>
          <w:rFonts w:cs="Arial"/>
        </w:rPr>
        <w:t xml:space="preserve">Institución Pública de Educación Superior con carácter de </w:t>
      </w:r>
      <w:r w:rsidRPr="002740EA">
        <w:rPr>
          <w:rFonts w:cs="Arial"/>
          <w:szCs w:val="24"/>
        </w:rPr>
        <w:t>Organismo Público Descentralizado de la Administración Pública Paraestatal del Estado de Quintana Roo, con personalidad jurídica y patrimonios propios</w:t>
      </w:r>
      <w:r w:rsidRPr="002740EA">
        <w:rPr>
          <w:rStyle w:val="Refdenotaalpie"/>
          <w:rFonts w:cs="Arial"/>
          <w:szCs w:val="24"/>
        </w:rPr>
        <w:footnoteReference w:id="5"/>
      </w:r>
      <w:r w:rsidRPr="002740EA">
        <w:rPr>
          <w:rFonts w:cs="Arial"/>
          <w:szCs w:val="24"/>
        </w:rPr>
        <w:t>. Creada en 1991 con un modelo educativo novedoso, tiene como eje principal el proceso enseñanza-aprendizaje enfocado al estudiante, donde el personal docente universitario facilita, promueve y supervisa este proceso. La administración académica y la formación integral del estudiante se enfocan al aprendizaje autónomo con una estructura curricular flexible</w:t>
      </w:r>
      <w:r w:rsidRPr="002740EA">
        <w:rPr>
          <w:rStyle w:val="Refdenotaalpie"/>
          <w:rFonts w:cs="Arial"/>
          <w:szCs w:val="24"/>
        </w:rPr>
        <w:footnoteReference w:id="6"/>
      </w:r>
      <w:r w:rsidRPr="002740EA">
        <w:rPr>
          <w:rFonts w:cs="Arial"/>
          <w:szCs w:val="24"/>
        </w:rPr>
        <w:t>.</w:t>
      </w:r>
    </w:p>
    <w:p w14:paraId="2BECA671" w14:textId="77777777" w:rsidR="00536110" w:rsidRPr="002740EA" w:rsidRDefault="00536110" w:rsidP="00536110">
      <w:pPr>
        <w:spacing w:after="0" w:line="276" w:lineRule="auto"/>
        <w:jc w:val="both"/>
        <w:rPr>
          <w:rFonts w:cs="Arial"/>
          <w:szCs w:val="24"/>
        </w:rPr>
      </w:pPr>
    </w:p>
    <w:p w14:paraId="5E2B0DB9" w14:textId="77777777" w:rsidR="00023141" w:rsidRPr="002740EA" w:rsidRDefault="00023141" w:rsidP="000C6B37">
      <w:pPr>
        <w:spacing w:line="276" w:lineRule="auto"/>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El artículo 7 del Decreto de creación, establece que, para el cumplimiento de su objeto la </w:t>
      </w:r>
      <w:r w:rsidRPr="002740EA">
        <w:rPr>
          <w:rFonts w:cs="Arial"/>
          <w:b/>
          <w:color w:val="000000" w:themeColor="text1"/>
          <w:szCs w:val="24"/>
          <w:shd w:val="clear" w:color="auto" w:fill="FFFFFF"/>
        </w:rPr>
        <w:t>Universidad de Quintana Roo,</w:t>
      </w:r>
      <w:r w:rsidRPr="002740EA">
        <w:rPr>
          <w:rFonts w:cs="Arial"/>
          <w:color w:val="000000" w:themeColor="text1"/>
          <w:szCs w:val="24"/>
          <w:shd w:val="clear" w:color="auto" w:fill="FFFFFF"/>
        </w:rPr>
        <w:t xml:space="preserve"> tendrá, entre otras, las facultades siguientes:</w:t>
      </w:r>
    </w:p>
    <w:p w14:paraId="58CC5FCE" w14:textId="77777777" w:rsidR="005D64A1" w:rsidRPr="002740EA" w:rsidRDefault="00023141" w:rsidP="000C6B37">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Planear, programar y ejecutar actividades de enseñanza, investigación, desarrollo de conocimientos y creación artística, conforme al principio de pleno r</w:t>
      </w:r>
      <w:r w:rsidR="005D64A1" w:rsidRPr="002740EA">
        <w:rPr>
          <w:rFonts w:cs="Arial"/>
          <w:color w:val="000000" w:themeColor="text1"/>
          <w:szCs w:val="24"/>
          <w:shd w:val="clear" w:color="auto" w:fill="FFFFFF"/>
        </w:rPr>
        <w:t>espeto a la libertad académica.</w:t>
      </w:r>
    </w:p>
    <w:p w14:paraId="6BE4446E" w14:textId="0548E6D6" w:rsidR="00023141" w:rsidRPr="002740EA" w:rsidRDefault="00023141" w:rsidP="000C6B37">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Expedir certificados de conocimientos y estudios y otorgar diplomas, títulos y grados académicos a quienes cubran satisfactoriamente las exigencias de los planes de estudio aprobados y operados por la Universidad, y proporcionar acreditación académica a quienes demuestren los conocimientos pertinentes, independientemente de que los hayan adquirido mediante ecuación formal, experiencia profesional o autoformación;</w:t>
      </w:r>
    </w:p>
    <w:p w14:paraId="2F22320A" w14:textId="77777777" w:rsidR="00023141" w:rsidRPr="002740EA" w:rsidRDefault="00023141" w:rsidP="000C6B37">
      <w:pPr>
        <w:pStyle w:val="Prrafodelista"/>
        <w:numPr>
          <w:ilvl w:val="0"/>
          <w:numId w:val="3"/>
        </w:numPr>
        <w:spacing w:after="160"/>
        <w:jc w:val="both"/>
        <w:rPr>
          <w:rFonts w:cs="Arial"/>
          <w:szCs w:val="24"/>
        </w:rPr>
      </w:pPr>
      <w:r w:rsidRPr="002740EA">
        <w:rPr>
          <w:rFonts w:cs="Arial"/>
          <w:szCs w:val="24"/>
        </w:rPr>
        <w:t xml:space="preserve">Administrar su patrimonio y sus recursos económicos y allegarse ingresos, rindiendo cuentas periódicas de ellos ante los universitarios, la sociedad y el Estado [..]. </w:t>
      </w:r>
    </w:p>
    <w:p w14:paraId="4DE669B2" w14:textId="77777777" w:rsidR="00023141" w:rsidRPr="002740EA" w:rsidRDefault="00023141" w:rsidP="000C6B37">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lastRenderedPageBreak/>
        <w:t>Formular las reglas de rendimiento y de derechos y deberes de sus alumnos, personal académico, autoridades y funcionarios, así como las que atiendan la interacción lícita entre ellos y</w:t>
      </w:r>
    </w:p>
    <w:p w14:paraId="1B71B71F" w14:textId="77777777" w:rsidR="00023141" w:rsidRPr="002740EA" w:rsidRDefault="00023141" w:rsidP="000C6B37">
      <w:pPr>
        <w:pStyle w:val="Prrafodelista"/>
        <w:numPr>
          <w:ilvl w:val="0"/>
          <w:numId w:val="3"/>
        </w:numPr>
        <w:spacing w:after="160"/>
        <w:jc w:val="both"/>
        <w:rPr>
          <w:rFonts w:cs="Arial"/>
          <w:color w:val="000000" w:themeColor="text1"/>
          <w:szCs w:val="24"/>
          <w:shd w:val="clear" w:color="auto" w:fill="FFFFFF"/>
        </w:rPr>
      </w:pPr>
      <w:r w:rsidRPr="002740EA">
        <w:rPr>
          <w:rFonts w:cs="Arial"/>
          <w:color w:val="000000" w:themeColor="text1"/>
          <w:szCs w:val="24"/>
          <w:shd w:val="clear" w:color="auto" w:fill="FFFFFF"/>
        </w:rPr>
        <w:t xml:space="preserve">Ejecutar toda clase de actos jurídicos que requiera para el logro de su objeto </w:t>
      </w:r>
    </w:p>
    <w:p w14:paraId="748AD17D" w14:textId="77777777" w:rsidR="00023141" w:rsidRPr="002740EA" w:rsidRDefault="00023141" w:rsidP="000C6B37">
      <w:pPr>
        <w:pStyle w:val="Prrafodelista"/>
        <w:spacing w:after="0"/>
        <w:jc w:val="both"/>
        <w:rPr>
          <w:rFonts w:cs="Arial"/>
          <w:color w:val="000000" w:themeColor="text1"/>
          <w:szCs w:val="24"/>
          <w:shd w:val="clear" w:color="auto" w:fill="FFFFFF"/>
        </w:rPr>
      </w:pPr>
      <w:r w:rsidRPr="002740EA">
        <w:rPr>
          <w:rFonts w:cs="Arial"/>
          <w:color w:val="000000" w:themeColor="text1"/>
          <w:szCs w:val="24"/>
          <w:shd w:val="clear" w:color="auto" w:fill="FFFFFF"/>
        </w:rPr>
        <w:t>y tareas institucionales</w:t>
      </w:r>
      <w:r w:rsidRPr="002740EA">
        <w:rPr>
          <w:rStyle w:val="Refdenotaalpie"/>
          <w:rFonts w:cs="Arial"/>
          <w:color w:val="000000" w:themeColor="text1"/>
          <w:szCs w:val="24"/>
          <w:shd w:val="clear" w:color="auto" w:fill="FFFFFF"/>
        </w:rPr>
        <w:footnoteReference w:id="7"/>
      </w:r>
      <w:r w:rsidRPr="002740EA">
        <w:rPr>
          <w:rFonts w:cs="Arial"/>
          <w:color w:val="000000" w:themeColor="text1"/>
          <w:szCs w:val="24"/>
          <w:shd w:val="clear" w:color="auto" w:fill="FFFFFF"/>
        </w:rPr>
        <w:t>.</w:t>
      </w:r>
      <w:r w:rsidRPr="002740EA">
        <w:rPr>
          <w:rFonts w:cs="Arial"/>
          <w:color w:val="000000" w:themeColor="text1"/>
          <w:szCs w:val="24"/>
          <w:shd w:val="clear" w:color="auto" w:fill="FFFFFF"/>
        </w:rPr>
        <w:cr/>
      </w:r>
    </w:p>
    <w:p w14:paraId="0C938F37" w14:textId="144263DE" w:rsidR="00023141" w:rsidRPr="002740EA" w:rsidRDefault="00023141" w:rsidP="000C6B37">
      <w:pPr>
        <w:spacing w:after="0" w:line="276" w:lineRule="auto"/>
        <w:jc w:val="both"/>
        <w:rPr>
          <w:rFonts w:cs="Arial"/>
          <w:szCs w:val="24"/>
        </w:rPr>
      </w:pPr>
      <w:r w:rsidRPr="002740EA">
        <w:rPr>
          <w:rFonts w:cs="Arial"/>
          <w:szCs w:val="24"/>
        </w:rPr>
        <w:t xml:space="preserve"> La</w:t>
      </w:r>
      <w:r w:rsidRPr="002740EA">
        <w:rPr>
          <w:rFonts w:cs="Arial"/>
          <w:b/>
          <w:szCs w:val="24"/>
        </w:rPr>
        <w:t xml:space="preserve"> Universidad de Quintana Roo</w:t>
      </w:r>
      <w:r w:rsidRPr="002740EA">
        <w:rPr>
          <w:rFonts w:cs="Arial"/>
          <w:szCs w:val="24"/>
        </w:rPr>
        <w:t xml:space="preserve"> tiene como misión el formar profesionistas comprometidos con el progreso del ser humano, a través de un modelo educativo integral que fomente y desarrolle valores, actitudes y habilidades que les permita integrarse al desarrollo social, y económico en un entorno competitivo; generar y aplicar conocimientos innovadores útiles a la sociedad a través de una vigorosa vinculación; preservar los acervos científicos, culturales y naturales; intercambiar conocimientos y recursos con instituciones nacionales e internacionales para aprovechar las oportunidades generadas en el mundo, con la firme intención de contribuir al desarrollo social y económico, así como al fortalecimiento de la cultura de Quintana Roo y México</w:t>
      </w:r>
      <w:r w:rsidRPr="002740EA">
        <w:rPr>
          <w:rStyle w:val="Refdenotaalpie"/>
          <w:rFonts w:cs="Arial"/>
          <w:szCs w:val="24"/>
        </w:rPr>
        <w:footnoteReference w:id="8"/>
      </w:r>
      <w:r w:rsidRPr="002740EA">
        <w:rPr>
          <w:rFonts w:cs="Arial"/>
          <w:szCs w:val="24"/>
        </w:rPr>
        <w:t xml:space="preserve">. </w:t>
      </w:r>
    </w:p>
    <w:p w14:paraId="51FDF904" w14:textId="77777777" w:rsidR="007F1AC8" w:rsidRPr="002740EA" w:rsidRDefault="007F1AC8" w:rsidP="000C6B37">
      <w:pPr>
        <w:spacing w:after="0" w:line="276" w:lineRule="auto"/>
        <w:jc w:val="both"/>
        <w:rPr>
          <w:rFonts w:cs="Arial"/>
          <w:szCs w:val="24"/>
        </w:rPr>
      </w:pPr>
    </w:p>
    <w:p w14:paraId="13E9EC8D" w14:textId="4E60F85E" w:rsidR="00023141" w:rsidRPr="002740EA" w:rsidRDefault="00023141" w:rsidP="00740D21">
      <w:pPr>
        <w:spacing w:after="0" w:line="276" w:lineRule="auto"/>
        <w:jc w:val="both"/>
        <w:rPr>
          <w:rFonts w:cs="Arial"/>
          <w:color w:val="000000" w:themeColor="text1"/>
          <w:szCs w:val="24"/>
        </w:rPr>
      </w:pPr>
      <w:r w:rsidRPr="002740EA">
        <w:rPr>
          <w:rFonts w:cs="Arial"/>
          <w:szCs w:val="24"/>
        </w:rPr>
        <w:t>Dentro de este marco, se plantea que, de acuerdo con la información Programática Presupuestaria del Presupuesto de Egresos del Estado de Quintana Roo para el Ejercicio Fiscal 2020, las erogaciones de la</w:t>
      </w:r>
      <w:r w:rsidRPr="002740EA">
        <w:rPr>
          <w:rFonts w:cs="Arial"/>
          <w:b/>
          <w:szCs w:val="24"/>
        </w:rPr>
        <w:t xml:space="preserve"> Universidad de Quintana Roo</w:t>
      </w:r>
      <w:r w:rsidRPr="002740EA">
        <w:rPr>
          <w:rFonts w:cs="Arial"/>
          <w:szCs w:val="24"/>
        </w:rPr>
        <w:t xml:space="preserve"> fueron por</w:t>
      </w:r>
      <w:r w:rsidRPr="002740EA">
        <w:rPr>
          <w:rFonts w:cs="Arial"/>
          <w:b/>
          <w:szCs w:val="24"/>
        </w:rPr>
        <w:t xml:space="preserve"> </w:t>
      </w:r>
      <w:r w:rsidRPr="002740EA">
        <w:rPr>
          <w:rFonts w:cs="Arial"/>
          <w:szCs w:val="24"/>
        </w:rPr>
        <w:t xml:space="preserve">$449,327,342.00 (Cuatrocientos cuarenta y nueve millones trecientos veintisiete mil trecientos cuarenta y dos pesos 00/100 M.N), para la operación de los Programas Presupuestarios </w:t>
      </w:r>
      <w:r w:rsidRPr="002740EA">
        <w:rPr>
          <w:rFonts w:cs="Arial"/>
          <w:color w:val="000000" w:themeColor="text1"/>
          <w:szCs w:val="24"/>
        </w:rPr>
        <w:t>E103-Educación Superior y M001-Gestión y Apoyo Institucional</w:t>
      </w:r>
      <w:r w:rsidR="00F47B63" w:rsidRPr="002740EA">
        <w:rPr>
          <w:rStyle w:val="Refdenotaalpie"/>
          <w:rFonts w:cs="Arial"/>
          <w:color w:val="000000" w:themeColor="text1"/>
          <w:szCs w:val="24"/>
        </w:rPr>
        <w:footnoteReference w:id="9"/>
      </w:r>
      <w:r w:rsidRPr="002740EA">
        <w:rPr>
          <w:rFonts w:cs="Arial"/>
          <w:szCs w:val="24"/>
        </w:rPr>
        <w:t>.</w:t>
      </w:r>
    </w:p>
    <w:p w14:paraId="1024A036" w14:textId="118B4FA5" w:rsidR="00023141" w:rsidRPr="002740EA" w:rsidRDefault="005F0081" w:rsidP="00740D21">
      <w:pPr>
        <w:spacing w:before="240" w:after="0" w:line="276" w:lineRule="auto"/>
        <w:jc w:val="both"/>
        <w:rPr>
          <w:rFonts w:cs="Arial"/>
          <w:b/>
          <w:szCs w:val="24"/>
        </w:rPr>
      </w:pPr>
      <w:r>
        <w:rPr>
          <w:rFonts w:cs="Arial"/>
          <w:szCs w:val="24"/>
        </w:rPr>
        <w:t>Bajo el contexto anterior, la a</w:t>
      </w:r>
      <w:r w:rsidR="00023141" w:rsidRPr="002740EA">
        <w:rPr>
          <w:rFonts w:cs="Arial"/>
          <w:szCs w:val="24"/>
        </w:rPr>
        <w:t>u</w:t>
      </w:r>
      <w:r>
        <w:rPr>
          <w:rFonts w:cs="Arial"/>
          <w:szCs w:val="24"/>
        </w:rPr>
        <w:t>ditoría de d</w:t>
      </w:r>
      <w:r w:rsidR="00A11E63" w:rsidRPr="002740EA">
        <w:rPr>
          <w:rFonts w:cs="Arial"/>
          <w:szCs w:val="24"/>
        </w:rPr>
        <w:t>esempeño realizada</w:t>
      </w:r>
      <w:r w:rsidR="00023141" w:rsidRPr="002740EA">
        <w:rPr>
          <w:rFonts w:cs="Arial"/>
          <w:szCs w:val="24"/>
        </w:rPr>
        <w:t xml:space="preserve"> a las “</w:t>
      </w:r>
      <w:r w:rsidR="00023141" w:rsidRPr="002740EA">
        <w:rPr>
          <w:rFonts w:cs="Arial"/>
          <w:b/>
          <w:szCs w:val="24"/>
        </w:rPr>
        <w:t>Matrices de Indicadores para Resultados”</w:t>
      </w:r>
      <w:r w:rsidR="00023141" w:rsidRPr="002740EA">
        <w:rPr>
          <w:rFonts w:cs="Arial"/>
          <w:szCs w:val="24"/>
        </w:rPr>
        <w:t xml:space="preserve">, está orientada a fiscalizar el marco normativo, la política de integridad, las Matrices de Indicadores para Resultados de los Programas Presupuestarios, de acuerdo con la Metodología del Marco Lógico, y la </w:t>
      </w:r>
      <w:r w:rsidR="0058454C" w:rsidRPr="002740EA">
        <w:rPr>
          <w:szCs w:val="24"/>
        </w:rPr>
        <w:t>capaci</w:t>
      </w:r>
      <w:r w:rsidR="00AB24C8" w:rsidRPr="002740EA">
        <w:rPr>
          <w:szCs w:val="24"/>
        </w:rPr>
        <w:t xml:space="preserve">tación </w:t>
      </w:r>
      <w:r w:rsidR="00AB24C8" w:rsidRPr="002740EA">
        <w:rPr>
          <w:rFonts w:cs="Arial"/>
        </w:rPr>
        <w:t>de los servidores públicos</w:t>
      </w:r>
      <w:r w:rsidR="0058454C" w:rsidRPr="002740EA">
        <w:rPr>
          <w:szCs w:val="24"/>
        </w:rPr>
        <w:t xml:space="preserve"> en materia de Presupuesto Basado en Resultados</w:t>
      </w:r>
      <w:r w:rsidR="00AA24E7" w:rsidRPr="002740EA">
        <w:rPr>
          <w:rFonts w:cs="Arial"/>
          <w:szCs w:val="24"/>
        </w:rPr>
        <w:t xml:space="preserve"> (PbR), Sistema de Evaluación del</w:t>
      </w:r>
      <w:r w:rsidR="0058454C" w:rsidRPr="002740EA">
        <w:rPr>
          <w:rFonts w:cs="Arial"/>
          <w:szCs w:val="24"/>
        </w:rPr>
        <w:t xml:space="preserve"> Desempeño (SED),</w:t>
      </w:r>
      <w:r w:rsidR="0058454C" w:rsidRPr="002740EA">
        <w:rPr>
          <w:szCs w:val="24"/>
        </w:rPr>
        <w:t xml:space="preserve"> Matriz de Indicadores para Resultados (MIR) y Metodología del Marco Lógico (MML)</w:t>
      </w:r>
      <w:r w:rsidR="00023141" w:rsidRPr="002740EA">
        <w:rPr>
          <w:rFonts w:cs="Arial"/>
          <w:szCs w:val="24"/>
        </w:rPr>
        <w:t xml:space="preserve">, a cargo de </w:t>
      </w:r>
      <w:r w:rsidR="00023141" w:rsidRPr="002740EA">
        <w:rPr>
          <w:rFonts w:cs="Arial"/>
          <w:b/>
          <w:szCs w:val="24"/>
        </w:rPr>
        <w:t>la Universidad de Quintana Roo.</w:t>
      </w:r>
    </w:p>
    <w:p w14:paraId="3314107B" w14:textId="76574FAC" w:rsidR="00066DA8" w:rsidRPr="002740EA" w:rsidRDefault="003E590D" w:rsidP="000C6B37">
      <w:pPr>
        <w:pStyle w:val="Ttulo2"/>
        <w:spacing w:before="0"/>
      </w:pPr>
      <w:bookmarkStart w:id="4" w:name="_Toc75348442"/>
      <w:r w:rsidRPr="002740EA">
        <w:lastRenderedPageBreak/>
        <w:t>I.2</w:t>
      </w:r>
      <w:r w:rsidR="004376CD" w:rsidRPr="002740EA">
        <w:t xml:space="preserve">. </w:t>
      </w:r>
      <w:r w:rsidR="00066DA8" w:rsidRPr="002740EA">
        <w:t>ASPECTOS GENERALES DE AUDITORÍA</w:t>
      </w:r>
      <w:bookmarkEnd w:id="4"/>
    </w:p>
    <w:p w14:paraId="75A49B7A" w14:textId="77777777" w:rsidR="00066DA8" w:rsidRPr="002740EA" w:rsidRDefault="00066DA8" w:rsidP="000C6B37">
      <w:pPr>
        <w:spacing w:after="0"/>
      </w:pPr>
    </w:p>
    <w:p w14:paraId="677485F1" w14:textId="3F27811D" w:rsidR="0061169F" w:rsidRPr="002740EA" w:rsidRDefault="00C3162C" w:rsidP="00144066">
      <w:pPr>
        <w:pStyle w:val="Ttulo3"/>
        <w:keepNext w:val="0"/>
        <w:keepLines w:val="0"/>
        <w:numPr>
          <w:ilvl w:val="0"/>
          <w:numId w:val="1"/>
        </w:numPr>
        <w:spacing w:before="0" w:line="276" w:lineRule="auto"/>
        <w:jc w:val="both"/>
        <w:rPr>
          <w:rFonts w:ascii="Arial" w:hAnsi="Arial" w:cs="Arial"/>
          <w:b/>
          <w:color w:val="auto"/>
          <w:lang w:eastAsia="es-MX"/>
        </w:rPr>
      </w:pPr>
      <w:bookmarkStart w:id="5" w:name="_Toc11413503"/>
      <w:bookmarkStart w:id="6" w:name="_Toc75348443"/>
      <w:r w:rsidRPr="002740EA">
        <w:rPr>
          <w:rFonts w:ascii="Arial" w:hAnsi="Arial" w:cs="Arial"/>
          <w:b/>
          <w:color w:val="auto"/>
          <w:lang w:eastAsia="es-MX"/>
        </w:rPr>
        <w:t>Título de la auditoría.</w:t>
      </w:r>
      <w:bookmarkEnd w:id="5"/>
      <w:bookmarkEnd w:id="6"/>
    </w:p>
    <w:p w14:paraId="7C436084" w14:textId="77777777" w:rsidR="00D42D59" w:rsidRPr="002740EA" w:rsidRDefault="00D42D59" w:rsidP="000C6B37">
      <w:pPr>
        <w:spacing w:after="0"/>
        <w:rPr>
          <w:lang w:eastAsia="es-MX"/>
        </w:rPr>
      </w:pPr>
    </w:p>
    <w:p w14:paraId="6C308546" w14:textId="75DB3A4C" w:rsidR="00F07CE4" w:rsidRPr="002740EA" w:rsidRDefault="00F06D45" w:rsidP="000C6B37">
      <w:pPr>
        <w:widowControl w:val="0"/>
        <w:autoSpaceDE w:val="0"/>
        <w:autoSpaceDN w:val="0"/>
        <w:adjustRightInd w:val="0"/>
        <w:spacing w:after="0"/>
        <w:jc w:val="both"/>
        <w:rPr>
          <w:rFonts w:cs="Arial"/>
          <w:szCs w:val="24"/>
        </w:rPr>
      </w:pPr>
      <w:r w:rsidRPr="002740EA">
        <w:rPr>
          <w:rFonts w:cs="Arial"/>
          <w:bCs/>
          <w:szCs w:val="24"/>
        </w:rPr>
        <w:t>La audito</w:t>
      </w:r>
      <w:r w:rsidR="005F0081">
        <w:rPr>
          <w:rFonts w:cs="Arial"/>
          <w:bCs/>
          <w:szCs w:val="24"/>
        </w:rPr>
        <w:t>ría que se realizó en materia de</w:t>
      </w:r>
      <w:r w:rsidRPr="002740EA">
        <w:rPr>
          <w:rFonts w:cs="Arial"/>
          <w:bCs/>
          <w:szCs w:val="24"/>
        </w:rPr>
        <w:t xml:space="preserve"> desempeño a la </w:t>
      </w:r>
      <w:r w:rsidRPr="002740EA">
        <w:rPr>
          <w:rFonts w:cs="Arial"/>
          <w:b/>
          <w:bCs/>
          <w:szCs w:val="24"/>
        </w:rPr>
        <w:t>Universidad de Quintana Roo</w:t>
      </w:r>
      <w:r w:rsidRPr="002740EA">
        <w:rPr>
          <w:rFonts w:cs="Arial"/>
          <w:b/>
          <w:bCs/>
          <w:iCs/>
          <w:szCs w:val="24"/>
        </w:rPr>
        <w:t>,</w:t>
      </w:r>
      <w:r w:rsidRPr="002740EA">
        <w:rPr>
          <w:rFonts w:cs="Arial"/>
          <w:szCs w:val="24"/>
        </w:rPr>
        <w:t xml:space="preserve"> de manera especial, y enunciativa mas no limitativa, fue la siguiente:</w:t>
      </w:r>
      <w:r w:rsidR="00AF0850" w:rsidRPr="002740EA">
        <w:rPr>
          <w:rFonts w:cs="Arial"/>
          <w:szCs w:val="24"/>
        </w:rPr>
        <w:t xml:space="preserve"> </w:t>
      </w:r>
    </w:p>
    <w:p w14:paraId="3A3FA018" w14:textId="77777777" w:rsidR="00F07CE4" w:rsidRPr="002740EA" w:rsidRDefault="00F07CE4" w:rsidP="000C6B37">
      <w:pPr>
        <w:pStyle w:val="Prrafodelista"/>
        <w:widowControl w:val="0"/>
        <w:autoSpaceDE w:val="0"/>
        <w:autoSpaceDN w:val="0"/>
        <w:adjustRightInd w:val="0"/>
        <w:spacing w:after="0"/>
        <w:jc w:val="both"/>
        <w:rPr>
          <w:rFonts w:cs="Arial"/>
          <w:szCs w:val="24"/>
        </w:rPr>
      </w:pPr>
    </w:p>
    <w:p w14:paraId="3FDAA35C" w14:textId="6CFC54AE" w:rsidR="0007633B" w:rsidRPr="002740EA" w:rsidRDefault="0007633B" w:rsidP="00AE6FC6">
      <w:pPr>
        <w:widowControl w:val="0"/>
        <w:autoSpaceDE w:val="0"/>
        <w:autoSpaceDN w:val="0"/>
        <w:adjustRightInd w:val="0"/>
        <w:spacing w:after="0"/>
        <w:jc w:val="both"/>
        <w:rPr>
          <w:rFonts w:cs="Arial"/>
          <w:b/>
          <w:szCs w:val="24"/>
        </w:rPr>
      </w:pPr>
      <w:r w:rsidRPr="002740EA">
        <w:rPr>
          <w:rFonts w:cs="Arial"/>
          <w:b/>
          <w:szCs w:val="24"/>
        </w:rPr>
        <w:t>Auditoría al Desempeño de las Matrices</w:t>
      </w:r>
      <w:r w:rsidR="007A15A3" w:rsidRPr="002740EA">
        <w:rPr>
          <w:rFonts w:cs="Arial"/>
          <w:b/>
          <w:szCs w:val="24"/>
        </w:rPr>
        <w:t xml:space="preserve"> de Indicadores para Resultados</w:t>
      </w:r>
      <w:r w:rsidR="004B294D" w:rsidRPr="002740EA">
        <w:rPr>
          <w:rFonts w:cs="Arial"/>
          <w:b/>
          <w:szCs w:val="24"/>
        </w:rPr>
        <w:t xml:space="preserve"> 20-AEMD-A-GOB-048-098</w:t>
      </w:r>
      <w:r w:rsidRPr="002740EA">
        <w:rPr>
          <w:rFonts w:cs="Arial"/>
          <w:b/>
          <w:szCs w:val="24"/>
        </w:rPr>
        <w:t>.</w:t>
      </w:r>
    </w:p>
    <w:p w14:paraId="3BDDFA68" w14:textId="77777777" w:rsidR="002045FB" w:rsidRPr="002740EA" w:rsidRDefault="002045FB" w:rsidP="000C6B37">
      <w:pPr>
        <w:pStyle w:val="Prrafodelista"/>
        <w:widowControl w:val="0"/>
        <w:autoSpaceDE w:val="0"/>
        <w:autoSpaceDN w:val="0"/>
        <w:adjustRightInd w:val="0"/>
        <w:spacing w:after="0"/>
        <w:jc w:val="both"/>
        <w:rPr>
          <w:rFonts w:cs="Arial"/>
          <w:b/>
          <w:szCs w:val="24"/>
        </w:rPr>
      </w:pPr>
    </w:p>
    <w:p w14:paraId="41B9E08E" w14:textId="3844BDC8" w:rsidR="0061169F" w:rsidRPr="002740EA" w:rsidRDefault="00704393" w:rsidP="00144066">
      <w:pPr>
        <w:pStyle w:val="Ttulo3"/>
        <w:keepNext w:val="0"/>
        <w:keepLines w:val="0"/>
        <w:numPr>
          <w:ilvl w:val="0"/>
          <w:numId w:val="1"/>
        </w:numPr>
        <w:spacing w:before="0" w:line="276" w:lineRule="auto"/>
        <w:jc w:val="both"/>
        <w:rPr>
          <w:rFonts w:ascii="Arial" w:hAnsi="Arial" w:cs="Arial"/>
          <w:b/>
          <w:color w:val="auto"/>
          <w:lang w:eastAsia="es-MX"/>
        </w:rPr>
      </w:pPr>
      <w:bookmarkStart w:id="7" w:name="_Toc11413504"/>
      <w:bookmarkStart w:id="8" w:name="_Toc75348444"/>
      <w:r w:rsidRPr="002740EA">
        <w:rPr>
          <w:rFonts w:ascii="Arial" w:hAnsi="Arial" w:cs="Arial"/>
          <w:b/>
          <w:color w:val="auto"/>
          <w:lang w:eastAsia="es-MX"/>
        </w:rPr>
        <w:t>Objetivo</w:t>
      </w:r>
      <w:bookmarkEnd w:id="7"/>
      <w:bookmarkEnd w:id="8"/>
    </w:p>
    <w:p w14:paraId="12E88327" w14:textId="77777777" w:rsidR="00AF0850" w:rsidRPr="002740EA" w:rsidRDefault="00AF0850" w:rsidP="000C6B37">
      <w:pPr>
        <w:spacing w:after="0"/>
        <w:rPr>
          <w:lang w:eastAsia="es-MX"/>
        </w:rPr>
      </w:pPr>
    </w:p>
    <w:p w14:paraId="7CFC214B" w14:textId="77777777" w:rsidR="00C03F5A" w:rsidRPr="002740EA" w:rsidRDefault="00C03F5A" w:rsidP="000C6B37">
      <w:pPr>
        <w:spacing w:after="0"/>
        <w:jc w:val="both"/>
        <w:rPr>
          <w:rFonts w:cs="Arial"/>
          <w:b/>
          <w:szCs w:val="24"/>
        </w:rPr>
      </w:pPr>
      <w:r w:rsidRPr="002740EA">
        <w:rPr>
          <w:rFonts w:cs="Arial"/>
          <w:szCs w:val="24"/>
        </w:rPr>
        <w:t>Fiscalizar la correcta elaboración de las Matrices de Indicadores para Resultados de la</w:t>
      </w:r>
      <w:r w:rsidRPr="002740EA">
        <w:rPr>
          <w:rFonts w:cs="Arial"/>
          <w:b/>
          <w:szCs w:val="24"/>
        </w:rPr>
        <w:t xml:space="preserve"> Universidad de Quintana Roo.</w:t>
      </w:r>
    </w:p>
    <w:p w14:paraId="658DB438" w14:textId="739C8132" w:rsidR="002045FB" w:rsidRPr="002740EA" w:rsidRDefault="002045FB" w:rsidP="000C6B37">
      <w:pPr>
        <w:pStyle w:val="Prrafodelista"/>
        <w:spacing w:after="0"/>
        <w:jc w:val="both"/>
        <w:rPr>
          <w:rFonts w:cs="Arial"/>
          <w:b/>
          <w:szCs w:val="24"/>
        </w:rPr>
      </w:pPr>
    </w:p>
    <w:p w14:paraId="6E871F64" w14:textId="387CBF04" w:rsidR="0061169F" w:rsidRPr="002740EA" w:rsidRDefault="00633EF6" w:rsidP="00144066">
      <w:pPr>
        <w:pStyle w:val="Ttulo3"/>
        <w:keepNext w:val="0"/>
        <w:keepLines w:val="0"/>
        <w:numPr>
          <w:ilvl w:val="0"/>
          <w:numId w:val="1"/>
        </w:numPr>
        <w:spacing w:before="0" w:line="276" w:lineRule="auto"/>
        <w:jc w:val="both"/>
        <w:rPr>
          <w:rFonts w:ascii="Arial" w:hAnsi="Arial" w:cs="Arial"/>
          <w:b/>
          <w:color w:val="auto"/>
          <w:lang w:eastAsia="es-MX"/>
        </w:rPr>
      </w:pPr>
      <w:bookmarkStart w:id="9" w:name="_Toc11413505"/>
      <w:bookmarkStart w:id="10" w:name="_Toc75348445"/>
      <w:r w:rsidRPr="002740EA">
        <w:rPr>
          <w:rFonts w:ascii="Arial" w:hAnsi="Arial" w:cs="Arial"/>
          <w:b/>
          <w:color w:val="auto"/>
          <w:lang w:eastAsia="es-MX"/>
        </w:rPr>
        <w:t>Alcance</w:t>
      </w:r>
      <w:bookmarkEnd w:id="9"/>
      <w:bookmarkEnd w:id="10"/>
    </w:p>
    <w:p w14:paraId="132152D2" w14:textId="77777777" w:rsidR="00A42880" w:rsidRPr="002740EA" w:rsidRDefault="00A42880" w:rsidP="000C6B37">
      <w:pPr>
        <w:pStyle w:val="Prrafodelista"/>
        <w:spacing w:after="0"/>
        <w:jc w:val="both"/>
        <w:rPr>
          <w:szCs w:val="24"/>
        </w:rPr>
      </w:pPr>
    </w:p>
    <w:p w14:paraId="50CC2D3F" w14:textId="27EB072E" w:rsidR="00D018EC" w:rsidRPr="002740EA" w:rsidRDefault="00D018EC" w:rsidP="00AB306E">
      <w:pPr>
        <w:spacing w:after="0" w:line="276" w:lineRule="auto"/>
        <w:jc w:val="both"/>
        <w:rPr>
          <w:szCs w:val="24"/>
        </w:rPr>
      </w:pPr>
      <w:r w:rsidRPr="002740EA">
        <w:rPr>
          <w:szCs w:val="24"/>
        </w:rPr>
        <w:t>La auditoría se basó en el estudio general de las acciones emprendidas por la</w:t>
      </w:r>
      <w:r w:rsidRPr="002740EA">
        <w:rPr>
          <w:b/>
          <w:szCs w:val="24"/>
        </w:rPr>
        <w:t xml:space="preserve"> Universidad de Quintana Roo,</w:t>
      </w:r>
      <w:r w:rsidRPr="002740EA">
        <w:rPr>
          <w:szCs w:val="24"/>
        </w:rPr>
        <w:t xml:space="preserve"> para la implementación del control interno, referente al marco normativo y política de integridad, el diseño de las Matrices de Indicadores para Resultados (MIR) de los Programas Presupuestarios (Pp) y las acciones realizadas para la capacitación del personal en materia de Presupuesto Basado en Resultados</w:t>
      </w:r>
      <w:r w:rsidR="00AE21B3" w:rsidRPr="002740EA">
        <w:rPr>
          <w:rFonts w:cs="Arial"/>
          <w:szCs w:val="24"/>
        </w:rPr>
        <w:t xml:space="preserve"> (PbR)</w:t>
      </w:r>
      <w:r w:rsidR="00370CC1" w:rsidRPr="002740EA">
        <w:rPr>
          <w:rFonts w:cs="Arial"/>
          <w:szCs w:val="24"/>
        </w:rPr>
        <w:t>,</w:t>
      </w:r>
      <w:r w:rsidR="00AE21B3" w:rsidRPr="002740EA">
        <w:rPr>
          <w:rFonts w:cs="Arial"/>
          <w:szCs w:val="24"/>
        </w:rPr>
        <w:t xml:space="preserve"> Sistema de Evaluación del Desempeño (SED),</w:t>
      </w:r>
      <w:r w:rsidRPr="002740EA">
        <w:rPr>
          <w:szCs w:val="24"/>
        </w:rPr>
        <w:t xml:space="preserve"> Matriz de Indicadores para Resultados</w:t>
      </w:r>
      <w:r w:rsidR="00AE21B3" w:rsidRPr="002740EA">
        <w:rPr>
          <w:szCs w:val="24"/>
        </w:rPr>
        <w:t xml:space="preserve"> (MIR)</w:t>
      </w:r>
      <w:r w:rsidRPr="002740EA">
        <w:rPr>
          <w:szCs w:val="24"/>
        </w:rPr>
        <w:t xml:space="preserve"> y Metodología del Marco Lógico</w:t>
      </w:r>
      <w:r w:rsidR="00A30ECB" w:rsidRPr="002740EA">
        <w:rPr>
          <w:szCs w:val="24"/>
        </w:rPr>
        <w:t xml:space="preserve"> (MML)</w:t>
      </w:r>
      <w:r w:rsidRPr="002740EA">
        <w:rPr>
          <w:szCs w:val="24"/>
        </w:rPr>
        <w:t>.</w:t>
      </w:r>
    </w:p>
    <w:p w14:paraId="0781A859" w14:textId="4C5FF05B" w:rsidR="000E7E36" w:rsidRPr="002740EA" w:rsidRDefault="000E7E36" w:rsidP="00AB306E">
      <w:pPr>
        <w:spacing w:after="0" w:line="276" w:lineRule="auto"/>
        <w:jc w:val="both"/>
        <w:rPr>
          <w:szCs w:val="24"/>
        </w:rPr>
      </w:pPr>
    </w:p>
    <w:p w14:paraId="518D9478" w14:textId="19CF3193" w:rsidR="00DA6EA8" w:rsidRPr="002740EA" w:rsidRDefault="00DA6EA8" w:rsidP="00AB306E">
      <w:pPr>
        <w:spacing w:after="0" w:line="276" w:lineRule="auto"/>
        <w:jc w:val="both"/>
        <w:rPr>
          <w:rFonts w:cs="Arial"/>
          <w:szCs w:val="24"/>
        </w:rPr>
      </w:pPr>
      <w:r w:rsidRPr="002740EA">
        <w:rPr>
          <w:rFonts w:eastAsia="Calibri" w:cs="Arial"/>
          <w:szCs w:val="24"/>
        </w:rPr>
        <w:t xml:space="preserve">La auditoría se realizó de conformidad con la normativa aplicable a la Fiscalización Superior de la Cuenta Pública, la Norma Profesional de Auditoría del Sistema Nacional de Fiscalización </w:t>
      </w:r>
      <w:r w:rsidR="006A55C4" w:rsidRPr="002740EA">
        <w:rPr>
          <w:rFonts w:eastAsia="Calibri" w:cs="Arial"/>
          <w:szCs w:val="24"/>
        </w:rPr>
        <w:t>300, “</w:t>
      </w:r>
      <w:r w:rsidRPr="002740EA">
        <w:rPr>
          <w:rFonts w:eastAsia="Calibri" w:cs="Arial"/>
          <w:szCs w:val="24"/>
        </w:rPr>
        <w:t>Principios Fundamentales de la Auditoría de Desempeño”, así como lo relativo a los procesos y procedimientos de Auditoría en Materia de Desempeño del Sistema de Gestión de Calidad de la Auditoría Superior del Estado de Quintana Roo, para aseg</w:t>
      </w:r>
      <w:r w:rsidR="00F47B63" w:rsidRPr="002740EA">
        <w:rPr>
          <w:rFonts w:eastAsia="Calibri" w:cs="Arial"/>
          <w:szCs w:val="24"/>
        </w:rPr>
        <w:t xml:space="preserve">urar el logro del objetivo y </w:t>
      </w:r>
      <w:r w:rsidRPr="002740EA">
        <w:rPr>
          <w:rFonts w:eastAsia="Calibri" w:cs="Arial"/>
          <w:szCs w:val="24"/>
        </w:rPr>
        <w:t>alcance establecido</w:t>
      </w:r>
      <w:r w:rsidR="00F47B63" w:rsidRPr="002740EA">
        <w:rPr>
          <w:rFonts w:eastAsia="Calibri" w:cs="Arial"/>
          <w:szCs w:val="24"/>
        </w:rPr>
        <w:t>s</w:t>
      </w:r>
      <w:r w:rsidRPr="002740EA">
        <w:rPr>
          <w:rFonts w:eastAsia="Calibri" w:cs="Arial"/>
          <w:szCs w:val="24"/>
        </w:rPr>
        <w:t xml:space="preserve">. Los datos proporcionados </w:t>
      </w:r>
      <w:r w:rsidR="0064610E" w:rsidRPr="002740EA">
        <w:rPr>
          <w:rFonts w:eastAsia="Calibri" w:cs="Arial"/>
          <w:szCs w:val="24"/>
        </w:rPr>
        <w:t>por la</w:t>
      </w:r>
      <w:r w:rsidRPr="002740EA">
        <w:rPr>
          <w:rFonts w:cs="Arial"/>
          <w:b/>
          <w:szCs w:val="24"/>
        </w:rPr>
        <w:t xml:space="preserve"> Univer</w:t>
      </w:r>
      <w:r w:rsidR="003F02F1" w:rsidRPr="002740EA">
        <w:rPr>
          <w:rFonts w:cs="Arial"/>
          <w:b/>
          <w:szCs w:val="24"/>
        </w:rPr>
        <w:t>sidad de Quintana Roo</w:t>
      </w:r>
      <w:r w:rsidR="003F02F1" w:rsidRPr="002740EA">
        <w:rPr>
          <w:rFonts w:eastAsia="Calibri" w:cs="Arial"/>
          <w:szCs w:val="24"/>
        </w:rPr>
        <w:t xml:space="preserve"> </w:t>
      </w:r>
      <w:r w:rsidR="00557721" w:rsidRPr="002740EA">
        <w:rPr>
          <w:rFonts w:eastAsia="Calibri" w:cs="Arial"/>
          <w:szCs w:val="24"/>
        </w:rPr>
        <w:t>f</w:t>
      </w:r>
      <w:r w:rsidRPr="002740EA">
        <w:rPr>
          <w:rFonts w:eastAsia="Calibri" w:cs="Arial"/>
          <w:szCs w:val="24"/>
        </w:rPr>
        <w:t>ueron, en lo general, suficientes, de calidad, confiables y consistentes para aplicar los procedimientos establecidos y para sustentar los hallazgos y la opinión de la Auditoría Superior del Estado.</w:t>
      </w:r>
    </w:p>
    <w:p w14:paraId="450FA607" w14:textId="0747F194" w:rsidR="009D5FF4" w:rsidRPr="002740EA" w:rsidRDefault="0069369E" w:rsidP="000C6B37">
      <w:pPr>
        <w:tabs>
          <w:tab w:val="left" w:pos="3031"/>
        </w:tabs>
        <w:spacing w:after="0"/>
        <w:jc w:val="both"/>
        <w:rPr>
          <w:szCs w:val="24"/>
        </w:rPr>
      </w:pPr>
      <w:r w:rsidRPr="002740EA">
        <w:rPr>
          <w:rFonts w:cs="Arial"/>
          <w:szCs w:val="24"/>
        </w:rPr>
        <w:tab/>
      </w:r>
    </w:p>
    <w:p w14:paraId="43F0B5B5" w14:textId="3CCDB296" w:rsidR="0061169F" w:rsidRPr="002740EA" w:rsidRDefault="007815EF" w:rsidP="00144066">
      <w:pPr>
        <w:pStyle w:val="Ttulo3"/>
        <w:keepNext w:val="0"/>
        <w:keepLines w:val="0"/>
        <w:numPr>
          <w:ilvl w:val="0"/>
          <w:numId w:val="1"/>
        </w:numPr>
        <w:spacing w:before="0" w:line="276" w:lineRule="auto"/>
        <w:jc w:val="both"/>
        <w:rPr>
          <w:rFonts w:ascii="Arial" w:hAnsi="Arial" w:cs="Arial"/>
          <w:b/>
          <w:color w:val="auto"/>
          <w:lang w:eastAsia="es-MX"/>
        </w:rPr>
      </w:pPr>
      <w:bookmarkStart w:id="11" w:name="_Toc11413506"/>
      <w:bookmarkStart w:id="12" w:name="_Toc75348446"/>
      <w:r w:rsidRPr="002740EA">
        <w:rPr>
          <w:rFonts w:ascii="Arial" w:hAnsi="Arial" w:cs="Arial"/>
          <w:b/>
          <w:color w:val="auto"/>
          <w:lang w:eastAsia="es-MX"/>
        </w:rPr>
        <w:lastRenderedPageBreak/>
        <w:t>Criterios de S</w:t>
      </w:r>
      <w:r w:rsidR="00C97F59" w:rsidRPr="002740EA">
        <w:rPr>
          <w:rFonts w:ascii="Arial" w:hAnsi="Arial" w:cs="Arial"/>
          <w:b/>
          <w:color w:val="auto"/>
          <w:lang w:eastAsia="es-MX"/>
        </w:rPr>
        <w:t>elecció</w:t>
      </w:r>
      <w:bookmarkEnd w:id="11"/>
      <w:r w:rsidR="00C97F59" w:rsidRPr="002740EA">
        <w:rPr>
          <w:rFonts w:ascii="Arial" w:hAnsi="Arial" w:cs="Arial"/>
          <w:b/>
          <w:color w:val="auto"/>
          <w:lang w:eastAsia="es-MX"/>
        </w:rPr>
        <w:t>n</w:t>
      </w:r>
      <w:bookmarkEnd w:id="12"/>
    </w:p>
    <w:p w14:paraId="26876A41" w14:textId="77777777" w:rsidR="006628AB" w:rsidRPr="002740EA" w:rsidRDefault="006628AB" w:rsidP="000C6B37">
      <w:pPr>
        <w:spacing w:after="0"/>
        <w:jc w:val="both"/>
        <w:rPr>
          <w:szCs w:val="24"/>
        </w:rPr>
      </w:pPr>
    </w:p>
    <w:p w14:paraId="7F667046" w14:textId="1CF0E9E6" w:rsidR="00A22C2A" w:rsidRPr="002740EA" w:rsidRDefault="008F367D" w:rsidP="000C6B37">
      <w:pPr>
        <w:spacing w:after="0"/>
        <w:jc w:val="both"/>
        <w:rPr>
          <w:szCs w:val="24"/>
        </w:rPr>
      </w:pPr>
      <w:r w:rsidRPr="002740EA">
        <w:rPr>
          <w:szCs w:val="24"/>
        </w:rPr>
        <w:t>Esta auditoría se seleccionó con base en los criterios cuantitativos y cualitativos establecidos en la Normativa Institucional de la Auditoría Superior del Estado de Quintana Roo, para la integración del Programa Anual de Auditorías, Visitas e Inspecciones correspondiente al año 2021</w:t>
      </w:r>
      <w:r w:rsidR="00012A70" w:rsidRPr="002740EA">
        <w:rPr>
          <w:szCs w:val="24"/>
        </w:rPr>
        <w:t>,</w:t>
      </w:r>
      <w:r w:rsidR="00012A70" w:rsidRPr="002740EA">
        <w:rPr>
          <w:rFonts w:eastAsia="Times New Roman" w:cs="Arial"/>
          <w:szCs w:val="24"/>
          <w:lang w:eastAsia="es-ES"/>
        </w:rPr>
        <w:t xml:space="preserve"> que comprende la fiscalización superior de la Cuenta Pública del Ejercicio Fiscal 2020</w:t>
      </w:r>
      <w:r w:rsidR="00E96AE8" w:rsidRPr="002740EA">
        <w:rPr>
          <w:szCs w:val="24"/>
        </w:rPr>
        <w:t>.</w:t>
      </w:r>
    </w:p>
    <w:p w14:paraId="6BA2363E" w14:textId="1751C868" w:rsidR="00A22C2A" w:rsidRPr="002740EA" w:rsidRDefault="00A22C2A" w:rsidP="000C6B37">
      <w:pPr>
        <w:pStyle w:val="Prrafodelista"/>
        <w:spacing w:after="0"/>
        <w:jc w:val="both"/>
        <w:rPr>
          <w:szCs w:val="24"/>
        </w:rPr>
      </w:pPr>
    </w:p>
    <w:p w14:paraId="37820171" w14:textId="77777777" w:rsidR="002865D9" w:rsidRPr="002740EA" w:rsidRDefault="002865D9" w:rsidP="000C6B37">
      <w:pPr>
        <w:pStyle w:val="Prrafodelista"/>
        <w:spacing w:after="0"/>
        <w:jc w:val="both"/>
        <w:rPr>
          <w:szCs w:val="24"/>
        </w:rPr>
      </w:pPr>
    </w:p>
    <w:p w14:paraId="6BA2EEE5" w14:textId="3B4AA113" w:rsidR="004218BA" w:rsidRPr="002740EA" w:rsidRDefault="0096491E" w:rsidP="000C6B37">
      <w:pPr>
        <w:pStyle w:val="Ttulo3"/>
        <w:keepNext w:val="0"/>
        <w:keepLines w:val="0"/>
        <w:numPr>
          <w:ilvl w:val="0"/>
          <w:numId w:val="1"/>
        </w:numPr>
        <w:spacing w:before="0" w:line="240" w:lineRule="auto"/>
        <w:jc w:val="both"/>
        <w:rPr>
          <w:rFonts w:ascii="Arial" w:hAnsi="Arial" w:cs="Arial"/>
          <w:b/>
          <w:color w:val="auto"/>
          <w:lang w:eastAsia="es-MX"/>
        </w:rPr>
      </w:pPr>
      <w:bookmarkStart w:id="13" w:name="_Toc11413507"/>
      <w:bookmarkStart w:id="14" w:name="_Toc75348447"/>
      <w:r w:rsidRPr="002740EA">
        <w:rPr>
          <w:rFonts w:ascii="Arial" w:hAnsi="Arial" w:cs="Arial"/>
          <w:b/>
          <w:color w:val="auto"/>
          <w:lang w:eastAsia="es-MX"/>
        </w:rPr>
        <w:t>Áreas R</w:t>
      </w:r>
      <w:r w:rsidR="007203C8" w:rsidRPr="002740EA">
        <w:rPr>
          <w:rFonts w:ascii="Arial" w:hAnsi="Arial" w:cs="Arial"/>
          <w:b/>
          <w:color w:val="auto"/>
          <w:lang w:eastAsia="es-MX"/>
        </w:rPr>
        <w:t>evisadas</w:t>
      </w:r>
      <w:bookmarkEnd w:id="13"/>
      <w:bookmarkEnd w:id="14"/>
    </w:p>
    <w:p w14:paraId="36D84C09" w14:textId="77777777" w:rsidR="00A11794" w:rsidRPr="002740EA" w:rsidRDefault="00A11794" w:rsidP="000C6B37">
      <w:pPr>
        <w:rPr>
          <w:lang w:eastAsia="es-MX"/>
        </w:rPr>
      </w:pPr>
    </w:p>
    <w:p w14:paraId="17C9C12E" w14:textId="77777777" w:rsidR="00C04486" w:rsidRPr="002740EA" w:rsidRDefault="00832854" w:rsidP="000C6B37">
      <w:pPr>
        <w:pStyle w:val="Prrafodelista"/>
        <w:numPr>
          <w:ilvl w:val="0"/>
          <w:numId w:val="13"/>
        </w:numPr>
        <w:spacing w:after="0"/>
        <w:jc w:val="both"/>
        <w:rPr>
          <w:szCs w:val="24"/>
        </w:rPr>
      </w:pPr>
      <w:r w:rsidRPr="002740EA">
        <w:rPr>
          <w:szCs w:val="24"/>
        </w:rPr>
        <w:t>Dirección General de Administración y Finanzas</w:t>
      </w:r>
      <w:r w:rsidR="00C04486" w:rsidRPr="002740EA">
        <w:rPr>
          <w:szCs w:val="24"/>
        </w:rPr>
        <w:t>,</w:t>
      </w:r>
      <w:r w:rsidRPr="002740EA">
        <w:rPr>
          <w:szCs w:val="24"/>
        </w:rPr>
        <w:t xml:space="preserve"> y </w:t>
      </w:r>
    </w:p>
    <w:p w14:paraId="5DAAF0BF" w14:textId="16D4F5A8" w:rsidR="00832854" w:rsidRPr="002740EA" w:rsidRDefault="00832854" w:rsidP="000C6B37">
      <w:pPr>
        <w:pStyle w:val="Prrafodelista"/>
        <w:numPr>
          <w:ilvl w:val="0"/>
          <w:numId w:val="13"/>
        </w:numPr>
        <w:spacing w:after="0"/>
        <w:jc w:val="both"/>
        <w:rPr>
          <w:szCs w:val="24"/>
        </w:rPr>
      </w:pPr>
      <w:r w:rsidRPr="002740EA">
        <w:rPr>
          <w:szCs w:val="24"/>
        </w:rPr>
        <w:t>Dirección General de Planeación.</w:t>
      </w:r>
    </w:p>
    <w:p w14:paraId="50DD42AB" w14:textId="52DDEF8E" w:rsidR="005F43ED" w:rsidRPr="002740EA" w:rsidRDefault="005F43ED" w:rsidP="000C6B37">
      <w:pPr>
        <w:pStyle w:val="Prrafodelista"/>
        <w:spacing w:after="0"/>
        <w:jc w:val="both"/>
        <w:rPr>
          <w:szCs w:val="24"/>
        </w:rPr>
      </w:pPr>
    </w:p>
    <w:p w14:paraId="273BF806" w14:textId="77777777" w:rsidR="002865D9" w:rsidRPr="002740EA" w:rsidRDefault="002865D9" w:rsidP="000C6B37">
      <w:pPr>
        <w:pStyle w:val="Prrafodelista"/>
        <w:spacing w:after="0"/>
        <w:jc w:val="both"/>
        <w:rPr>
          <w:szCs w:val="24"/>
        </w:rPr>
      </w:pPr>
    </w:p>
    <w:p w14:paraId="01E2C2C8" w14:textId="25993E97" w:rsidR="00910845" w:rsidRPr="002740EA" w:rsidRDefault="00A120DC" w:rsidP="000C6B37">
      <w:pPr>
        <w:pStyle w:val="Ttulo3"/>
        <w:keepNext w:val="0"/>
        <w:keepLines w:val="0"/>
        <w:numPr>
          <w:ilvl w:val="0"/>
          <w:numId w:val="1"/>
        </w:numPr>
        <w:spacing w:before="0" w:line="276" w:lineRule="auto"/>
        <w:jc w:val="both"/>
        <w:rPr>
          <w:rFonts w:ascii="Arial" w:eastAsia="Times New Roman" w:hAnsi="Arial" w:cs="Times New Roman"/>
          <w:b/>
          <w:bCs/>
          <w:color w:val="auto"/>
          <w:szCs w:val="27"/>
          <w:lang w:eastAsia="es-MX"/>
        </w:rPr>
      </w:pPr>
      <w:bookmarkStart w:id="15" w:name="_Toc11413508"/>
      <w:bookmarkStart w:id="16" w:name="_Toc75348448"/>
      <w:r w:rsidRPr="002740EA">
        <w:rPr>
          <w:rFonts w:ascii="Arial" w:hAnsi="Arial" w:cs="Arial"/>
          <w:b/>
          <w:color w:val="auto"/>
          <w:lang w:eastAsia="es-MX"/>
        </w:rPr>
        <w:t>Procedimientos de Auditoría A</w:t>
      </w:r>
      <w:r w:rsidR="00D96B79" w:rsidRPr="002740EA">
        <w:rPr>
          <w:rFonts w:ascii="Arial" w:hAnsi="Arial" w:cs="Arial"/>
          <w:b/>
          <w:color w:val="auto"/>
          <w:lang w:eastAsia="es-MX"/>
        </w:rPr>
        <w:t>plicados</w:t>
      </w:r>
      <w:bookmarkEnd w:id="15"/>
      <w:r w:rsidR="008977FE" w:rsidRPr="002740EA">
        <w:rPr>
          <w:rFonts w:ascii="Arial" w:eastAsia="Times New Roman" w:hAnsi="Arial" w:cs="Times New Roman"/>
          <w:b/>
          <w:bCs/>
          <w:color w:val="auto"/>
          <w:szCs w:val="27"/>
          <w:lang w:eastAsia="es-MX"/>
        </w:rPr>
        <w:t>.</w:t>
      </w:r>
      <w:bookmarkEnd w:id="16"/>
    </w:p>
    <w:p w14:paraId="1CF21DA3" w14:textId="77777777" w:rsidR="006628AB" w:rsidRPr="002740EA" w:rsidRDefault="006628AB" w:rsidP="000C6B37">
      <w:pPr>
        <w:spacing w:line="276" w:lineRule="auto"/>
        <w:ind w:left="360" w:hanging="360"/>
        <w:rPr>
          <w:rFonts w:cs="Arial"/>
          <w:b/>
          <w:szCs w:val="24"/>
          <w:lang w:eastAsia="es-ES"/>
        </w:rPr>
      </w:pPr>
    </w:p>
    <w:p w14:paraId="2C431957" w14:textId="24E26965" w:rsidR="006A145C" w:rsidRPr="002740EA" w:rsidRDefault="003E4B5A" w:rsidP="000C6B37">
      <w:pPr>
        <w:spacing w:line="276" w:lineRule="auto"/>
        <w:ind w:left="360" w:hanging="360"/>
        <w:rPr>
          <w:lang w:eastAsia="es-MX"/>
        </w:rPr>
      </w:pPr>
      <w:r w:rsidRPr="002740EA">
        <w:rPr>
          <w:rFonts w:cs="Arial"/>
          <w:b/>
          <w:szCs w:val="24"/>
          <w:lang w:eastAsia="es-ES"/>
        </w:rPr>
        <w:t>Eficacia</w:t>
      </w:r>
    </w:p>
    <w:p w14:paraId="7B45734D" w14:textId="4571D967" w:rsidR="00306604" w:rsidRPr="002740EA" w:rsidRDefault="00DF2F23" w:rsidP="000C6B37">
      <w:pPr>
        <w:spacing w:after="0" w:line="276" w:lineRule="auto"/>
        <w:ind w:left="360" w:hanging="360"/>
        <w:jc w:val="both"/>
        <w:rPr>
          <w:rFonts w:cs="Arial"/>
          <w:b/>
          <w:szCs w:val="24"/>
          <w:lang w:eastAsia="es-MX"/>
        </w:rPr>
      </w:pPr>
      <w:r w:rsidRPr="002740EA">
        <w:rPr>
          <w:rFonts w:cs="Arial"/>
          <w:b/>
          <w:szCs w:val="24"/>
          <w:lang w:eastAsia="es-MX"/>
        </w:rPr>
        <w:t>1. Control Interno</w:t>
      </w:r>
      <w:r w:rsidR="007E2923" w:rsidRPr="002740EA">
        <w:rPr>
          <w:rFonts w:cs="Arial"/>
          <w:b/>
          <w:szCs w:val="24"/>
          <w:lang w:eastAsia="es-MX"/>
        </w:rPr>
        <w:t>:</w:t>
      </w:r>
    </w:p>
    <w:p w14:paraId="3BAE2035" w14:textId="77777777" w:rsidR="000F006F" w:rsidRPr="002740EA" w:rsidRDefault="000F006F" w:rsidP="000C6B37">
      <w:pPr>
        <w:spacing w:after="0" w:line="276" w:lineRule="auto"/>
        <w:ind w:left="360" w:hanging="360"/>
        <w:jc w:val="both"/>
        <w:rPr>
          <w:rFonts w:cs="Arial"/>
          <w:b/>
          <w:szCs w:val="24"/>
          <w:lang w:eastAsia="es-MX"/>
        </w:rPr>
      </w:pPr>
    </w:p>
    <w:p w14:paraId="6FCC4A21" w14:textId="16F5AEA4" w:rsidR="002B3309" w:rsidRPr="002740EA" w:rsidRDefault="006E7410" w:rsidP="000C6B37">
      <w:pPr>
        <w:spacing w:after="0"/>
        <w:ind w:left="360" w:hanging="360"/>
        <w:jc w:val="both"/>
        <w:rPr>
          <w:rFonts w:cs="Arial"/>
          <w:b/>
          <w:szCs w:val="24"/>
          <w:lang w:eastAsia="es-MX"/>
        </w:rPr>
      </w:pPr>
      <w:r w:rsidRPr="002740EA">
        <w:rPr>
          <w:rFonts w:eastAsia="Times New Roman" w:cs="Arial"/>
          <w:b/>
          <w:bCs/>
          <w:lang w:eastAsia="es-ES"/>
        </w:rPr>
        <w:t xml:space="preserve">1.1. </w:t>
      </w:r>
      <w:r w:rsidR="0093507D" w:rsidRPr="002740EA">
        <w:rPr>
          <w:rFonts w:cs="Arial"/>
          <w:b/>
          <w:szCs w:val="24"/>
          <w:lang w:eastAsia="es-MX"/>
        </w:rPr>
        <w:t xml:space="preserve"> </w:t>
      </w:r>
      <w:r w:rsidR="002B3309" w:rsidRPr="002740EA">
        <w:rPr>
          <w:rFonts w:cs="Arial"/>
          <w:b/>
          <w:szCs w:val="24"/>
          <w:lang w:eastAsia="es-MX"/>
        </w:rPr>
        <w:t>Marco normativo</w:t>
      </w:r>
      <w:r w:rsidR="007E2923" w:rsidRPr="002740EA">
        <w:rPr>
          <w:rFonts w:cs="Arial"/>
          <w:b/>
          <w:szCs w:val="24"/>
          <w:lang w:eastAsia="es-MX"/>
        </w:rPr>
        <w:t>.</w:t>
      </w:r>
    </w:p>
    <w:p w14:paraId="7524B4C1" w14:textId="77777777" w:rsidR="00254E71" w:rsidRPr="002740EA" w:rsidRDefault="00254E71" w:rsidP="000C6B37">
      <w:pPr>
        <w:pStyle w:val="Prrafodelista"/>
        <w:spacing w:after="0"/>
        <w:ind w:left="765"/>
        <w:jc w:val="both"/>
        <w:rPr>
          <w:rFonts w:cs="Arial"/>
          <w:b/>
          <w:szCs w:val="24"/>
          <w:lang w:eastAsia="es-MX"/>
        </w:rPr>
      </w:pPr>
    </w:p>
    <w:p w14:paraId="728CF19D" w14:textId="335601FD" w:rsidR="00BB7B14" w:rsidRPr="002740EA" w:rsidRDefault="00777CDD" w:rsidP="000C6B37">
      <w:pPr>
        <w:spacing w:after="0" w:line="276" w:lineRule="auto"/>
        <w:ind w:left="1134" w:hanging="708"/>
        <w:jc w:val="both"/>
        <w:rPr>
          <w:rFonts w:cs="Arial"/>
          <w:szCs w:val="24"/>
          <w:lang w:eastAsia="es-MX"/>
        </w:rPr>
      </w:pPr>
      <w:r w:rsidRPr="002740EA">
        <w:rPr>
          <w:rFonts w:cs="Arial"/>
          <w:szCs w:val="24"/>
          <w:lang w:eastAsia="es-MX"/>
        </w:rPr>
        <w:t>1.1.1</w:t>
      </w:r>
      <w:r w:rsidR="006E7410" w:rsidRPr="002740EA">
        <w:rPr>
          <w:rFonts w:cs="Arial"/>
          <w:szCs w:val="24"/>
          <w:lang w:eastAsia="es-MX"/>
        </w:rPr>
        <w:t>.</w:t>
      </w:r>
      <w:r w:rsidRPr="002740EA">
        <w:rPr>
          <w:rFonts w:cs="Arial"/>
          <w:szCs w:val="24"/>
          <w:lang w:eastAsia="es-MX"/>
        </w:rPr>
        <w:t xml:space="preserve"> Analizar el Reglamento General, Manual de Organización, Manual de </w:t>
      </w:r>
      <w:r w:rsidR="00B950CE" w:rsidRPr="002740EA">
        <w:rPr>
          <w:rFonts w:cs="Arial"/>
          <w:szCs w:val="24"/>
          <w:lang w:eastAsia="es-MX"/>
        </w:rPr>
        <w:t xml:space="preserve">    </w:t>
      </w:r>
      <w:r w:rsidRPr="002740EA">
        <w:rPr>
          <w:rFonts w:cs="Arial"/>
          <w:szCs w:val="24"/>
          <w:lang w:eastAsia="es-MX"/>
        </w:rPr>
        <w:t>Procedimientos y Organigrama, a fin de determinar si están, actualizados, y autorizados por las instancias correspondientes.</w:t>
      </w:r>
    </w:p>
    <w:p w14:paraId="78BEFF7B" w14:textId="2B27511B" w:rsidR="00BB7B14" w:rsidRPr="002740EA" w:rsidRDefault="00777CDD" w:rsidP="000C6B37">
      <w:pPr>
        <w:spacing w:after="0" w:line="276" w:lineRule="auto"/>
        <w:ind w:left="1134" w:hanging="708"/>
        <w:jc w:val="both"/>
        <w:rPr>
          <w:rFonts w:cs="Arial"/>
          <w:szCs w:val="24"/>
          <w:lang w:eastAsia="es-MX"/>
        </w:rPr>
      </w:pPr>
      <w:r w:rsidRPr="002740EA">
        <w:rPr>
          <w:rFonts w:cs="Arial"/>
          <w:szCs w:val="24"/>
          <w:lang w:eastAsia="es-MX"/>
        </w:rPr>
        <w:t>1.1.2</w:t>
      </w:r>
      <w:r w:rsidR="006E7410" w:rsidRPr="002740EA">
        <w:rPr>
          <w:rFonts w:cs="Arial"/>
          <w:szCs w:val="24"/>
          <w:lang w:eastAsia="es-MX"/>
        </w:rPr>
        <w:t>.</w:t>
      </w:r>
      <w:r w:rsidRPr="002740EA">
        <w:rPr>
          <w:rFonts w:cs="Arial"/>
          <w:szCs w:val="24"/>
          <w:lang w:eastAsia="es-MX"/>
        </w:rPr>
        <w:t xml:space="preserve"> Verificar que la Estructura presentada en el Organigrama se encuentre homologad</w:t>
      </w:r>
      <w:r w:rsidR="00BB7B14" w:rsidRPr="002740EA">
        <w:rPr>
          <w:rFonts w:cs="Arial"/>
          <w:szCs w:val="24"/>
          <w:lang w:eastAsia="es-MX"/>
        </w:rPr>
        <w:t>a con los manuales presentados.</w:t>
      </w:r>
    </w:p>
    <w:p w14:paraId="6CD69CFD" w14:textId="5DE24C36" w:rsidR="00C2647F" w:rsidRPr="002740EA" w:rsidRDefault="00777CDD" w:rsidP="000C6B37">
      <w:pPr>
        <w:spacing w:after="0" w:line="276" w:lineRule="auto"/>
        <w:ind w:left="1134" w:hanging="708"/>
        <w:jc w:val="both"/>
        <w:rPr>
          <w:rFonts w:cs="Arial"/>
          <w:szCs w:val="24"/>
          <w:lang w:eastAsia="es-MX"/>
        </w:rPr>
      </w:pPr>
      <w:r w:rsidRPr="002740EA">
        <w:rPr>
          <w:rFonts w:cs="Arial"/>
          <w:szCs w:val="24"/>
          <w:lang w:eastAsia="es-MX"/>
        </w:rPr>
        <w:t>1.1.3</w:t>
      </w:r>
      <w:r w:rsidR="006E7410" w:rsidRPr="002740EA">
        <w:rPr>
          <w:rFonts w:cs="Arial"/>
          <w:szCs w:val="24"/>
          <w:lang w:eastAsia="es-MX"/>
        </w:rPr>
        <w:t>.</w:t>
      </w:r>
      <w:r w:rsidRPr="002740EA">
        <w:rPr>
          <w:rFonts w:cs="Arial"/>
          <w:szCs w:val="24"/>
          <w:lang w:eastAsia="es-MX"/>
        </w:rPr>
        <w:t xml:space="preserve"> Analizar y determinar si los documentos antes mencionados incluyen el enfoque de Presupuesto basado en Resultados.</w:t>
      </w:r>
    </w:p>
    <w:p w14:paraId="2E525394" w14:textId="1D2097E3" w:rsidR="000C32EE" w:rsidRPr="002740EA" w:rsidRDefault="000C32EE" w:rsidP="00AB306E">
      <w:pPr>
        <w:spacing w:after="0" w:line="276" w:lineRule="auto"/>
        <w:jc w:val="both"/>
        <w:rPr>
          <w:rFonts w:cs="Arial"/>
          <w:b/>
          <w:szCs w:val="24"/>
          <w:lang w:eastAsia="es-MX"/>
        </w:rPr>
      </w:pPr>
    </w:p>
    <w:p w14:paraId="5371B9DF" w14:textId="3E5BF2A4" w:rsidR="00F82171" w:rsidRPr="002740EA" w:rsidRDefault="00D16CD9" w:rsidP="000C6B37">
      <w:pPr>
        <w:spacing w:after="0"/>
        <w:ind w:left="426" w:hanging="426"/>
        <w:jc w:val="both"/>
        <w:rPr>
          <w:rFonts w:cs="Arial"/>
          <w:b/>
          <w:szCs w:val="24"/>
        </w:rPr>
      </w:pPr>
      <w:r w:rsidRPr="002740EA">
        <w:rPr>
          <w:rFonts w:cs="Arial"/>
          <w:b/>
        </w:rPr>
        <w:t xml:space="preserve">1.2. </w:t>
      </w:r>
      <w:r w:rsidR="00F82171" w:rsidRPr="002740EA">
        <w:rPr>
          <w:rFonts w:cs="Arial"/>
          <w:b/>
          <w:szCs w:val="24"/>
          <w:lang w:eastAsia="es-MX"/>
        </w:rPr>
        <w:t>Polític</w:t>
      </w:r>
      <w:r w:rsidR="002813BE" w:rsidRPr="002740EA">
        <w:rPr>
          <w:rFonts w:cs="Arial"/>
          <w:b/>
          <w:szCs w:val="24"/>
        </w:rPr>
        <w:t>a de Integridad</w:t>
      </w:r>
      <w:r w:rsidR="003C584E" w:rsidRPr="002740EA">
        <w:rPr>
          <w:rFonts w:cs="Arial"/>
          <w:b/>
          <w:szCs w:val="24"/>
        </w:rPr>
        <w:t>.</w:t>
      </w:r>
    </w:p>
    <w:p w14:paraId="25235B2B" w14:textId="77777777" w:rsidR="00663335" w:rsidRPr="002740EA" w:rsidRDefault="00663335" w:rsidP="000C6B37">
      <w:pPr>
        <w:pStyle w:val="Prrafodelista"/>
        <w:spacing w:after="0"/>
        <w:ind w:left="765"/>
        <w:jc w:val="both"/>
        <w:rPr>
          <w:rFonts w:cs="Arial"/>
          <w:b/>
          <w:szCs w:val="24"/>
        </w:rPr>
      </w:pPr>
    </w:p>
    <w:p w14:paraId="0D179864" w14:textId="28A5E728" w:rsidR="00E559D0" w:rsidRPr="002740EA" w:rsidRDefault="007E4588" w:rsidP="000C6B37">
      <w:pPr>
        <w:spacing w:after="0" w:line="276" w:lineRule="auto"/>
        <w:ind w:left="1134" w:hanging="708"/>
        <w:jc w:val="both"/>
        <w:rPr>
          <w:rFonts w:cs="Arial"/>
          <w:szCs w:val="24"/>
          <w:lang w:eastAsia="es-MX"/>
        </w:rPr>
      </w:pPr>
      <w:r w:rsidRPr="002740EA">
        <w:rPr>
          <w:rFonts w:cs="Arial"/>
          <w:szCs w:val="24"/>
          <w:lang w:eastAsia="es-MX"/>
        </w:rPr>
        <w:t>1.2.1</w:t>
      </w:r>
      <w:r w:rsidR="006B6BC8" w:rsidRPr="002740EA">
        <w:rPr>
          <w:rFonts w:cs="Arial"/>
          <w:szCs w:val="24"/>
          <w:lang w:eastAsia="es-MX"/>
        </w:rPr>
        <w:t>.</w:t>
      </w:r>
      <w:r w:rsidRPr="002740EA">
        <w:rPr>
          <w:rFonts w:cs="Arial"/>
          <w:szCs w:val="24"/>
          <w:lang w:eastAsia="es-MX"/>
        </w:rPr>
        <w:t xml:space="preserve"> Determinar si el ente tiene establecida una Política de Integridad que incluya un Código d</w:t>
      </w:r>
      <w:r w:rsidR="00F34347" w:rsidRPr="002740EA">
        <w:rPr>
          <w:rFonts w:cs="Arial"/>
          <w:szCs w:val="24"/>
          <w:lang w:eastAsia="es-MX"/>
        </w:rPr>
        <w:t>e É</w:t>
      </w:r>
      <w:r w:rsidR="00894073" w:rsidRPr="002740EA">
        <w:rPr>
          <w:rFonts w:cs="Arial"/>
          <w:szCs w:val="24"/>
          <w:lang w:eastAsia="es-MX"/>
        </w:rPr>
        <w:t>tica y un Código de Conducta</w:t>
      </w:r>
      <w:r w:rsidR="00F34347" w:rsidRPr="002740EA">
        <w:rPr>
          <w:rFonts w:cs="Arial"/>
          <w:szCs w:val="24"/>
          <w:lang w:eastAsia="es-MX"/>
        </w:rPr>
        <w:t>.</w:t>
      </w:r>
    </w:p>
    <w:p w14:paraId="40775490" w14:textId="35C83CD9" w:rsidR="00F82171" w:rsidRPr="002740EA" w:rsidRDefault="00A02CCC" w:rsidP="000C6B37">
      <w:pPr>
        <w:spacing w:after="0" w:line="276" w:lineRule="auto"/>
        <w:ind w:left="1134" w:hanging="708"/>
        <w:jc w:val="both"/>
        <w:rPr>
          <w:rFonts w:cs="Arial"/>
          <w:szCs w:val="24"/>
          <w:lang w:eastAsia="es-MX"/>
        </w:rPr>
      </w:pPr>
      <w:r w:rsidRPr="002740EA">
        <w:rPr>
          <w:rFonts w:cs="Arial"/>
          <w:szCs w:val="24"/>
          <w:lang w:eastAsia="es-MX"/>
        </w:rPr>
        <w:lastRenderedPageBreak/>
        <w:t>1.2.2</w:t>
      </w:r>
      <w:r w:rsidR="006B6BC8" w:rsidRPr="002740EA">
        <w:rPr>
          <w:rFonts w:cs="Arial"/>
          <w:szCs w:val="24"/>
          <w:lang w:eastAsia="es-MX"/>
        </w:rPr>
        <w:t>.</w:t>
      </w:r>
      <w:r w:rsidR="007E4588" w:rsidRPr="002740EA">
        <w:rPr>
          <w:rFonts w:cs="Arial"/>
          <w:szCs w:val="24"/>
          <w:lang w:eastAsia="es-MX"/>
        </w:rPr>
        <w:t xml:space="preserve"> Verificar la difusión de los documentos que forman parte de la política de Integridad al personal de la institución.</w:t>
      </w:r>
    </w:p>
    <w:p w14:paraId="7C4D5A6A" w14:textId="77777777" w:rsidR="00A70312" w:rsidRPr="002740EA" w:rsidRDefault="00A70312" w:rsidP="000C6B37">
      <w:pPr>
        <w:spacing w:after="0" w:line="276" w:lineRule="auto"/>
        <w:ind w:left="1134" w:hanging="708"/>
        <w:jc w:val="both"/>
        <w:rPr>
          <w:rFonts w:cs="Arial"/>
          <w:szCs w:val="24"/>
          <w:lang w:eastAsia="es-MX"/>
        </w:rPr>
      </w:pPr>
    </w:p>
    <w:p w14:paraId="69A447DF" w14:textId="372D4453" w:rsidR="00EE61D2" w:rsidRPr="002740EA" w:rsidRDefault="00BC04C4" w:rsidP="00093313">
      <w:pPr>
        <w:spacing w:line="276" w:lineRule="auto"/>
        <w:ind w:left="360" w:hanging="360"/>
        <w:rPr>
          <w:rFonts w:cs="Arial"/>
          <w:b/>
          <w:szCs w:val="24"/>
          <w:lang w:eastAsia="es-ES"/>
        </w:rPr>
      </w:pPr>
      <w:r w:rsidRPr="002740EA">
        <w:rPr>
          <w:rFonts w:cs="Arial"/>
          <w:b/>
          <w:szCs w:val="24"/>
          <w:lang w:eastAsia="es-ES"/>
        </w:rPr>
        <w:t>Eficacia</w:t>
      </w:r>
    </w:p>
    <w:p w14:paraId="3CF3F0F4" w14:textId="785D1B84" w:rsidR="003C39A9" w:rsidRPr="002740EA" w:rsidRDefault="003C39A9" w:rsidP="00093313">
      <w:pPr>
        <w:spacing w:after="0" w:line="276" w:lineRule="auto"/>
        <w:ind w:left="360" w:hanging="360"/>
        <w:jc w:val="both"/>
        <w:rPr>
          <w:rFonts w:cs="Arial"/>
          <w:b/>
          <w:szCs w:val="24"/>
        </w:rPr>
      </w:pPr>
      <w:r w:rsidRPr="002740EA">
        <w:rPr>
          <w:rFonts w:cs="Arial"/>
          <w:b/>
          <w:szCs w:val="24"/>
        </w:rPr>
        <w:t>2</w:t>
      </w:r>
      <w:r w:rsidRPr="002740EA">
        <w:rPr>
          <w:rFonts w:cs="Arial"/>
          <w:b/>
          <w:szCs w:val="24"/>
          <w:lang w:eastAsia="es-MX"/>
        </w:rPr>
        <w:t>. Matriz de Indicadores para Resultados</w:t>
      </w:r>
      <w:r w:rsidR="00D57510" w:rsidRPr="002740EA">
        <w:rPr>
          <w:rFonts w:cs="Arial"/>
          <w:b/>
          <w:szCs w:val="24"/>
        </w:rPr>
        <w:t>:</w:t>
      </w:r>
    </w:p>
    <w:p w14:paraId="6BF83FBE" w14:textId="77777777" w:rsidR="00306604" w:rsidRPr="002740EA" w:rsidRDefault="00306604" w:rsidP="00093313">
      <w:pPr>
        <w:spacing w:after="0" w:line="276" w:lineRule="auto"/>
        <w:ind w:left="360" w:hanging="360"/>
        <w:jc w:val="both"/>
        <w:rPr>
          <w:rFonts w:cs="Arial"/>
          <w:szCs w:val="24"/>
        </w:rPr>
      </w:pPr>
    </w:p>
    <w:p w14:paraId="756F95E8" w14:textId="3DE5F7EA" w:rsidR="00BD4BE3" w:rsidRPr="002740EA" w:rsidRDefault="00BD4BE3" w:rsidP="00093313">
      <w:pPr>
        <w:spacing w:after="0" w:line="276" w:lineRule="auto"/>
        <w:ind w:left="360" w:hanging="360"/>
        <w:jc w:val="both"/>
        <w:rPr>
          <w:rFonts w:cs="Arial"/>
          <w:b/>
          <w:szCs w:val="24"/>
          <w:lang w:val="es-ES_tradnl"/>
        </w:rPr>
      </w:pPr>
      <w:r w:rsidRPr="002740EA">
        <w:rPr>
          <w:rFonts w:cs="Arial"/>
          <w:b/>
          <w:szCs w:val="24"/>
        </w:rPr>
        <w:t>2.1</w:t>
      </w:r>
      <w:r w:rsidR="00BE4C56" w:rsidRPr="002740EA">
        <w:rPr>
          <w:rFonts w:cs="Arial"/>
          <w:b/>
          <w:szCs w:val="24"/>
        </w:rPr>
        <w:t>.</w:t>
      </w:r>
      <w:r w:rsidRPr="002740EA">
        <w:rPr>
          <w:rFonts w:cs="Arial"/>
          <w:b/>
          <w:szCs w:val="24"/>
        </w:rPr>
        <w:t xml:space="preserve"> </w:t>
      </w:r>
      <w:r w:rsidRPr="002740EA">
        <w:rPr>
          <w:rFonts w:cs="Arial"/>
          <w:b/>
          <w:szCs w:val="24"/>
          <w:lang w:val="es-ES_tradnl"/>
        </w:rPr>
        <w:t>Evaluación de las Matrices de Indicadores para Resultados (MIR).</w:t>
      </w:r>
    </w:p>
    <w:p w14:paraId="14C98BB4" w14:textId="77777777" w:rsidR="00823E8A" w:rsidRPr="002740EA" w:rsidRDefault="00823E8A" w:rsidP="000C6B37">
      <w:pPr>
        <w:spacing w:after="0" w:line="276" w:lineRule="auto"/>
        <w:ind w:left="708"/>
        <w:jc w:val="both"/>
        <w:rPr>
          <w:rFonts w:cs="Arial"/>
          <w:b/>
          <w:szCs w:val="24"/>
          <w:lang w:val="es-ES_tradnl"/>
        </w:rPr>
      </w:pPr>
    </w:p>
    <w:p w14:paraId="66B66CA2" w14:textId="6A9AF762" w:rsidR="00546F85" w:rsidRPr="002740EA" w:rsidRDefault="00BB3301" w:rsidP="000C6B37">
      <w:pPr>
        <w:spacing w:after="0"/>
        <w:ind w:left="1134" w:hanging="708"/>
        <w:jc w:val="both"/>
        <w:rPr>
          <w:rFonts w:cs="Arial"/>
          <w:szCs w:val="24"/>
          <w:lang w:eastAsia="es-MX"/>
        </w:rPr>
      </w:pPr>
      <w:r w:rsidRPr="002740EA">
        <w:rPr>
          <w:rFonts w:cs="Arial"/>
          <w:szCs w:val="24"/>
          <w:lang w:eastAsia="es-MX"/>
        </w:rPr>
        <w:t>2.1.1</w:t>
      </w:r>
      <w:r w:rsidR="00147504" w:rsidRPr="002740EA">
        <w:rPr>
          <w:rFonts w:cs="Arial"/>
          <w:szCs w:val="24"/>
          <w:lang w:eastAsia="es-MX"/>
        </w:rPr>
        <w:t>.</w:t>
      </w:r>
      <w:r w:rsidRPr="002740EA">
        <w:rPr>
          <w:rFonts w:cs="Arial"/>
          <w:szCs w:val="24"/>
          <w:lang w:eastAsia="es-MX"/>
        </w:rPr>
        <w:t xml:space="preserve"> Determinar cuáles son los Programas Presupuestarios que operó el </w:t>
      </w:r>
      <w:r w:rsidR="007D13F3" w:rsidRPr="002740EA">
        <w:rPr>
          <w:rFonts w:cs="Arial"/>
          <w:szCs w:val="24"/>
          <w:lang w:eastAsia="es-MX"/>
        </w:rPr>
        <w:t xml:space="preserve">   </w:t>
      </w:r>
      <w:r w:rsidR="00F23790" w:rsidRPr="002740EA">
        <w:rPr>
          <w:rFonts w:cs="Arial"/>
          <w:szCs w:val="24"/>
          <w:lang w:eastAsia="es-MX"/>
        </w:rPr>
        <w:t>e</w:t>
      </w:r>
      <w:r w:rsidRPr="002740EA">
        <w:rPr>
          <w:rFonts w:cs="Arial"/>
          <w:szCs w:val="24"/>
          <w:lang w:eastAsia="es-MX"/>
        </w:rPr>
        <w:t>nte en el Ejercicio Fiscal 202</w:t>
      </w:r>
      <w:r w:rsidR="005F25AD" w:rsidRPr="002740EA">
        <w:rPr>
          <w:rFonts w:cs="Arial"/>
          <w:szCs w:val="24"/>
          <w:lang w:eastAsia="es-MX"/>
        </w:rPr>
        <w:t>0.</w:t>
      </w:r>
    </w:p>
    <w:p w14:paraId="40AFAE41" w14:textId="630CC04D" w:rsidR="00546F85" w:rsidRPr="002740EA" w:rsidRDefault="00BB3301" w:rsidP="000C6B37">
      <w:pPr>
        <w:spacing w:after="0"/>
        <w:ind w:left="1134" w:hanging="708"/>
        <w:jc w:val="both"/>
        <w:rPr>
          <w:rFonts w:cs="Arial"/>
          <w:szCs w:val="24"/>
          <w:lang w:eastAsia="es-MX"/>
        </w:rPr>
      </w:pPr>
      <w:r w:rsidRPr="002740EA">
        <w:rPr>
          <w:rFonts w:cs="Arial"/>
          <w:szCs w:val="24"/>
          <w:lang w:eastAsia="es-MX"/>
        </w:rPr>
        <w:t>2.1.2</w:t>
      </w:r>
      <w:r w:rsidR="00546F85" w:rsidRPr="002740EA">
        <w:rPr>
          <w:rFonts w:cs="Arial"/>
          <w:szCs w:val="24"/>
          <w:lang w:eastAsia="es-MX"/>
        </w:rPr>
        <w:t>.</w:t>
      </w:r>
      <w:r w:rsidRPr="002740EA">
        <w:rPr>
          <w:rFonts w:cs="Arial"/>
          <w:szCs w:val="24"/>
          <w:lang w:eastAsia="es-MX"/>
        </w:rPr>
        <w:t xml:space="preserve"> Verificar que exista una MIR por cada programa presupuestario establecido por el ente.</w:t>
      </w:r>
    </w:p>
    <w:p w14:paraId="4F4D359F" w14:textId="77777777" w:rsidR="00BD0884" w:rsidRPr="002740EA" w:rsidRDefault="00BB3301" w:rsidP="000C6B37">
      <w:pPr>
        <w:spacing w:after="0"/>
        <w:ind w:left="1134" w:hanging="708"/>
        <w:jc w:val="both"/>
        <w:rPr>
          <w:rFonts w:cs="Arial"/>
          <w:szCs w:val="24"/>
          <w:lang w:eastAsia="es-MX"/>
        </w:rPr>
      </w:pPr>
      <w:r w:rsidRPr="002740EA">
        <w:rPr>
          <w:rFonts w:cs="Arial"/>
          <w:szCs w:val="24"/>
          <w:lang w:eastAsia="es-MX"/>
        </w:rPr>
        <w:t>2.1.3</w:t>
      </w:r>
      <w:r w:rsidR="00546F85" w:rsidRPr="002740EA">
        <w:rPr>
          <w:rFonts w:cs="Arial"/>
          <w:szCs w:val="24"/>
          <w:lang w:eastAsia="es-MX"/>
        </w:rPr>
        <w:t>.</w:t>
      </w:r>
      <w:r w:rsidRPr="002740EA">
        <w:rPr>
          <w:rFonts w:cs="Arial"/>
          <w:szCs w:val="24"/>
          <w:lang w:eastAsia="es-MX"/>
        </w:rPr>
        <w:t xml:space="preserve"> Verificar que cada uno de los indicadores establecidos en la MIR cuente con la ficha técnica correspondiente.</w:t>
      </w:r>
    </w:p>
    <w:p w14:paraId="08A8ABCA" w14:textId="78269DBA" w:rsidR="003C39A9" w:rsidRPr="002740EA" w:rsidRDefault="00BB3301" w:rsidP="000C6B37">
      <w:pPr>
        <w:spacing w:after="0"/>
        <w:ind w:left="1134" w:hanging="708"/>
        <w:jc w:val="both"/>
        <w:rPr>
          <w:rFonts w:cs="Arial"/>
          <w:szCs w:val="24"/>
          <w:lang w:eastAsia="es-MX"/>
        </w:rPr>
      </w:pPr>
      <w:r w:rsidRPr="002740EA">
        <w:rPr>
          <w:rFonts w:cs="Arial"/>
          <w:szCs w:val="24"/>
          <w:lang w:eastAsia="es-MX"/>
        </w:rPr>
        <w:t>2.1.4</w:t>
      </w:r>
      <w:r w:rsidR="00BD0884" w:rsidRPr="002740EA">
        <w:rPr>
          <w:rFonts w:cs="Arial"/>
          <w:szCs w:val="24"/>
          <w:lang w:eastAsia="es-MX"/>
        </w:rPr>
        <w:t>.</w:t>
      </w:r>
      <w:r w:rsidRPr="002740EA">
        <w:rPr>
          <w:rFonts w:cs="Arial"/>
          <w:szCs w:val="24"/>
          <w:lang w:eastAsia="es-MX"/>
        </w:rPr>
        <w:t xml:space="preserve"> Analizar las Matrices de Indicadores para Resultados de cada Programa Presupuestario,</w:t>
      </w:r>
      <w:r w:rsidR="001A46CA" w:rsidRPr="002740EA">
        <w:rPr>
          <w:rFonts w:cs="Arial"/>
          <w:szCs w:val="24"/>
          <w:lang w:eastAsia="es-MX"/>
        </w:rPr>
        <w:t xml:space="preserve"> </w:t>
      </w:r>
      <w:r w:rsidRPr="002740EA">
        <w:rPr>
          <w:rFonts w:cs="Arial"/>
          <w:szCs w:val="24"/>
          <w:lang w:eastAsia="es-MX"/>
        </w:rPr>
        <w:t>realizando las valoraciones de cada uno de los objetivos, indicadores, medios de verificación y supuestos a fin de determinar si se cumplió con la lógica vertical y la lógica horizontal.</w:t>
      </w:r>
    </w:p>
    <w:p w14:paraId="3E128066" w14:textId="77777777" w:rsidR="00E85848" w:rsidRPr="002740EA" w:rsidRDefault="00E85848" w:rsidP="002E3C6E">
      <w:pPr>
        <w:spacing w:line="276" w:lineRule="auto"/>
        <w:rPr>
          <w:rFonts w:cs="Arial"/>
          <w:b/>
          <w:szCs w:val="24"/>
          <w:lang w:eastAsia="es-ES"/>
        </w:rPr>
      </w:pPr>
    </w:p>
    <w:p w14:paraId="61093A6A" w14:textId="502F3509" w:rsidR="00E85848" w:rsidRPr="002740EA" w:rsidRDefault="00E85848" w:rsidP="002E3C6E">
      <w:pPr>
        <w:spacing w:line="276" w:lineRule="auto"/>
        <w:ind w:left="360" w:hanging="360"/>
        <w:rPr>
          <w:rFonts w:cs="Arial"/>
          <w:b/>
          <w:szCs w:val="24"/>
        </w:rPr>
      </w:pPr>
      <w:r w:rsidRPr="002740EA">
        <w:rPr>
          <w:rFonts w:cs="Arial"/>
          <w:b/>
          <w:szCs w:val="24"/>
          <w:lang w:eastAsia="es-ES"/>
        </w:rPr>
        <w:t>Competencia de los Actores</w:t>
      </w:r>
    </w:p>
    <w:p w14:paraId="49D31C34" w14:textId="0063C723" w:rsidR="00FF5683" w:rsidRPr="002740EA" w:rsidRDefault="00806526" w:rsidP="002E3C6E">
      <w:pPr>
        <w:spacing w:after="0" w:line="276" w:lineRule="auto"/>
        <w:ind w:left="360" w:hanging="360"/>
        <w:jc w:val="both"/>
        <w:rPr>
          <w:rFonts w:cs="Arial"/>
          <w:b/>
          <w:szCs w:val="24"/>
        </w:rPr>
      </w:pPr>
      <w:r w:rsidRPr="002740EA">
        <w:rPr>
          <w:rFonts w:cs="Arial"/>
          <w:b/>
          <w:szCs w:val="24"/>
        </w:rPr>
        <w:t>3. Capacitación:</w:t>
      </w:r>
    </w:p>
    <w:p w14:paraId="1BC878E7" w14:textId="77777777" w:rsidR="00605760" w:rsidRPr="002740EA" w:rsidRDefault="00605760" w:rsidP="000C6B37">
      <w:pPr>
        <w:spacing w:after="0"/>
        <w:ind w:left="360" w:hanging="360"/>
        <w:jc w:val="both"/>
        <w:rPr>
          <w:rFonts w:cs="Arial"/>
          <w:b/>
          <w:szCs w:val="24"/>
        </w:rPr>
      </w:pPr>
    </w:p>
    <w:p w14:paraId="42EDDD18" w14:textId="2A250F87" w:rsidR="00FF5683" w:rsidRPr="002740EA" w:rsidRDefault="00FF5683" w:rsidP="000C6B37">
      <w:pPr>
        <w:spacing w:after="0"/>
        <w:ind w:left="360" w:hanging="360"/>
        <w:jc w:val="both"/>
        <w:rPr>
          <w:rFonts w:cs="Arial"/>
          <w:b/>
          <w:szCs w:val="24"/>
          <w:lang w:val="es-ES_tradnl"/>
        </w:rPr>
      </w:pPr>
      <w:r w:rsidRPr="002740EA">
        <w:rPr>
          <w:rFonts w:cs="Arial"/>
          <w:b/>
          <w:szCs w:val="24"/>
        </w:rPr>
        <w:t xml:space="preserve">3.1 Capacitación para el </w:t>
      </w:r>
      <w:r w:rsidRPr="002740EA">
        <w:rPr>
          <w:rFonts w:cs="Arial"/>
          <w:b/>
          <w:szCs w:val="24"/>
          <w:lang w:val="es-ES_tradnl"/>
        </w:rPr>
        <w:t>personal encargado de la elaboración de las MIR</w:t>
      </w:r>
      <w:r w:rsidR="00E8607C" w:rsidRPr="002740EA">
        <w:rPr>
          <w:rFonts w:cs="Arial"/>
          <w:b/>
          <w:szCs w:val="24"/>
          <w:lang w:val="es-ES_tradnl"/>
        </w:rPr>
        <w:t>.</w:t>
      </w:r>
    </w:p>
    <w:p w14:paraId="6AD18555" w14:textId="77777777" w:rsidR="00894EBF" w:rsidRPr="002740EA" w:rsidRDefault="00894EBF" w:rsidP="000C6B37">
      <w:pPr>
        <w:spacing w:after="0"/>
        <w:ind w:left="360"/>
        <w:jc w:val="both"/>
        <w:rPr>
          <w:rFonts w:cs="Arial"/>
          <w:b/>
          <w:szCs w:val="24"/>
        </w:rPr>
      </w:pPr>
    </w:p>
    <w:p w14:paraId="3A47B244" w14:textId="708624C7" w:rsidR="00FF5683" w:rsidRPr="002740EA" w:rsidRDefault="009D5FF4" w:rsidP="000C6B37">
      <w:pPr>
        <w:spacing w:after="0"/>
        <w:ind w:left="1134" w:hanging="708"/>
        <w:jc w:val="both"/>
        <w:rPr>
          <w:rFonts w:cs="Arial"/>
          <w:szCs w:val="24"/>
          <w:lang w:eastAsia="es-MX"/>
        </w:rPr>
      </w:pPr>
      <w:r w:rsidRPr="002740EA">
        <w:rPr>
          <w:rFonts w:cs="Arial"/>
          <w:szCs w:val="24"/>
          <w:lang w:eastAsia="es-MX"/>
        </w:rPr>
        <w:t>3.1.1 Verificar que se haya brindado capacitación en materia de Presupuesto basado en Resu</w:t>
      </w:r>
      <w:r w:rsidR="005F0081">
        <w:rPr>
          <w:rFonts w:cs="Arial"/>
          <w:szCs w:val="24"/>
          <w:lang w:eastAsia="es-MX"/>
        </w:rPr>
        <w:t>ltados, Sistema de Evaluación del</w:t>
      </w:r>
      <w:r w:rsidRPr="002740EA">
        <w:rPr>
          <w:rFonts w:cs="Arial"/>
          <w:szCs w:val="24"/>
          <w:lang w:eastAsia="es-MX"/>
        </w:rPr>
        <w:t xml:space="preserve"> Desempeño, Matrices de Indicadores para Resultados y Metodología del Marco Lógico al personal encargado de elaborar la MIR.</w:t>
      </w:r>
    </w:p>
    <w:p w14:paraId="6B8EBEA8" w14:textId="7D21885C" w:rsidR="00B57301" w:rsidRPr="002740EA" w:rsidRDefault="00B57301" w:rsidP="000C6B37">
      <w:pPr>
        <w:spacing w:after="0"/>
        <w:ind w:left="708"/>
        <w:jc w:val="both"/>
        <w:rPr>
          <w:rFonts w:cs="Arial"/>
          <w:szCs w:val="24"/>
          <w:lang w:eastAsia="es-MX"/>
        </w:rPr>
      </w:pPr>
    </w:p>
    <w:p w14:paraId="0A792F74" w14:textId="34E59622" w:rsidR="004E3557" w:rsidRPr="002740EA" w:rsidRDefault="004E3557" w:rsidP="000C6B37">
      <w:pPr>
        <w:spacing w:after="0"/>
        <w:ind w:left="708"/>
        <w:jc w:val="both"/>
        <w:rPr>
          <w:rFonts w:cs="Arial"/>
          <w:szCs w:val="24"/>
          <w:lang w:eastAsia="es-MX"/>
        </w:rPr>
      </w:pPr>
    </w:p>
    <w:p w14:paraId="66BD5A9C" w14:textId="6E08352E" w:rsidR="004E3557" w:rsidRPr="002740EA" w:rsidRDefault="004E3557" w:rsidP="000C6B37">
      <w:pPr>
        <w:spacing w:after="0"/>
        <w:ind w:left="708"/>
        <w:jc w:val="both"/>
        <w:rPr>
          <w:rFonts w:cs="Arial"/>
          <w:szCs w:val="24"/>
          <w:lang w:eastAsia="es-MX"/>
        </w:rPr>
      </w:pPr>
    </w:p>
    <w:p w14:paraId="4BED1607" w14:textId="676E732D" w:rsidR="004E3557" w:rsidRPr="002740EA" w:rsidRDefault="004E3557" w:rsidP="000C6B37">
      <w:pPr>
        <w:spacing w:after="0"/>
        <w:ind w:left="708"/>
        <w:jc w:val="both"/>
        <w:rPr>
          <w:rFonts w:cs="Arial"/>
          <w:szCs w:val="24"/>
          <w:lang w:eastAsia="es-MX"/>
        </w:rPr>
      </w:pPr>
    </w:p>
    <w:p w14:paraId="134567E2" w14:textId="77777777" w:rsidR="00093313" w:rsidRPr="002740EA" w:rsidRDefault="00093313" w:rsidP="000C6B37">
      <w:pPr>
        <w:spacing w:after="0"/>
        <w:ind w:left="708"/>
        <w:jc w:val="both"/>
        <w:rPr>
          <w:rFonts w:cs="Arial"/>
          <w:szCs w:val="24"/>
          <w:lang w:eastAsia="es-MX"/>
        </w:rPr>
      </w:pPr>
    </w:p>
    <w:p w14:paraId="5E84F59F" w14:textId="7B4B2048" w:rsidR="004E3557" w:rsidRPr="002740EA" w:rsidRDefault="004E3557" w:rsidP="000C6B37">
      <w:pPr>
        <w:spacing w:after="0"/>
        <w:ind w:left="708"/>
        <w:jc w:val="both"/>
        <w:rPr>
          <w:rFonts w:cs="Arial"/>
          <w:szCs w:val="24"/>
          <w:lang w:eastAsia="es-MX"/>
        </w:rPr>
      </w:pPr>
    </w:p>
    <w:p w14:paraId="0C22765A" w14:textId="7C0CDCD2" w:rsidR="004E3557" w:rsidRPr="002740EA" w:rsidRDefault="004E3557" w:rsidP="000C6B37">
      <w:pPr>
        <w:spacing w:after="0"/>
        <w:ind w:left="708"/>
        <w:jc w:val="both"/>
        <w:rPr>
          <w:rFonts w:cs="Arial"/>
          <w:szCs w:val="24"/>
          <w:lang w:eastAsia="es-MX"/>
        </w:rPr>
      </w:pPr>
    </w:p>
    <w:p w14:paraId="5E3518B5" w14:textId="3D4EA8B3" w:rsidR="00045684" w:rsidRPr="002740EA" w:rsidRDefault="000A0315" w:rsidP="000C6B37">
      <w:pPr>
        <w:pStyle w:val="Ttulo3"/>
        <w:keepNext w:val="0"/>
        <w:keepLines w:val="0"/>
        <w:numPr>
          <w:ilvl w:val="0"/>
          <w:numId w:val="1"/>
        </w:numPr>
        <w:spacing w:before="0" w:line="276" w:lineRule="auto"/>
        <w:jc w:val="both"/>
        <w:rPr>
          <w:rFonts w:ascii="Arial" w:eastAsiaTheme="minorHAnsi" w:hAnsi="Arial" w:cs="Arial"/>
          <w:b/>
          <w:color w:val="auto"/>
          <w:sz w:val="16"/>
          <w:szCs w:val="16"/>
        </w:rPr>
      </w:pPr>
      <w:bookmarkStart w:id="17" w:name="_Toc11413509"/>
      <w:bookmarkStart w:id="18" w:name="_Toc75348449"/>
      <w:r w:rsidRPr="002740EA">
        <w:rPr>
          <w:rFonts w:ascii="Arial" w:eastAsiaTheme="minorHAnsi" w:hAnsi="Arial" w:cs="Arial"/>
          <w:b/>
          <w:color w:val="auto"/>
        </w:rPr>
        <w:lastRenderedPageBreak/>
        <w:t xml:space="preserve">Servidores Públicos que intervinieron en </w:t>
      </w:r>
      <w:bookmarkEnd w:id="17"/>
      <w:r w:rsidR="007C4F20" w:rsidRPr="002740EA">
        <w:rPr>
          <w:rFonts w:ascii="Arial" w:eastAsiaTheme="minorHAnsi" w:hAnsi="Arial" w:cs="Arial"/>
          <w:b/>
          <w:color w:val="auto"/>
        </w:rPr>
        <w:t>la Auditoría</w:t>
      </w:r>
      <w:bookmarkEnd w:id="18"/>
    </w:p>
    <w:p w14:paraId="0DAAB9F7" w14:textId="77777777" w:rsidR="00BC6158" w:rsidRPr="002740EA" w:rsidRDefault="00BC6158" w:rsidP="000C6B37">
      <w:pPr>
        <w:rPr>
          <w:sz w:val="2"/>
          <w:szCs w:val="16"/>
        </w:rPr>
      </w:pPr>
    </w:p>
    <w:p w14:paraId="3601C453" w14:textId="3764CBEC" w:rsidR="002629BD" w:rsidRPr="002740EA" w:rsidRDefault="002629BD" w:rsidP="000C6B37">
      <w:pPr>
        <w:spacing w:after="0" w:line="276" w:lineRule="auto"/>
        <w:jc w:val="both"/>
        <w:rPr>
          <w:rFonts w:cs="Arial"/>
        </w:rPr>
      </w:pPr>
      <w:r w:rsidRPr="002740EA">
        <w:rPr>
          <w:rFonts w:cs="Arial"/>
        </w:rPr>
        <w:t>El personal designado adscrito a la Auditoría Especial en Materia al Desempeño de esta Auditoría Superior del Estado que actuó en el desarrollo y ejecución de la auditoría, visita e inspección en forma conjunta o separada, mismo que se identificó como personal de este Órgano Técnico de Fiscalización, se encuentra referido en la orden emitida con oficio número ASEQROO/ASE/AEMD/0</w:t>
      </w:r>
      <w:r w:rsidR="00414134" w:rsidRPr="002740EA">
        <w:rPr>
          <w:rFonts w:cs="Arial"/>
        </w:rPr>
        <w:t>442</w:t>
      </w:r>
      <w:r w:rsidRPr="002740EA">
        <w:rPr>
          <w:rFonts w:cs="Arial"/>
        </w:rPr>
        <w:t>/04/2021, siendo los servidores públicos a cargo de coordinar y supervisar la auditoría, los siguientes:</w:t>
      </w:r>
    </w:p>
    <w:p w14:paraId="69345D12" w14:textId="618E8359" w:rsidR="007A7682" w:rsidRPr="002740EA" w:rsidRDefault="007A7682" w:rsidP="000C6B37">
      <w:pPr>
        <w:spacing w:after="0"/>
        <w:ind w:left="708"/>
        <w:jc w:val="both"/>
        <w:rPr>
          <w:rFonts w:cs="Arial"/>
        </w:rPr>
      </w:pPr>
    </w:p>
    <w:tbl>
      <w:tblPr>
        <w:tblStyle w:val="Tablaconcuadrcula"/>
        <w:tblW w:w="0" w:type="auto"/>
        <w:tblInd w:w="-5" w:type="dxa"/>
        <w:tblLook w:val="04A0" w:firstRow="1" w:lastRow="0" w:firstColumn="1" w:lastColumn="0" w:noHBand="0" w:noVBand="1"/>
      </w:tblPr>
      <w:tblGrid>
        <w:gridCol w:w="4395"/>
        <w:gridCol w:w="4438"/>
      </w:tblGrid>
      <w:tr w:rsidR="00CE1ACA" w:rsidRPr="002740EA" w14:paraId="039BDA43" w14:textId="77777777" w:rsidTr="00B344ED">
        <w:tc>
          <w:tcPr>
            <w:tcW w:w="4395" w:type="dxa"/>
            <w:shd w:val="clear" w:color="auto" w:fill="E7E6E6" w:themeFill="background2"/>
          </w:tcPr>
          <w:p w14:paraId="0DFD925C" w14:textId="07E38CC8" w:rsidR="00CE1ACA" w:rsidRPr="002740EA" w:rsidRDefault="00CE1ACA" w:rsidP="000C6B37">
            <w:pPr>
              <w:jc w:val="center"/>
              <w:rPr>
                <w:rFonts w:cs="Arial"/>
                <w:b/>
                <w:sz w:val="20"/>
                <w:szCs w:val="20"/>
              </w:rPr>
            </w:pPr>
            <w:r w:rsidRPr="002740EA">
              <w:rPr>
                <w:rFonts w:cs="Arial"/>
                <w:b/>
                <w:sz w:val="20"/>
                <w:szCs w:val="20"/>
              </w:rPr>
              <w:t>NOMBRE</w:t>
            </w:r>
          </w:p>
        </w:tc>
        <w:tc>
          <w:tcPr>
            <w:tcW w:w="4438" w:type="dxa"/>
            <w:shd w:val="clear" w:color="auto" w:fill="E7E6E6" w:themeFill="background2"/>
          </w:tcPr>
          <w:p w14:paraId="53E497AE" w14:textId="3E7A705A" w:rsidR="00CE1ACA" w:rsidRPr="002740EA" w:rsidRDefault="00CE1ACA" w:rsidP="000C6B37">
            <w:pPr>
              <w:jc w:val="center"/>
              <w:rPr>
                <w:rFonts w:cs="Arial"/>
                <w:b/>
                <w:sz w:val="20"/>
                <w:szCs w:val="20"/>
              </w:rPr>
            </w:pPr>
            <w:r w:rsidRPr="002740EA">
              <w:rPr>
                <w:rFonts w:cs="Arial"/>
                <w:b/>
                <w:sz w:val="20"/>
                <w:szCs w:val="20"/>
              </w:rPr>
              <w:t>CARGO</w:t>
            </w:r>
          </w:p>
        </w:tc>
      </w:tr>
      <w:tr w:rsidR="00CE1ACA" w:rsidRPr="002740EA" w14:paraId="3CA96D20" w14:textId="77777777" w:rsidTr="00FB39E3">
        <w:tc>
          <w:tcPr>
            <w:tcW w:w="4395" w:type="dxa"/>
            <w:tcBorders>
              <w:bottom w:val="single" w:sz="4" w:space="0" w:color="auto"/>
            </w:tcBorders>
          </w:tcPr>
          <w:p w14:paraId="0D10ECF9" w14:textId="5C98C3D2" w:rsidR="00CE1ACA" w:rsidRPr="002740EA" w:rsidRDefault="00CE1ACA" w:rsidP="000C6B37">
            <w:pPr>
              <w:rPr>
                <w:rFonts w:cs="Arial"/>
                <w:sz w:val="20"/>
                <w:szCs w:val="20"/>
              </w:rPr>
            </w:pPr>
            <w:r w:rsidRPr="002740EA">
              <w:rPr>
                <w:rFonts w:cs="Arial"/>
                <w:sz w:val="20"/>
                <w:szCs w:val="20"/>
              </w:rPr>
              <w:t xml:space="preserve">M. Aud. </w:t>
            </w:r>
            <w:r w:rsidR="00DC170A">
              <w:rPr>
                <w:rFonts w:cs="Arial"/>
                <w:sz w:val="20"/>
                <w:szCs w:val="20"/>
              </w:rPr>
              <w:t>Marits</w:t>
            </w:r>
            <w:r w:rsidR="00D55E6E" w:rsidRPr="002740EA">
              <w:rPr>
                <w:rFonts w:cs="Arial"/>
                <w:sz w:val="20"/>
                <w:szCs w:val="20"/>
              </w:rPr>
              <w:t>a</w:t>
            </w:r>
            <w:r w:rsidRPr="002740EA">
              <w:rPr>
                <w:rFonts w:cs="Arial"/>
                <w:sz w:val="20"/>
                <w:szCs w:val="20"/>
              </w:rPr>
              <w:t xml:space="preserve"> Cristal Sanmiguel Chan – C.F.P.</w:t>
            </w:r>
          </w:p>
        </w:tc>
        <w:tc>
          <w:tcPr>
            <w:tcW w:w="4438" w:type="dxa"/>
            <w:tcBorders>
              <w:bottom w:val="single" w:sz="4" w:space="0" w:color="auto"/>
            </w:tcBorders>
          </w:tcPr>
          <w:p w14:paraId="5D5FBB83" w14:textId="11E5C5D4" w:rsidR="00CE1ACA" w:rsidRPr="002740EA" w:rsidRDefault="00CE1ACA" w:rsidP="000C6B37">
            <w:pPr>
              <w:rPr>
                <w:rFonts w:cs="Arial"/>
                <w:sz w:val="20"/>
                <w:szCs w:val="20"/>
              </w:rPr>
            </w:pPr>
            <w:r w:rsidRPr="002740EA">
              <w:rPr>
                <w:rFonts w:cs="Arial"/>
                <w:bCs/>
                <w:sz w:val="20"/>
                <w:szCs w:val="20"/>
              </w:rPr>
              <w:t>Coordinadora de la Dirección de Fiscalización en Materia al Desempeño “A”.</w:t>
            </w:r>
          </w:p>
        </w:tc>
      </w:tr>
      <w:tr w:rsidR="00CE1ACA" w:rsidRPr="002740EA" w14:paraId="3807870D" w14:textId="77777777" w:rsidTr="00DC170A">
        <w:tc>
          <w:tcPr>
            <w:tcW w:w="4395" w:type="dxa"/>
            <w:tcBorders>
              <w:bottom w:val="single" w:sz="4" w:space="0" w:color="auto"/>
            </w:tcBorders>
            <w:vAlign w:val="center"/>
          </w:tcPr>
          <w:p w14:paraId="4ACC4AFA" w14:textId="68F92D31" w:rsidR="00CE1ACA" w:rsidRPr="002740EA" w:rsidRDefault="00CE1ACA" w:rsidP="00DC170A">
            <w:pPr>
              <w:jc w:val="center"/>
              <w:rPr>
                <w:rFonts w:cs="Arial"/>
                <w:sz w:val="20"/>
                <w:szCs w:val="20"/>
              </w:rPr>
            </w:pPr>
            <w:r w:rsidRPr="002740EA">
              <w:rPr>
                <w:rFonts w:eastAsia="Times New Roman" w:cs="Arial"/>
                <w:sz w:val="20"/>
                <w:szCs w:val="20"/>
                <w:lang w:eastAsia="es-ES"/>
              </w:rPr>
              <w:t>C.P. Iván David Rangel Villanueva</w:t>
            </w:r>
            <w:r w:rsidR="00601D30" w:rsidRPr="002740EA">
              <w:rPr>
                <w:rFonts w:eastAsia="Times New Roman" w:cs="Arial"/>
                <w:sz w:val="20"/>
                <w:szCs w:val="20"/>
                <w:lang w:eastAsia="es-ES"/>
              </w:rPr>
              <w:t xml:space="preserve"> </w:t>
            </w:r>
            <w:r w:rsidRPr="002740EA">
              <w:rPr>
                <w:rFonts w:cs="Arial"/>
                <w:sz w:val="20"/>
                <w:szCs w:val="20"/>
              </w:rPr>
              <w:t>–</w:t>
            </w:r>
            <w:bookmarkStart w:id="19" w:name="_GoBack"/>
            <w:bookmarkEnd w:id="19"/>
            <w:r w:rsidRPr="002740EA">
              <w:rPr>
                <w:rFonts w:cs="Arial"/>
                <w:sz w:val="20"/>
                <w:szCs w:val="20"/>
              </w:rPr>
              <w:t xml:space="preserve"> C.F.P.</w:t>
            </w:r>
          </w:p>
        </w:tc>
        <w:tc>
          <w:tcPr>
            <w:tcW w:w="4438" w:type="dxa"/>
            <w:tcBorders>
              <w:bottom w:val="single" w:sz="4" w:space="0" w:color="auto"/>
            </w:tcBorders>
          </w:tcPr>
          <w:p w14:paraId="1A65374F" w14:textId="19A4F91E" w:rsidR="00CE1ACA" w:rsidRPr="002740EA" w:rsidRDefault="00CE1ACA" w:rsidP="000C6B37">
            <w:pPr>
              <w:jc w:val="both"/>
              <w:rPr>
                <w:rFonts w:cs="Arial"/>
                <w:sz w:val="20"/>
                <w:szCs w:val="20"/>
              </w:rPr>
            </w:pPr>
            <w:r w:rsidRPr="002740EA">
              <w:rPr>
                <w:rFonts w:eastAsia="Times New Roman" w:cs="Arial"/>
                <w:bCs/>
                <w:sz w:val="20"/>
                <w:szCs w:val="20"/>
                <w:lang w:val="es-ES" w:eastAsia="es-ES"/>
              </w:rPr>
              <w:t>Supervisor de la Dirección de Fiscalización en Materia al Desempeño “A”.</w:t>
            </w:r>
          </w:p>
        </w:tc>
      </w:tr>
    </w:tbl>
    <w:p w14:paraId="6323C97C" w14:textId="4FA9C57B" w:rsidR="00006842" w:rsidRPr="002740EA" w:rsidRDefault="00006842" w:rsidP="000C6B37">
      <w:pPr>
        <w:spacing w:after="0"/>
        <w:jc w:val="both"/>
        <w:rPr>
          <w:rFonts w:cs="Arial"/>
        </w:rPr>
      </w:pPr>
    </w:p>
    <w:p w14:paraId="3F09D9E6" w14:textId="77777777" w:rsidR="00C65C04" w:rsidRPr="002740EA" w:rsidRDefault="00C65C04" w:rsidP="000C6B37">
      <w:pPr>
        <w:spacing w:after="0"/>
        <w:jc w:val="both"/>
        <w:rPr>
          <w:rFonts w:cs="Arial"/>
        </w:rPr>
      </w:pPr>
    </w:p>
    <w:p w14:paraId="20B0E5F3" w14:textId="15B1D9D0" w:rsidR="008D727C" w:rsidRPr="002740EA" w:rsidRDefault="00AD3BF3" w:rsidP="000C6B37">
      <w:pPr>
        <w:pStyle w:val="Ttulo2"/>
        <w:spacing w:before="0"/>
        <w:rPr>
          <w:rStyle w:val="Ttulo2Car"/>
          <w:rFonts w:cs="Arial"/>
          <w:b/>
          <w:szCs w:val="24"/>
        </w:rPr>
      </w:pPr>
      <w:bookmarkStart w:id="20" w:name="_Toc11413510"/>
      <w:bookmarkStart w:id="21" w:name="_Toc75348450"/>
      <w:r w:rsidRPr="002740EA">
        <w:rPr>
          <w:rFonts w:cs="Arial"/>
          <w:szCs w:val="24"/>
        </w:rPr>
        <w:t>I</w:t>
      </w:r>
      <w:r w:rsidRPr="002740EA">
        <w:rPr>
          <w:rStyle w:val="Ttulo2Car"/>
          <w:rFonts w:cs="Arial"/>
          <w:szCs w:val="24"/>
        </w:rPr>
        <w:t>.</w:t>
      </w:r>
      <w:r w:rsidR="00AA270F" w:rsidRPr="002740EA">
        <w:rPr>
          <w:rStyle w:val="Ttulo2Car"/>
          <w:rFonts w:cs="Arial"/>
          <w:b/>
          <w:szCs w:val="24"/>
        </w:rPr>
        <w:t>3</w:t>
      </w:r>
      <w:r w:rsidRPr="002740EA">
        <w:rPr>
          <w:rStyle w:val="Ttulo2Car"/>
          <w:rFonts w:cs="Arial"/>
          <w:b/>
          <w:szCs w:val="24"/>
        </w:rPr>
        <w:t>.</w:t>
      </w:r>
      <w:r w:rsidR="00216F12" w:rsidRPr="002740EA">
        <w:rPr>
          <w:rStyle w:val="Ttulo2Car"/>
          <w:rFonts w:cs="Arial"/>
          <w:szCs w:val="24"/>
        </w:rPr>
        <w:t xml:space="preserve"> </w:t>
      </w:r>
      <w:r w:rsidR="008D727C" w:rsidRPr="002740EA">
        <w:rPr>
          <w:rStyle w:val="Ttulo2Car"/>
          <w:rFonts w:cs="Arial"/>
          <w:szCs w:val="24"/>
        </w:rPr>
        <w:t xml:space="preserve"> </w:t>
      </w:r>
      <w:r w:rsidR="008D727C" w:rsidRPr="002740EA">
        <w:t>RESULTADOS</w:t>
      </w:r>
      <w:bookmarkEnd w:id="20"/>
      <w:r w:rsidR="0077372B" w:rsidRPr="002740EA">
        <w:t xml:space="preserve"> DE LA FISCALIZACIÓN EFECTUADA</w:t>
      </w:r>
      <w:bookmarkEnd w:id="21"/>
    </w:p>
    <w:p w14:paraId="3D7255CC" w14:textId="77777777" w:rsidR="008D727C" w:rsidRPr="002740EA" w:rsidRDefault="008D727C" w:rsidP="000C6B37">
      <w:pPr>
        <w:spacing w:after="0"/>
        <w:rPr>
          <w:rFonts w:cs="Arial"/>
          <w:b/>
          <w:szCs w:val="24"/>
        </w:rPr>
      </w:pPr>
    </w:p>
    <w:p w14:paraId="665247A0" w14:textId="21B618E5" w:rsidR="008D727C" w:rsidRPr="002740EA" w:rsidRDefault="00BA7378" w:rsidP="00144066">
      <w:pPr>
        <w:pStyle w:val="Ttulo3"/>
        <w:keepNext w:val="0"/>
        <w:keepLines w:val="0"/>
        <w:numPr>
          <w:ilvl w:val="0"/>
          <w:numId w:val="2"/>
        </w:numPr>
        <w:spacing w:before="0" w:line="276" w:lineRule="auto"/>
        <w:jc w:val="both"/>
        <w:rPr>
          <w:rFonts w:ascii="Arial" w:eastAsiaTheme="minorHAnsi" w:hAnsi="Arial" w:cs="Arial"/>
          <w:b/>
          <w:color w:val="auto"/>
        </w:rPr>
      </w:pPr>
      <w:bookmarkStart w:id="22" w:name="_Toc11413511"/>
      <w:bookmarkStart w:id="23" w:name="_Toc75348451"/>
      <w:r w:rsidRPr="002740EA">
        <w:rPr>
          <w:rFonts w:ascii="Arial" w:eastAsiaTheme="minorHAnsi" w:hAnsi="Arial" w:cs="Arial"/>
          <w:b/>
          <w:color w:val="auto"/>
        </w:rPr>
        <w:t xml:space="preserve">Resumen general de observaciones y </w:t>
      </w:r>
      <w:r w:rsidR="00B35D76" w:rsidRPr="002740EA">
        <w:rPr>
          <w:rFonts w:ascii="Arial" w:eastAsiaTheme="minorHAnsi" w:hAnsi="Arial" w:cs="Arial"/>
          <w:b/>
          <w:color w:val="auto"/>
        </w:rPr>
        <w:t>recomendaciones</w:t>
      </w:r>
      <w:r w:rsidRPr="002740EA">
        <w:rPr>
          <w:rFonts w:ascii="Arial" w:eastAsiaTheme="minorHAnsi" w:hAnsi="Arial" w:cs="Arial"/>
          <w:b/>
          <w:color w:val="auto"/>
        </w:rPr>
        <w:t xml:space="preserve"> emitidas en materia de desempeño</w:t>
      </w:r>
      <w:bookmarkEnd w:id="22"/>
      <w:r w:rsidR="00503B39" w:rsidRPr="002740EA">
        <w:rPr>
          <w:rFonts w:ascii="Arial" w:eastAsiaTheme="minorHAnsi" w:hAnsi="Arial" w:cs="Arial"/>
          <w:b/>
          <w:color w:val="auto"/>
        </w:rPr>
        <w:t>.</w:t>
      </w:r>
      <w:bookmarkEnd w:id="23"/>
    </w:p>
    <w:p w14:paraId="7D92C121" w14:textId="77777777" w:rsidR="006F21B5" w:rsidRPr="002740EA" w:rsidRDefault="006F21B5" w:rsidP="000C6B37">
      <w:pPr>
        <w:spacing w:after="0"/>
        <w:rPr>
          <w:sz w:val="18"/>
          <w:lang w:eastAsia="es-ES"/>
        </w:rPr>
      </w:pPr>
    </w:p>
    <w:p w14:paraId="0208006F" w14:textId="177F3520" w:rsidR="006F21B5" w:rsidRPr="002740EA" w:rsidRDefault="006F21B5" w:rsidP="000C6B37">
      <w:pPr>
        <w:pStyle w:val="Prrafodelista"/>
        <w:autoSpaceDE w:val="0"/>
        <w:autoSpaceDN w:val="0"/>
        <w:adjustRightInd w:val="0"/>
        <w:spacing w:after="0"/>
        <w:ind w:left="0"/>
        <w:jc w:val="both"/>
        <w:rPr>
          <w:rFonts w:cs="Arial"/>
          <w:szCs w:val="24"/>
        </w:rPr>
      </w:pPr>
      <w:r w:rsidRPr="002740EA">
        <w:rPr>
          <w:rFonts w:cs="Arial"/>
          <w:szCs w:val="24"/>
        </w:rPr>
        <w:t xml:space="preserve">De conformidad con los artículos 17 fracción II, </w:t>
      </w:r>
      <w:r w:rsidRPr="002740EA">
        <w:rPr>
          <w:rFonts w:eastAsia="Times New Roman" w:cs="Arial"/>
          <w:lang w:eastAsia="es-ES"/>
        </w:rPr>
        <w:t>38, 41 en su segundo párrafo, y</w:t>
      </w:r>
      <w:r w:rsidRPr="002740EA">
        <w:rPr>
          <w:rFonts w:cs="Arial"/>
          <w:szCs w:val="24"/>
        </w:rPr>
        <w:t xml:space="preserve"> 61 párrafo primero de la Ley de Fiscalización y Rendición de Cuentas del Estado de Quintana Roo, y artículos 4, 8, y 9 fracciones </w:t>
      </w:r>
      <w:r w:rsidRPr="002740EA">
        <w:rPr>
          <w:rFonts w:eastAsia="Times New Roman" w:cs="Arial"/>
          <w:lang w:eastAsia="es-ES"/>
        </w:rPr>
        <w:t xml:space="preserve">X, XI, XVIII y XXVI, </w:t>
      </w:r>
      <w:r w:rsidRPr="002740EA">
        <w:rPr>
          <w:rFonts w:cs="Arial"/>
          <w:szCs w:val="24"/>
        </w:rPr>
        <w:t xml:space="preserve">del Reglamento Interior de la Auditoría Superior del Estado de Quintana Roo, durante este proceso se determinaron </w:t>
      </w:r>
      <w:r w:rsidRPr="002740EA">
        <w:rPr>
          <w:rFonts w:cs="Arial"/>
          <w:b/>
          <w:szCs w:val="24"/>
        </w:rPr>
        <w:t>3</w:t>
      </w:r>
      <w:r w:rsidRPr="002740EA">
        <w:rPr>
          <w:rFonts w:cs="Arial"/>
          <w:szCs w:val="24"/>
        </w:rPr>
        <w:t xml:space="preserve"> resultados </w:t>
      </w:r>
      <w:r w:rsidR="00191F71" w:rsidRPr="002740EA">
        <w:rPr>
          <w:rFonts w:cs="Arial"/>
          <w:szCs w:val="24"/>
        </w:rPr>
        <w:t xml:space="preserve">de la fiscalización correspondiente a la </w:t>
      </w:r>
      <w:r w:rsidR="00191F71" w:rsidRPr="002740EA">
        <w:rPr>
          <w:rFonts w:eastAsia="Times New Roman" w:cs="Arial"/>
          <w:b/>
          <w:lang w:eastAsia="es-ES"/>
        </w:rPr>
        <w:t>Auditoría al Desempeño de las Matrices de Indicadores para Resultados</w:t>
      </w:r>
      <w:r w:rsidR="00884E6D" w:rsidRPr="002740EA">
        <w:rPr>
          <w:rFonts w:eastAsia="Times New Roman" w:cs="Arial"/>
          <w:b/>
          <w:lang w:eastAsia="es-ES"/>
        </w:rPr>
        <w:t xml:space="preserve">, </w:t>
      </w:r>
      <w:r w:rsidR="00884E6D" w:rsidRPr="002740EA">
        <w:rPr>
          <w:rFonts w:eastAsia="Times New Roman" w:cs="Arial"/>
          <w:lang w:eastAsia="es-ES"/>
        </w:rPr>
        <w:t>que</w:t>
      </w:r>
      <w:r w:rsidR="00191F71" w:rsidRPr="002740EA">
        <w:rPr>
          <w:rFonts w:cs="Arial"/>
          <w:szCs w:val="24"/>
        </w:rPr>
        <w:t xml:space="preserve"> </w:t>
      </w:r>
      <w:r w:rsidRPr="002740EA">
        <w:rPr>
          <w:rFonts w:cs="Arial"/>
          <w:szCs w:val="24"/>
        </w:rPr>
        <w:t xml:space="preserve">generaron </w:t>
      </w:r>
      <w:r w:rsidRPr="002740EA">
        <w:rPr>
          <w:rFonts w:cs="Arial"/>
          <w:b/>
          <w:szCs w:val="24"/>
        </w:rPr>
        <w:t xml:space="preserve">5 </w:t>
      </w:r>
      <w:r w:rsidRPr="002740EA">
        <w:rPr>
          <w:rFonts w:cs="Arial"/>
          <w:szCs w:val="24"/>
        </w:rPr>
        <w:t>observaciones. De lo anterior, se derivan las acciones que a continuación se señalan:</w:t>
      </w:r>
    </w:p>
    <w:p w14:paraId="0625BAA3" w14:textId="77777777" w:rsidR="00B42992" w:rsidRPr="002740EA" w:rsidRDefault="00B42992" w:rsidP="000C6B37">
      <w:pPr>
        <w:pStyle w:val="Prrafodelista"/>
        <w:autoSpaceDE w:val="0"/>
        <w:autoSpaceDN w:val="0"/>
        <w:adjustRightInd w:val="0"/>
        <w:spacing w:after="0"/>
        <w:ind w:left="0"/>
        <w:jc w:val="both"/>
        <w:rPr>
          <w:rFonts w:cs="Arial"/>
          <w:szCs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8D727C" w:rsidRPr="002740EA" w14:paraId="506A0263" w14:textId="77777777" w:rsidTr="00AC19A6">
        <w:trPr>
          <w:trHeight w:val="315"/>
          <w:jc w:val="center"/>
        </w:trPr>
        <w:tc>
          <w:tcPr>
            <w:tcW w:w="6096" w:type="dxa"/>
            <w:gridSpan w:val="2"/>
            <w:tcBorders>
              <w:bottom w:val="single" w:sz="4" w:space="0" w:color="000000" w:themeColor="text1"/>
            </w:tcBorders>
            <w:shd w:val="clear" w:color="auto" w:fill="auto"/>
            <w:noWrap/>
            <w:vAlign w:val="center"/>
            <w:hideMark/>
          </w:tcPr>
          <w:p w14:paraId="4FC4EAA1" w14:textId="610E48DE" w:rsidR="008D727C" w:rsidRPr="002740EA" w:rsidRDefault="00070289" w:rsidP="000C6B37">
            <w:pPr>
              <w:spacing w:after="0" w:line="360" w:lineRule="auto"/>
              <w:jc w:val="center"/>
              <w:rPr>
                <w:rFonts w:cs="Arial"/>
                <w:b/>
                <w:bCs/>
                <w:color w:val="000000"/>
                <w:szCs w:val="24"/>
              </w:rPr>
            </w:pPr>
            <w:r w:rsidRPr="002740EA">
              <w:rPr>
                <w:rFonts w:cs="Arial"/>
                <w:b/>
                <w:bCs/>
                <w:color w:val="000000"/>
                <w:szCs w:val="24"/>
              </w:rPr>
              <w:t>Observaciones</w:t>
            </w:r>
            <w:r w:rsidR="008D727C" w:rsidRPr="002740EA">
              <w:rPr>
                <w:rFonts w:cs="Arial"/>
                <w:b/>
                <w:bCs/>
                <w:color w:val="000000"/>
                <w:szCs w:val="24"/>
              </w:rPr>
              <w:t xml:space="preserve"> Emitidas</w:t>
            </w:r>
          </w:p>
        </w:tc>
      </w:tr>
      <w:tr w:rsidR="00284B9D" w:rsidRPr="002740EA" w14:paraId="7FD64B6D" w14:textId="77777777" w:rsidTr="00AC19A6">
        <w:trPr>
          <w:trHeight w:val="315"/>
          <w:jc w:val="center"/>
        </w:trPr>
        <w:tc>
          <w:tcPr>
            <w:tcW w:w="6096" w:type="dxa"/>
            <w:gridSpan w:val="2"/>
            <w:tcBorders>
              <w:bottom w:val="single" w:sz="4" w:space="0" w:color="000000" w:themeColor="text1"/>
            </w:tcBorders>
            <w:shd w:val="clear" w:color="auto" w:fill="auto"/>
            <w:noWrap/>
            <w:vAlign w:val="center"/>
          </w:tcPr>
          <w:p w14:paraId="05ED68B3" w14:textId="117F8EF4" w:rsidR="00284B9D" w:rsidRPr="002740EA" w:rsidRDefault="00284B9D" w:rsidP="00AB306E">
            <w:pPr>
              <w:spacing w:after="0"/>
              <w:rPr>
                <w:rFonts w:cs="Arial"/>
                <w:b/>
                <w:bCs/>
                <w:color w:val="000000"/>
                <w:szCs w:val="24"/>
              </w:rPr>
            </w:pPr>
            <w:r w:rsidRPr="002740EA">
              <w:rPr>
                <w:rFonts w:cs="Arial"/>
                <w:b/>
                <w:bCs/>
                <w:color w:val="000000"/>
                <w:szCs w:val="24"/>
              </w:rPr>
              <w:t>Total                                                                      5</w:t>
            </w:r>
          </w:p>
        </w:tc>
      </w:tr>
      <w:tr w:rsidR="008D727C" w:rsidRPr="002740EA" w14:paraId="2FFE37EF" w14:textId="77777777" w:rsidTr="00591A1A">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0DEA6DB4" w14:textId="54F51430" w:rsidR="008D727C" w:rsidRPr="002740EA" w:rsidRDefault="003B6ED9" w:rsidP="000C6B37">
            <w:pPr>
              <w:spacing w:after="0" w:line="360" w:lineRule="auto"/>
              <w:jc w:val="both"/>
              <w:rPr>
                <w:rFonts w:cs="Arial"/>
                <w:b/>
                <w:bCs/>
                <w:color w:val="000000"/>
                <w:szCs w:val="24"/>
              </w:rPr>
            </w:pPr>
            <w:r w:rsidRPr="002740EA">
              <w:rPr>
                <w:rFonts w:cs="Arial"/>
                <w:b/>
                <w:bCs/>
                <w:color w:val="000000"/>
                <w:szCs w:val="24"/>
              </w:rPr>
              <w:t>Atendidas</w:t>
            </w:r>
          </w:p>
        </w:tc>
        <w:tc>
          <w:tcPr>
            <w:tcW w:w="1423" w:type="dxa"/>
            <w:tcBorders>
              <w:top w:val="single" w:sz="4" w:space="0" w:color="000000" w:themeColor="text1"/>
              <w:bottom w:val="single" w:sz="4" w:space="0" w:color="000000" w:themeColor="text1"/>
            </w:tcBorders>
            <w:shd w:val="clear" w:color="auto" w:fill="auto"/>
            <w:noWrap/>
            <w:vAlign w:val="center"/>
            <w:hideMark/>
          </w:tcPr>
          <w:p w14:paraId="757F4EC8" w14:textId="46D72E1A" w:rsidR="008D727C" w:rsidRPr="002740EA" w:rsidRDefault="00F716EE" w:rsidP="000C6B37">
            <w:pPr>
              <w:spacing w:after="0" w:line="360" w:lineRule="auto"/>
              <w:jc w:val="center"/>
              <w:rPr>
                <w:rFonts w:cs="Arial"/>
                <w:b/>
                <w:bCs/>
                <w:color w:val="000000"/>
                <w:szCs w:val="24"/>
              </w:rPr>
            </w:pPr>
            <w:r w:rsidRPr="002740EA">
              <w:rPr>
                <w:rFonts w:cs="Arial"/>
                <w:b/>
                <w:bCs/>
                <w:color w:val="000000"/>
                <w:szCs w:val="24"/>
              </w:rPr>
              <w:t xml:space="preserve"> </w:t>
            </w:r>
            <w:r w:rsidR="002C4C3C" w:rsidRPr="002740EA">
              <w:rPr>
                <w:rFonts w:cs="Arial"/>
                <w:b/>
                <w:bCs/>
                <w:color w:val="000000"/>
                <w:szCs w:val="24"/>
              </w:rPr>
              <w:t>0</w:t>
            </w:r>
          </w:p>
        </w:tc>
      </w:tr>
      <w:tr w:rsidR="008D727C" w:rsidRPr="002740EA" w14:paraId="402331BE" w14:textId="77777777" w:rsidTr="00591A1A">
        <w:trPr>
          <w:trHeight w:val="300"/>
          <w:jc w:val="center"/>
        </w:trPr>
        <w:tc>
          <w:tcPr>
            <w:tcW w:w="4673" w:type="dxa"/>
            <w:tcBorders>
              <w:top w:val="single" w:sz="4" w:space="0" w:color="000000" w:themeColor="text1"/>
            </w:tcBorders>
            <w:shd w:val="clear" w:color="auto" w:fill="auto"/>
            <w:noWrap/>
            <w:vAlign w:val="bottom"/>
            <w:hideMark/>
          </w:tcPr>
          <w:p w14:paraId="46B4873E" w14:textId="71CCFBE9" w:rsidR="008D727C" w:rsidRPr="002740EA" w:rsidRDefault="002C4C3C" w:rsidP="000C6B37">
            <w:pPr>
              <w:spacing w:after="0" w:line="360" w:lineRule="auto"/>
              <w:rPr>
                <w:rFonts w:cs="Arial"/>
                <w:b/>
                <w:color w:val="000000"/>
                <w:szCs w:val="24"/>
              </w:rPr>
            </w:pPr>
            <w:r w:rsidRPr="002740EA">
              <w:rPr>
                <w:rFonts w:cs="Arial"/>
                <w:b/>
                <w:color w:val="000000"/>
                <w:szCs w:val="24"/>
              </w:rPr>
              <w:t>En seguimiento</w:t>
            </w:r>
          </w:p>
        </w:tc>
        <w:tc>
          <w:tcPr>
            <w:tcW w:w="1423" w:type="dxa"/>
            <w:tcBorders>
              <w:top w:val="single" w:sz="4" w:space="0" w:color="000000" w:themeColor="text1"/>
            </w:tcBorders>
            <w:shd w:val="clear" w:color="auto" w:fill="auto"/>
            <w:noWrap/>
            <w:vAlign w:val="bottom"/>
          </w:tcPr>
          <w:p w14:paraId="16B530F0" w14:textId="09EFF4FF" w:rsidR="008D727C" w:rsidRPr="002740EA" w:rsidRDefault="00F716EE" w:rsidP="000C6B37">
            <w:pPr>
              <w:spacing w:after="0" w:line="360" w:lineRule="auto"/>
              <w:jc w:val="center"/>
              <w:rPr>
                <w:rFonts w:cs="Arial"/>
                <w:b/>
                <w:color w:val="000000"/>
                <w:szCs w:val="24"/>
              </w:rPr>
            </w:pPr>
            <w:r w:rsidRPr="002740EA">
              <w:rPr>
                <w:rFonts w:cs="Arial"/>
                <w:b/>
                <w:color w:val="000000"/>
                <w:szCs w:val="24"/>
              </w:rPr>
              <w:t xml:space="preserve"> </w:t>
            </w:r>
            <w:r w:rsidR="00C8165F" w:rsidRPr="002740EA">
              <w:rPr>
                <w:rFonts w:cs="Arial"/>
                <w:b/>
                <w:color w:val="000000"/>
                <w:szCs w:val="24"/>
              </w:rPr>
              <w:t>5</w:t>
            </w:r>
          </w:p>
        </w:tc>
      </w:tr>
      <w:tr w:rsidR="008D727C" w:rsidRPr="002740EA" w14:paraId="6DA00F5F" w14:textId="77777777" w:rsidTr="00591A1A">
        <w:trPr>
          <w:trHeight w:val="315"/>
          <w:jc w:val="center"/>
        </w:trPr>
        <w:tc>
          <w:tcPr>
            <w:tcW w:w="4673" w:type="dxa"/>
            <w:shd w:val="clear" w:color="auto" w:fill="auto"/>
            <w:noWrap/>
            <w:vAlign w:val="bottom"/>
            <w:hideMark/>
          </w:tcPr>
          <w:p w14:paraId="21381599" w14:textId="29C39B70" w:rsidR="00C50EDC" w:rsidRPr="002740EA" w:rsidRDefault="00C50EDC" w:rsidP="000C6B37">
            <w:pPr>
              <w:spacing w:after="0" w:line="360" w:lineRule="auto"/>
              <w:jc w:val="both"/>
              <w:rPr>
                <w:rFonts w:cs="Arial"/>
                <w:b/>
                <w:bCs/>
                <w:color w:val="000000"/>
                <w:sz w:val="12"/>
                <w:szCs w:val="24"/>
              </w:rPr>
            </w:pPr>
          </w:p>
        </w:tc>
        <w:tc>
          <w:tcPr>
            <w:tcW w:w="1423" w:type="dxa"/>
            <w:shd w:val="clear" w:color="auto" w:fill="auto"/>
            <w:noWrap/>
            <w:vAlign w:val="bottom"/>
          </w:tcPr>
          <w:p w14:paraId="7FA164AC" w14:textId="134F3644" w:rsidR="008D727C" w:rsidRPr="002740EA" w:rsidRDefault="008D727C" w:rsidP="000C6B37">
            <w:pPr>
              <w:spacing w:after="0" w:line="360" w:lineRule="auto"/>
              <w:jc w:val="center"/>
              <w:rPr>
                <w:rFonts w:cs="Arial"/>
                <w:b/>
                <w:bCs/>
                <w:color w:val="000000"/>
                <w:szCs w:val="24"/>
              </w:rPr>
            </w:pPr>
          </w:p>
        </w:tc>
      </w:tr>
      <w:tr w:rsidR="00452591" w:rsidRPr="002740EA" w14:paraId="4CAB0BE3" w14:textId="77777777" w:rsidTr="009E4344">
        <w:trPr>
          <w:trHeight w:val="315"/>
          <w:jc w:val="center"/>
        </w:trPr>
        <w:tc>
          <w:tcPr>
            <w:tcW w:w="6096" w:type="dxa"/>
            <w:gridSpan w:val="2"/>
            <w:tcBorders>
              <w:bottom w:val="single" w:sz="4" w:space="0" w:color="000000" w:themeColor="text1"/>
            </w:tcBorders>
            <w:shd w:val="clear" w:color="auto" w:fill="auto"/>
            <w:noWrap/>
            <w:vAlign w:val="center"/>
            <w:hideMark/>
          </w:tcPr>
          <w:p w14:paraId="4391D527" w14:textId="2771A6CB" w:rsidR="00452591" w:rsidRPr="002740EA" w:rsidRDefault="00452591" w:rsidP="000C6B37">
            <w:pPr>
              <w:spacing w:after="0" w:line="360" w:lineRule="auto"/>
              <w:jc w:val="center"/>
              <w:rPr>
                <w:rFonts w:cs="Arial"/>
                <w:b/>
                <w:bCs/>
                <w:color w:val="000000"/>
                <w:szCs w:val="24"/>
              </w:rPr>
            </w:pPr>
            <w:r w:rsidRPr="002740EA">
              <w:rPr>
                <w:rFonts w:cs="Arial"/>
                <w:b/>
                <w:bCs/>
                <w:color w:val="000000"/>
                <w:szCs w:val="24"/>
              </w:rPr>
              <w:t>Recomendaciones Emitidas</w:t>
            </w:r>
          </w:p>
        </w:tc>
      </w:tr>
      <w:tr w:rsidR="00452591" w:rsidRPr="002740EA" w14:paraId="05B26761" w14:textId="77777777" w:rsidTr="009E4344">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14:paraId="58F3F1AF" w14:textId="77777777" w:rsidR="00452591" w:rsidRPr="002740EA" w:rsidRDefault="00452591" w:rsidP="000C6B37">
            <w:pPr>
              <w:spacing w:after="0" w:line="360" w:lineRule="auto"/>
              <w:jc w:val="both"/>
              <w:rPr>
                <w:rFonts w:cs="Arial"/>
                <w:b/>
                <w:bCs/>
                <w:color w:val="000000"/>
                <w:szCs w:val="24"/>
              </w:rPr>
            </w:pPr>
            <w:r w:rsidRPr="002740EA">
              <w:rPr>
                <w:rFonts w:cs="Arial"/>
                <w:b/>
                <w:bCs/>
                <w:color w:val="000000"/>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218BA7D5" w14:textId="4AB9952F" w:rsidR="00452591" w:rsidRPr="002740EA" w:rsidRDefault="00452591" w:rsidP="000C6B37">
            <w:pPr>
              <w:spacing w:after="0" w:line="360" w:lineRule="auto"/>
              <w:jc w:val="center"/>
              <w:rPr>
                <w:rFonts w:cs="Arial"/>
                <w:b/>
                <w:bCs/>
                <w:color w:val="000000"/>
                <w:szCs w:val="24"/>
              </w:rPr>
            </w:pPr>
            <w:r w:rsidRPr="002740EA">
              <w:rPr>
                <w:rFonts w:cs="Arial"/>
                <w:b/>
                <w:color w:val="000000"/>
                <w:szCs w:val="24"/>
              </w:rPr>
              <w:t>5</w:t>
            </w:r>
          </w:p>
        </w:tc>
      </w:tr>
    </w:tbl>
    <w:p w14:paraId="307A9724" w14:textId="067A9620" w:rsidR="008D727C" w:rsidRPr="002740EA" w:rsidRDefault="00CD0568" w:rsidP="00144066">
      <w:pPr>
        <w:pStyle w:val="Ttulo3"/>
        <w:keepNext w:val="0"/>
        <w:keepLines w:val="0"/>
        <w:numPr>
          <w:ilvl w:val="0"/>
          <w:numId w:val="2"/>
        </w:numPr>
        <w:spacing w:before="0" w:line="276" w:lineRule="auto"/>
        <w:jc w:val="both"/>
        <w:rPr>
          <w:rFonts w:ascii="Arial" w:eastAsiaTheme="minorHAnsi" w:hAnsi="Arial" w:cs="Arial"/>
          <w:b/>
          <w:color w:val="auto"/>
        </w:rPr>
      </w:pPr>
      <w:bookmarkStart w:id="24" w:name="_Toc75348452"/>
      <w:r w:rsidRPr="002740EA">
        <w:rPr>
          <w:rFonts w:ascii="Arial" w:eastAsiaTheme="minorHAnsi" w:hAnsi="Arial" w:cs="Arial"/>
          <w:b/>
          <w:color w:val="auto"/>
        </w:rPr>
        <w:lastRenderedPageBreak/>
        <w:t>Detalle de R</w:t>
      </w:r>
      <w:r w:rsidR="00D64CDA" w:rsidRPr="002740EA">
        <w:rPr>
          <w:rFonts w:ascii="Arial" w:eastAsiaTheme="minorHAnsi" w:hAnsi="Arial" w:cs="Arial"/>
          <w:b/>
          <w:color w:val="auto"/>
        </w:rPr>
        <w:t>esultados</w:t>
      </w:r>
      <w:bookmarkEnd w:id="24"/>
    </w:p>
    <w:p w14:paraId="27DE0246" w14:textId="77777777" w:rsidR="00E41911" w:rsidRPr="002740EA" w:rsidRDefault="00E41911" w:rsidP="00536110">
      <w:pPr>
        <w:spacing w:after="0"/>
      </w:pPr>
    </w:p>
    <w:p w14:paraId="281A26F4" w14:textId="25DCB364" w:rsidR="00E41911" w:rsidRPr="002740EA" w:rsidRDefault="00E41911" w:rsidP="00E41911">
      <w:pPr>
        <w:autoSpaceDE w:val="0"/>
        <w:autoSpaceDN w:val="0"/>
        <w:adjustRightInd w:val="0"/>
        <w:spacing w:after="0"/>
        <w:rPr>
          <w:rFonts w:cs="Arial"/>
          <w:b/>
          <w:szCs w:val="24"/>
        </w:rPr>
      </w:pPr>
      <w:r w:rsidRPr="002740EA">
        <w:rPr>
          <w:rFonts w:cs="Arial"/>
          <w:b/>
          <w:szCs w:val="24"/>
        </w:rPr>
        <w:t>Resultado Número 1</w:t>
      </w:r>
    </w:p>
    <w:p w14:paraId="1EDACD23" w14:textId="77777777" w:rsidR="005A4DC6" w:rsidRPr="002740EA" w:rsidRDefault="005A4DC6" w:rsidP="00E41911">
      <w:pPr>
        <w:autoSpaceDE w:val="0"/>
        <w:autoSpaceDN w:val="0"/>
        <w:adjustRightInd w:val="0"/>
        <w:spacing w:after="0"/>
        <w:rPr>
          <w:rFonts w:cs="Arial"/>
          <w:b/>
          <w:szCs w:val="24"/>
        </w:rPr>
      </w:pPr>
    </w:p>
    <w:p w14:paraId="0E552E38" w14:textId="073498BE" w:rsidR="00E41911" w:rsidRPr="002740EA" w:rsidRDefault="00E41911" w:rsidP="00E41911">
      <w:pPr>
        <w:autoSpaceDE w:val="0"/>
        <w:autoSpaceDN w:val="0"/>
        <w:adjustRightInd w:val="0"/>
        <w:spacing w:after="0"/>
        <w:rPr>
          <w:rFonts w:cs="Arial"/>
          <w:b/>
          <w:szCs w:val="24"/>
        </w:rPr>
      </w:pPr>
      <w:r w:rsidRPr="002740EA">
        <w:rPr>
          <w:rFonts w:cs="Arial"/>
          <w:b/>
          <w:szCs w:val="24"/>
        </w:rPr>
        <w:t>Eficacia</w:t>
      </w:r>
    </w:p>
    <w:p w14:paraId="07D47330" w14:textId="77777777" w:rsidR="005A4DC6" w:rsidRPr="002740EA" w:rsidRDefault="005A4DC6" w:rsidP="00E41911">
      <w:pPr>
        <w:autoSpaceDE w:val="0"/>
        <w:autoSpaceDN w:val="0"/>
        <w:adjustRightInd w:val="0"/>
        <w:spacing w:after="0"/>
        <w:rPr>
          <w:rFonts w:cs="Arial"/>
          <w:b/>
          <w:szCs w:val="24"/>
        </w:rPr>
      </w:pPr>
    </w:p>
    <w:p w14:paraId="74DACA12" w14:textId="08E1E806" w:rsidR="00E41911" w:rsidRPr="002740EA" w:rsidRDefault="00E41911" w:rsidP="00E41911">
      <w:pPr>
        <w:autoSpaceDE w:val="0"/>
        <w:autoSpaceDN w:val="0"/>
        <w:adjustRightInd w:val="0"/>
        <w:spacing w:after="0"/>
        <w:rPr>
          <w:rFonts w:cs="Arial"/>
          <w:b/>
          <w:szCs w:val="24"/>
        </w:rPr>
      </w:pPr>
      <w:r w:rsidRPr="002740EA">
        <w:rPr>
          <w:rFonts w:cs="Arial"/>
          <w:b/>
          <w:szCs w:val="24"/>
        </w:rPr>
        <w:t>1. Control Interno</w:t>
      </w:r>
    </w:p>
    <w:p w14:paraId="5D8ED0A5" w14:textId="77777777" w:rsidR="005A4DC6" w:rsidRPr="002740EA" w:rsidRDefault="005A4DC6" w:rsidP="00E41911">
      <w:pPr>
        <w:autoSpaceDE w:val="0"/>
        <w:autoSpaceDN w:val="0"/>
        <w:adjustRightInd w:val="0"/>
        <w:spacing w:after="0"/>
        <w:rPr>
          <w:rFonts w:cs="Arial"/>
          <w:b/>
          <w:szCs w:val="24"/>
        </w:rPr>
      </w:pPr>
    </w:p>
    <w:p w14:paraId="0887096E" w14:textId="5F25F9E1" w:rsidR="00E41911" w:rsidRPr="002740EA" w:rsidRDefault="007E101C" w:rsidP="009E0007">
      <w:pPr>
        <w:pStyle w:val="Prrafodelista"/>
        <w:numPr>
          <w:ilvl w:val="1"/>
          <w:numId w:val="23"/>
        </w:numPr>
        <w:autoSpaceDE w:val="0"/>
        <w:autoSpaceDN w:val="0"/>
        <w:adjustRightInd w:val="0"/>
        <w:spacing w:after="0"/>
        <w:rPr>
          <w:rFonts w:cs="Arial"/>
          <w:b/>
          <w:bCs/>
          <w:szCs w:val="24"/>
        </w:rPr>
      </w:pPr>
      <w:r w:rsidRPr="002740EA">
        <w:rPr>
          <w:rFonts w:cs="Arial"/>
          <w:b/>
          <w:bCs/>
          <w:szCs w:val="24"/>
          <w:lang w:val="es-MX"/>
        </w:rPr>
        <w:t xml:space="preserve"> </w:t>
      </w:r>
      <w:r w:rsidR="00E41911" w:rsidRPr="002740EA">
        <w:rPr>
          <w:rFonts w:cs="Arial"/>
          <w:b/>
          <w:bCs/>
          <w:szCs w:val="24"/>
          <w:lang w:val="es-MX"/>
        </w:rPr>
        <w:t>Marco</w:t>
      </w:r>
      <w:r w:rsidR="00E41911" w:rsidRPr="002740EA">
        <w:rPr>
          <w:rFonts w:cs="Arial"/>
          <w:b/>
          <w:bCs/>
          <w:szCs w:val="24"/>
        </w:rPr>
        <w:t xml:space="preserve"> Normativo</w:t>
      </w:r>
    </w:p>
    <w:p w14:paraId="3F818239" w14:textId="77777777" w:rsidR="00E41911" w:rsidRPr="002740EA" w:rsidRDefault="00E41911" w:rsidP="00E41911">
      <w:pPr>
        <w:autoSpaceDE w:val="0"/>
        <w:autoSpaceDN w:val="0"/>
        <w:adjustRightInd w:val="0"/>
        <w:spacing w:after="0"/>
        <w:rPr>
          <w:rFonts w:cs="Arial"/>
          <w:b/>
          <w:szCs w:val="24"/>
        </w:rPr>
      </w:pPr>
    </w:p>
    <w:p w14:paraId="4AB668A4" w14:textId="01CBB435" w:rsidR="009E2376" w:rsidRPr="002740EA" w:rsidRDefault="00E41911" w:rsidP="00536110">
      <w:pPr>
        <w:autoSpaceDE w:val="0"/>
        <w:autoSpaceDN w:val="0"/>
        <w:adjustRightInd w:val="0"/>
        <w:spacing w:after="0"/>
        <w:rPr>
          <w:rFonts w:cs="Arial"/>
          <w:b/>
          <w:szCs w:val="24"/>
        </w:rPr>
      </w:pPr>
      <w:r w:rsidRPr="002740EA">
        <w:rPr>
          <w:rFonts w:cs="Arial"/>
          <w:b/>
          <w:szCs w:val="24"/>
        </w:rPr>
        <w:t>Con observaciones</w:t>
      </w:r>
    </w:p>
    <w:p w14:paraId="75540D5F" w14:textId="77777777" w:rsidR="004B537A" w:rsidRPr="002740EA" w:rsidRDefault="004B537A" w:rsidP="00E41911">
      <w:pPr>
        <w:autoSpaceDE w:val="0"/>
        <w:autoSpaceDN w:val="0"/>
        <w:adjustRightInd w:val="0"/>
        <w:spacing w:after="0"/>
        <w:rPr>
          <w:rFonts w:cs="Arial"/>
          <w:b/>
          <w:szCs w:val="24"/>
        </w:rPr>
      </w:pPr>
    </w:p>
    <w:p w14:paraId="00F8237C" w14:textId="60501C0F" w:rsidR="00084529" w:rsidRPr="002740EA" w:rsidRDefault="00084529" w:rsidP="000C6B37">
      <w:pPr>
        <w:spacing w:after="0" w:line="276" w:lineRule="auto"/>
        <w:jc w:val="both"/>
        <w:rPr>
          <w:rFonts w:cs="Arial"/>
          <w:szCs w:val="20"/>
        </w:rPr>
      </w:pPr>
      <w:r w:rsidRPr="002740EA">
        <w:rPr>
          <w:rFonts w:cs="Arial"/>
          <w:bCs/>
          <w:szCs w:val="20"/>
        </w:rPr>
        <w:t xml:space="preserve">Los Servidores Públicos deberán </w:t>
      </w:r>
      <w:r w:rsidRPr="002740EA">
        <w:rPr>
          <w:rFonts w:cs="Arial"/>
          <w:szCs w:val="20"/>
        </w:rPr>
        <w:t>actuar conforme a lo que las leyes, reglamentos y demás disposiciones jurídicas que les atribuyen a su empleo, cargo o comisión, por lo que deben conocer y cumplir las disposiciones que regulan el ejercicio de sus funciones, facultades y atribuciones orientadas al logro de los resultados, procurando en todo momento un mejor desempeño de sus funciones a fin de alcanzar las metas institucionales según sus responsabilidades</w:t>
      </w:r>
      <w:r w:rsidRPr="002740EA">
        <w:rPr>
          <w:rFonts w:cs="Arial"/>
          <w:szCs w:val="20"/>
          <w:vertAlign w:val="superscript"/>
        </w:rPr>
        <w:footnoteReference w:id="10"/>
      </w:r>
      <w:r w:rsidRPr="002740EA">
        <w:rPr>
          <w:rFonts w:cs="Arial"/>
          <w:szCs w:val="20"/>
        </w:rPr>
        <w:t>.</w:t>
      </w:r>
    </w:p>
    <w:p w14:paraId="7C514E93" w14:textId="77777777" w:rsidR="007E7FCC" w:rsidRPr="002740EA" w:rsidRDefault="007E7FCC" w:rsidP="000C6B37">
      <w:pPr>
        <w:spacing w:after="0" w:line="276" w:lineRule="auto"/>
        <w:jc w:val="both"/>
        <w:rPr>
          <w:rFonts w:cs="Arial"/>
          <w:szCs w:val="20"/>
        </w:rPr>
      </w:pPr>
    </w:p>
    <w:p w14:paraId="4A75F15C" w14:textId="6EA89DEA" w:rsidR="00084529" w:rsidRPr="002740EA" w:rsidRDefault="00084529" w:rsidP="000C6B37">
      <w:pPr>
        <w:spacing w:after="0" w:line="276" w:lineRule="auto"/>
        <w:jc w:val="both"/>
        <w:rPr>
          <w:rFonts w:cs="Arial"/>
          <w:bCs/>
          <w:szCs w:val="24"/>
        </w:rPr>
      </w:pPr>
      <w:r w:rsidRPr="002740EA">
        <w:rPr>
          <w:rFonts w:cs="Arial"/>
          <w:bCs/>
          <w:szCs w:val="24"/>
        </w:rPr>
        <w:t>Por su parte, la Actualización del Plan Estatal de Desarrollo del Estado de Quintana Roo 2016-2022 (PED) menciona como parte de sus objetivos particulares del Modelo Integral de Gobierno el transitar de la administración pública tradicional basada en la programación de procesos a la nueva gestión pública gerencial orientada a resultados. La Metodología de Presupuesto con base en Resultados que aplicará el presente gobierno a través de este PED propone enfrentar la asignación irracional e inercial del gasto público […]. Destacan los avances realizados en materia de programación y evaluación en los que se detectan áreas de oportunidad de acuerdo con los nuevos lineamientos para la asignación, la clasificación y el ejercicio de los recursos públicos a fin de sustituir los Programas Operativos Anuales, POA.</w:t>
      </w:r>
    </w:p>
    <w:p w14:paraId="55BF0D06" w14:textId="77777777" w:rsidR="00967F23" w:rsidRPr="002740EA" w:rsidRDefault="00967F23" w:rsidP="000C6B37">
      <w:pPr>
        <w:spacing w:after="0" w:line="276" w:lineRule="auto"/>
        <w:jc w:val="both"/>
        <w:rPr>
          <w:rFonts w:cs="Arial"/>
          <w:bCs/>
          <w:szCs w:val="24"/>
        </w:rPr>
      </w:pPr>
    </w:p>
    <w:p w14:paraId="29B941CC" w14:textId="6A7C492A" w:rsidR="00084529" w:rsidRPr="002740EA" w:rsidRDefault="00084529" w:rsidP="000C6B37">
      <w:pPr>
        <w:spacing w:after="0" w:line="276" w:lineRule="auto"/>
        <w:jc w:val="both"/>
        <w:rPr>
          <w:rFonts w:cs="Arial"/>
          <w:bCs/>
          <w:szCs w:val="24"/>
        </w:rPr>
      </w:pPr>
      <w:r w:rsidRPr="002740EA">
        <w:rPr>
          <w:rFonts w:cs="Arial"/>
          <w:bCs/>
          <w:szCs w:val="24"/>
        </w:rPr>
        <w:t xml:space="preserve">El año 2017 se caracterizó por el inicio de un cambio radical al migrar de un modelo tradicional al nuevo modelo basado en resultados, lo que derivó en acciones intensivas al interior del gobierno del estado como la “actualización del marco jurídico en concordancia con las necesidades reales de nuestro estado, que permitiera la </w:t>
      </w:r>
      <w:r w:rsidRPr="002740EA">
        <w:rPr>
          <w:rFonts w:cs="Arial"/>
          <w:bCs/>
          <w:szCs w:val="24"/>
        </w:rPr>
        <w:lastRenderedPageBreak/>
        <w:t>apertura al cambio de modelo”. Lo anterior está contemplado en la línea de acción del Programa 17 el cual menciona el consolidar el proceso de modernización del marco jurídico y administrativo y de control interno estatal que fortalezca la actuación de las instituciones públicas, el desarrollo de los sectores productivos y favorezcan la convivencia armónica entre los ciudadanos, mientras que el Programa 19 menciona como objetivo el consolidar la Gestión para Resultados como un modelo de cultura organizacional, directiva y de gestión que permita la creación de valor público en la administración pública estatal, y como estrategia el fortalecer la implementación del Presupuesto basado en Resulta</w:t>
      </w:r>
      <w:r w:rsidR="00802545" w:rsidRPr="002740EA">
        <w:rPr>
          <w:rFonts w:cs="Arial"/>
          <w:bCs/>
          <w:szCs w:val="24"/>
        </w:rPr>
        <w:t xml:space="preserve">dos y el Sistema de Evaluación </w:t>
      </w:r>
      <w:r w:rsidR="003F686C" w:rsidRPr="002740EA">
        <w:rPr>
          <w:rFonts w:cs="Arial"/>
          <w:bCs/>
          <w:szCs w:val="24"/>
        </w:rPr>
        <w:t>del</w:t>
      </w:r>
      <w:r w:rsidRPr="002740EA">
        <w:rPr>
          <w:rFonts w:cs="Arial"/>
          <w:bCs/>
          <w:szCs w:val="24"/>
        </w:rPr>
        <w:t xml:space="preserve"> Desempeño al interior de la administración pública estatal, para mejorar la calidad del gasto público y promover una adecuada rendición de cuentas.</w:t>
      </w:r>
      <w:r w:rsidR="00EC6BEA" w:rsidRPr="002740EA">
        <w:rPr>
          <w:rFonts w:cs="Arial"/>
          <w:bCs/>
          <w:szCs w:val="24"/>
        </w:rPr>
        <w:t xml:space="preserve"> </w:t>
      </w:r>
      <w:r w:rsidRPr="002740EA">
        <w:rPr>
          <w:rFonts w:cs="Arial"/>
          <w:bCs/>
          <w:szCs w:val="24"/>
        </w:rPr>
        <w:t>Por tal motivo, como línea de acción se establece el actualizar el marco normativo y de operación presupuestal-financiera de la administración pública estatal con base en los principios establecidos en la Ley de Disciplina Financiera de las Entidades y Municipios</w:t>
      </w:r>
      <w:r w:rsidRPr="002740EA">
        <w:rPr>
          <w:rFonts w:cs="Arial"/>
          <w:szCs w:val="24"/>
          <w:vertAlign w:val="superscript"/>
        </w:rPr>
        <w:footnoteReference w:id="11"/>
      </w:r>
      <w:r w:rsidRPr="002740EA">
        <w:rPr>
          <w:rFonts w:cs="Arial"/>
          <w:bCs/>
          <w:szCs w:val="24"/>
        </w:rPr>
        <w:t>.</w:t>
      </w:r>
    </w:p>
    <w:p w14:paraId="6C3DFBAC" w14:textId="77777777" w:rsidR="001111FE" w:rsidRPr="002740EA" w:rsidRDefault="001111FE" w:rsidP="000C6B37">
      <w:pPr>
        <w:spacing w:after="0" w:line="276" w:lineRule="auto"/>
        <w:jc w:val="both"/>
        <w:rPr>
          <w:rFonts w:cs="Arial"/>
          <w:szCs w:val="24"/>
        </w:rPr>
      </w:pPr>
    </w:p>
    <w:p w14:paraId="431DF937" w14:textId="77777777" w:rsidR="00084529" w:rsidRPr="002740EA" w:rsidRDefault="00084529" w:rsidP="000C6B37">
      <w:pPr>
        <w:autoSpaceDE w:val="0"/>
        <w:autoSpaceDN w:val="0"/>
        <w:adjustRightInd w:val="0"/>
        <w:spacing w:after="0" w:line="276" w:lineRule="auto"/>
        <w:jc w:val="both"/>
        <w:rPr>
          <w:rFonts w:cs="Arial"/>
          <w:szCs w:val="24"/>
        </w:rPr>
      </w:pPr>
      <w:r w:rsidRPr="002740EA">
        <w:rPr>
          <w:rFonts w:cs="Arial"/>
          <w:szCs w:val="24"/>
        </w:rPr>
        <w:t>La estructura legal o gobierno de Derecho de la Universidad deberá contener, de manera jerarquizada, en la Ley Orgánica, el Estatuto General de la Universidad y de los Estatutos, particulares y Reglamentos correspondientes, las distintas normas que, en forma inequívoca, homogénea y exhaustiva, determinen:</w:t>
      </w:r>
    </w:p>
    <w:p w14:paraId="6FEE7F1B" w14:textId="77777777" w:rsidR="00084529" w:rsidRPr="002740EA" w:rsidRDefault="00084529" w:rsidP="000C6B37">
      <w:pPr>
        <w:autoSpaceDE w:val="0"/>
        <w:autoSpaceDN w:val="0"/>
        <w:adjustRightInd w:val="0"/>
        <w:spacing w:after="0" w:line="276" w:lineRule="auto"/>
        <w:jc w:val="both"/>
        <w:rPr>
          <w:rFonts w:cs="Arial"/>
          <w:szCs w:val="24"/>
        </w:rPr>
      </w:pPr>
    </w:p>
    <w:p w14:paraId="2B8F1DA1" w14:textId="77777777" w:rsidR="00084529" w:rsidRPr="002740EA" w:rsidRDefault="00084529" w:rsidP="000C6B37">
      <w:pPr>
        <w:pStyle w:val="Prrafodelista"/>
        <w:numPr>
          <w:ilvl w:val="0"/>
          <w:numId w:val="4"/>
        </w:numPr>
        <w:spacing w:after="0" w:line="264" w:lineRule="auto"/>
        <w:ind w:hanging="357"/>
        <w:jc w:val="both"/>
        <w:rPr>
          <w:rFonts w:cs="Arial"/>
          <w:szCs w:val="24"/>
        </w:rPr>
      </w:pPr>
      <w:r w:rsidRPr="002740EA">
        <w:rPr>
          <w:rFonts w:cs="Arial"/>
          <w:szCs w:val="24"/>
        </w:rPr>
        <w:t>Las condiciones de pertenencia a la Institución;</w:t>
      </w:r>
    </w:p>
    <w:p w14:paraId="2C7075D7" w14:textId="77777777" w:rsidR="00084529" w:rsidRPr="002740EA" w:rsidRDefault="00084529" w:rsidP="000C6B37">
      <w:pPr>
        <w:pStyle w:val="Prrafodelista"/>
        <w:numPr>
          <w:ilvl w:val="0"/>
          <w:numId w:val="4"/>
        </w:numPr>
        <w:spacing w:after="0" w:line="264" w:lineRule="auto"/>
        <w:ind w:hanging="357"/>
        <w:jc w:val="both"/>
        <w:rPr>
          <w:rFonts w:cs="Arial"/>
          <w:szCs w:val="24"/>
        </w:rPr>
      </w:pPr>
      <w:r w:rsidRPr="002740EA">
        <w:rPr>
          <w:rFonts w:cs="Arial"/>
          <w:szCs w:val="24"/>
        </w:rPr>
        <w:t>Las condiciones de interacción lícita en la Institución;</w:t>
      </w:r>
    </w:p>
    <w:p w14:paraId="71659677" w14:textId="77777777" w:rsidR="00084529" w:rsidRPr="002740EA" w:rsidRDefault="00084529" w:rsidP="000C6B37">
      <w:pPr>
        <w:pStyle w:val="Prrafodelista"/>
        <w:numPr>
          <w:ilvl w:val="0"/>
          <w:numId w:val="4"/>
        </w:numPr>
        <w:spacing w:after="0" w:line="264" w:lineRule="auto"/>
        <w:ind w:hanging="357"/>
        <w:jc w:val="both"/>
        <w:rPr>
          <w:rFonts w:cs="Arial"/>
          <w:szCs w:val="24"/>
        </w:rPr>
      </w:pPr>
      <w:r w:rsidRPr="002740EA">
        <w:rPr>
          <w:rFonts w:cs="Arial"/>
          <w:szCs w:val="24"/>
        </w:rPr>
        <w:t>Las condiciones del funcionamiento eficiente y eficaz de la organización;</w:t>
      </w:r>
    </w:p>
    <w:p w14:paraId="614A3982" w14:textId="77777777" w:rsidR="00084529" w:rsidRPr="002740EA" w:rsidRDefault="00084529" w:rsidP="000C6B37">
      <w:pPr>
        <w:pStyle w:val="Prrafodelista"/>
        <w:numPr>
          <w:ilvl w:val="0"/>
          <w:numId w:val="4"/>
        </w:numPr>
        <w:spacing w:after="0" w:line="264" w:lineRule="auto"/>
        <w:ind w:left="708" w:hanging="357"/>
        <w:jc w:val="both"/>
        <w:rPr>
          <w:rFonts w:cs="Arial"/>
          <w:szCs w:val="24"/>
        </w:rPr>
      </w:pPr>
      <w:r w:rsidRPr="002740EA">
        <w:rPr>
          <w:rFonts w:cs="Arial"/>
          <w:szCs w:val="24"/>
        </w:rPr>
        <w:t>Las condiciones de obtención, mantenimiento y finalización de los cargos de autoridad;</w:t>
      </w:r>
    </w:p>
    <w:p w14:paraId="648BB5A2" w14:textId="77777777" w:rsidR="00886BDE" w:rsidRPr="002740EA" w:rsidRDefault="00084529" w:rsidP="000C6B37">
      <w:pPr>
        <w:pStyle w:val="Prrafodelista"/>
        <w:numPr>
          <w:ilvl w:val="0"/>
          <w:numId w:val="4"/>
        </w:numPr>
        <w:spacing w:after="0" w:line="264" w:lineRule="auto"/>
        <w:ind w:hanging="357"/>
        <w:jc w:val="both"/>
        <w:rPr>
          <w:rFonts w:cs="Arial"/>
          <w:szCs w:val="24"/>
        </w:rPr>
      </w:pPr>
      <w:r w:rsidRPr="002740EA">
        <w:rPr>
          <w:rFonts w:cs="Arial"/>
          <w:szCs w:val="24"/>
        </w:rPr>
        <w:t xml:space="preserve">El ámbito de competencia de los puestos de autoridad y, </w:t>
      </w:r>
    </w:p>
    <w:p w14:paraId="7871C3B9" w14:textId="22C266EF" w:rsidR="00084529" w:rsidRPr="002740EA" w:rsidRDefault="00084529" w:rsidP="000C6B37">
      <w:pPr>
        <w:pStyle w:val="Prrafodelista"/>
        <w:numPr>
          <w:ilvl w:val="0"/>
          <w:numId w:val="4"/>
        </w:numPr>
        <w:spacing w:after="0" w:line="264" w:lineRule="auto"/>
        <w:ind w:hanging="357"/>
        <w:jc w:val="both"/>
        <w:rPr>
          <w:rFonts w:cs="Arial"/>
          <w:szCs w:val="24"/>
        </w:rPr>
      </w:pPr>
      <w:r w:rsidRPr="002740EA">
        <w:rPr>
          <w:rFonts w:cs="Arial"/>
          <w:szCs w:val="24"/>
        </w:rPr>
        <w:t xml:space="preserve">Todas aquellas normas necesarias para el buen funcionamiento de la </w:t>
      </w:r>
      <w:r w:rsidR="00AB2D34" w:rsidRPr="002740EA">
        <w:rPr>
          <w:rFonts w:cs="Arial"/>
          <w:szCs w:val="24"/>
        </w:rPr>
        <w:t>Universidad</w:t>
      </w:r>
      <w:r w:rsidR="00AB2D34" w:rsidRPr="002740EA">
        <w:rPr>
          <w:rStyle w:val="Refdenotaalpie"/>
          <w:rFonts w:cs="Arial"/>
          <w:szCs w:val="24"/>
        </w:rPr>
        <w:footnoteReference w:id="12"/>
      </w:r>
      <w:r w:rsidR="00AB2D34" w:rsidRPr="002740EA">
        <w:rPr>
          <w:rFonts w:cs="Arial"/>
          <w:szCs w:val="24"/>
        </w:rPr>
        <w:t>.</w:t>
      </w:r>
    </w:p>
    <w:p w14:paraId="17F8EE89" w14:textId="77777777" w:rsidR="0076790B" w:rsidRPr="002740EA" w:rsidRDefault="0076790B" w:rsidP="000C6B37">
      <w:pPr>
        <w:pStyle w:val="Prrafodelista"/>
        <w:spacing w:after="0"/>
        <w:jc w:val="both"/>
        <w:rPr>
          <w:rFonts w:cs="Arial"/>
          <w:szCs w:val="24"/>
        </w:rPr>
      </w:pPr>
    </w:p>
    <w:p w14:paraId="3F6E9881" w14:textId="3A816918" w:rsidR="00084529" w:rsidRPr="002740EA" w:rsidRDefault="00084529" w:rsidP="000C6B37">
      <w:pPr>
        <w:spacing w:after="0" w:line="276" w:lineRule="auto"/>
        <w:jc w:val="both"/>
        <w:rPr>
          <w:rFonts w:cs="Arial"/>
          <w:szCs w:val="24"/>
        </w:rPr>
      </w:pPr>
      <w:r w:rsidRPr="002740EA">
        <w:rPr>
          <w:rFonts w:cs="Arial"/>
          <w:szCs w:val="24"/>
        </w:rPr>
        <w:t xml:space="preserve">Para el cumplimiento de sus fines, la Universidad de Quintana Roo tiene la facultad de expedir todas las normas y disposiciones internas para el debido cumplimiento de sus fines, así como la de expedir y aprobar, mediante el Consejo Universitario todas </w:t>
      </w:r>
      <w:r w:rsidRPr="002740EA">
        <w:rPr>
          <w:rFonts w:cs="Arial"/>
          <w:szCs w:val="24"/>
        </w:rPr>
        <w:lastRenderedPageBreak/>
        <w:t>las normas y disposiciones generales destinadas al mejoramiento de la organización y funcionamiento académico, técnico y administrativo de la Universidad</w:t>
      </w:r>
      <w:r w:rsidRPr="002740EA">
        <w:rPr>
          <w:rStyle w:val="Refdenotaalpie"/>
          <w:rFonts w:cs="Arial"/>
          <w:szCs w:val="24"/>
        </w:rPr>
        <w:footnoteReference w:id="13"/>
      </w:r>
      <w:r w:rsidRPr="002740EA">
        <w:rPr>
          <w:rFonts w:cs="Arial"/>
          <w:szCs w:val="24"/>
        </w:rPr>
        <w:t>.</w:t>
      </w:r>
    </w:p>
    <w:p w14:paraId="11A9A114" w14:textId="77777777" w:rsidR="00C75DD2" w:rsidRPr="002740EA" w:rsidRDefault="00C75DD2" w:rsidP="000C6B37">
      <w:pPr>
        <w:spacing w:after="0" w:line="276" w:lineRule="auto"/>
        <w:jc w:val="both"/>
        <w:rPr>
          <w:rFonts w:cs="Arial"/>
          <w:szCs w:val="24"/>
        </w:rPr>
      </w:pPr>
    </w:p>
    <w:p w14:paraId="10DD4FED" w14:textId="1BDC71E2" w:rsidR="00084529" w:rsidRPr="002740EA" w:rsidRDefault="00084529" w:rsidP="000C6B37">
      <w:pPr>
        <w:spacing w:after="0" w:line="276" w:lineRule="auto"/>
        <w:jc w:val="both"/>
        <w:rPr>
          <w:rFonts w:cs="Arial"/>
          <w:szCs w:val="24"/>
        </w:rPr>
      </w:pPr>
      <w:r w:rsidRPr="002740EA">
        <w:rPr>
          <w:rFonts w:cs="Arial"/>
          <w:szCs w:val="24"/>
        </w:rPr>
        <w:t>El Rector ejercerá la facultad de conducir las labores de planeación, evaluación y expedir los manuales de organización para el adecuado desarrollo de la universidad</w:t>
      </w:r>
      <w:r w:rsidRPr="002740EA">
        <w:rPr>
          <w:rStyle w:val="Refdenotaalpie"/>
          <w:rFonts w:cs="Arial"/>
          <w:szCs w:val="24"/>
        </w:rPr>
        <w:footnoteReference w:id="14"/>
      </w:r>
      <w:r w:rsidRPr="002740EA">
        <w:rPr>
          <w:rFonts w:cs="Arial"/>
          <w:szCs w:val="24"/>
        </w:rPr>
        <w:t>.</w:t>
      </w:r>
    </w:p>
    <w:p w14:paraId="3ED45FE4" w14:textId="77777777" w:rsidR="00330D44" w:rsidRPr="002740EA" w:rsidRDefault="00330D44" w:rsidP="000C6B37">
      <w:pPr>
        <w:spacing w:after="0" w:line="276" w:lineRule="auto"/>
        <w:jc w:val="both"/>
        <w:rPr>
          <w:rFonts w:cs="Arial"/>
          <w:b/>
          <w:szCs w:val="24"/>
          <w:lang w:eastAsia="es-MX"/>
        </w:rPr>
      </w:pPr>
    </w:p>
    <w:p w14:paraId="4839B5A1" w14:textId="0899CA65" w:rsidR="00330D44" w:rsidRPr="002740EA" w:rsidRDefault="007023B5" w:rsidP="000C6B37">
      <w:pPr>
        <w:spacing w:after="0" w:line="276" w:lineRule="auto"/>
        <w:jc w:val="both"/>
        <w:rPr>
          <w:rFonts w:cs="Arial"/>
          <w:szCs w:val="24"/>
        </w:rPr>
      </w:pPr>
      <w:r w:rsidRPr="002740EA">
        <w:rPr>
          <w:rFonts w:cs="Arial"/>
          <w:szCs w:val="24"/>
        </w:rPr>
        <w:t xml:space="preserve">Por </w:t>
      </w:r>
      <w:r w:rsidR="00480898" w:rsidRPr="002740EA">
        <w:rPr>
          <w:rFonts w:cs="Arial"/>
          <w:szCs w:val="24"/>
        </w:rPr>
        <w:t>consiguiente</w:t>
      </w:r>
      <w:r w:rsidR="00CD6FB1" w:rsidRPr="002740EA">
        <w:rPr>
          <w:rFonts w:cs="Arial"/>
          <w:szCs w:val="24"/>
        </w:rPr>
        <w:t>, l</w:t>
      </w:r>
      <w:r w:rsidR="00330D44" w:rsidRPr="002740EA">
        <w:rPr>
          <w:rFonts w:cs="Arial"/>
          <w:szCs w:val="24"/>
        </w:rPr>
        <w:t xml:space="preserve">a </w:t>
      </w:r>
      <w:r w:rsidR="00330D44" w:rsidRPr="002740EA">
        <w:rPr>
          <w:rFonts w:cs="Arial"/>
          <w:bCs/>
          <w:szCs w:val="24"/>
        </w:rPr>
        <w:t xml:space="preserve">Universidad de Quintana Roo (UQROO) </w:t>
      </w:r>
      <w:r w:rsidR="00330D44" w:rsidRPr="002740EA">
        <w:rPr>
          <w:rFonts w:cs="Arial"/>
          <w:szCs w:val="24"/>
        </w:rPr>
        <w:t>entregó a la Auditoría Superior del Estado (ASEQROO) evidencia de los documentos normativos institucionales que regulan su organización y funcionamiento interno, realizando el siguiente análisis:</w:t>
      </w:r>
    </w:p>
    <w:p w14:paraId="0DC87DB5" w14:textId="77777777" w:rsidR="004A0685" w:rsidRPr="002740EA" w:rsidRDefault="004A0685" w:rsidP="000C6B37">
      <w:pPr>
        <w:spacing w:after="0" w:line="276" w:lineRule="auto"/>
        <w:ind w:left="708" w:hanging="708"/>
        <w:jc w:val="both"/>
        <w:rPr>
          <w:rFonts w:cs="Arial"/>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2"/>
      </w:tblGrid>
      <w:tr w:rsidR="00084529" w:rsidRPr="002740EA" w14:paraId="4E799F79" w14:textId="77777777" w:rsidTr="00E40400">
        <w:trPr>
          <w:jc w:val="center"/>
        </w:trPr>
        <w:tc>
          <w:tcPr>
            <w:tcW w:w="8838" w:type="dxa"/>
          </w:tcPr>
          <w:p w14:paraId="392B5571" w14:textId="77777777" w:rsidR="00084529" w:rsidRPr="002740EA" w:rsidRDefault="00084529" w:rsidP="000C6B37">
            <w:pPr>
              <w:pStyle w:val="Prrafodelista"/>
              <w:spacing w:after="0"/>
              <w:ind w:left="0"/>
              <w:jc w:val="both"/>
              <w:rPr>
                <w:rFonts w:eastAsia="Calibri" w:cs="Arial"/>
                <w:sz w:val="20"/>
                <w:szCs w:val="20"/>
                <w:lang w:val="es-ES_tradnl"/>
              </w:rPr>
            </w:pPr>
            <w:r w:rsidRPr="002740EA">
              <w:rPr>
                <w:rFonts w:eastAsia="Calibri" w:cs="Arial"/>
                <w:b/>
                <w:sz w:val="20"/>
                <w:szCs w:val="20"/>
                <w:lang w:val="es-ES_tradnl"/>
              </w:rPr>
              <w:t>Figura 1. Análisis Cronológico de los Documentos Normativos de la UQROO</w:t>
            </w:r>
            <w:r w:rsidRPr="002740EA">
              <w:rPr>
                <w:rFonts w:eastAsia="Calibri" w:cs="Arial"/>
                <w:sz w:val="20"/>
                <w:szCs w:val="20"/>
                <w:lang w:val="es-ES_tradnl"/>
              </w:rPr>
              <w:t>.</w:t>
            </w:r>
          </w:p>
        </w:tc>
      </w:tr>
      <w:tr w:rsidR="00084529" w:rsidRPr="002740EA" w14:paraId="1AA8C617" w14:textId="77777777" w:rsidTr="00E40400">
        <w:trPr>
          <w:trHeight w:val="1599"/>
          <w:jc w:val="center"/>
        </w:trPr>
        <w:tc>
          <w:tcPr>
            <w:tcW w:w="8838" w:type="dxa"/>
          </w:tcPr>
          <w:p w14:paraId="2AE7D37A" w14:textId="77777777" w:rsidR="00084529" w:rsidRPr="002740EA" w:rsidRDefault="00D51F0E" w:rsidP="000C6B37">
            <w:pPr>
              <w:pStyle w:val="Prrafodelista"/>
              <w:spacing w:after="0"/>
              <w:ind w:left="0"/>
              <w:jc w:val="both"/>
              <w:rPr>
                <w:rFonts w:eastAsia="Calibri" w:cs="Arial"/>
                <w:szCs w:val="24"/>
                <w:lang w:val="es-ES_tradnl"/>
              </w:rPr>
            </w:pPr>
            <w:r w:rsidRPr="002740EA">
              <w:rPr>
                <w:noProof/>
                <w:lang w:val="es-MX"/>
              </w:rPr>
              <w:drawing>
                <wp:inline distT="0" distB="0" distL="0" distR="0" wp14:anchorId="2C90E020" wp14:editId="4CF2FA13">
                  <wp:extent cx="5509399" cy="1588623"/>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6114" t="25636" r="4822" b="39025"/>
                          <a:stretch/>
                        </pic:blipFill>
                        <pic:spPr bwMode="auto">
                          <a:xfrm>
                            <a:off x="0" y="0"/>
                            <a:ext cx="5548860" cy="1600001"/>
                          </a:xfrm>
                          <a:prstGeom prst="rect">
                            <a:avLst/>
                          </a:prstGeom>
                          <a:ln>
                            <a:noFill/>
                          </a:ln>
                          <a:extLst>
                            <a:ext uri="{53640926-AAD7-44D8-BBD7-CCE9431645EC}">
                              <a14:shadowObscured xmlns:a14="http://schemas.microsoft.com/office/drawing/2010/main"/>
                            </a:ext>
                          </a:extLst>
                        </pic:spPr>
                      </pic:pic>
                    </a:graphicData>
                  </a:graphic>
                </wp:inline>
              </w:drawing>
            </w:r>
          </w:p>
        </w:tc>
      </w:tr>
      <w:tr w:rsidR="00084529" w:rsidRPr="002740EA" w14:paraId="1A2DCD8D" w14:textId="77777777" w:rsidTr="00E40400">
        <w:trPr>
          <w:jc w:val="center"/>
        </w:trPr>
        <w:tc>
          <w:tcPr>
            <w:tcW w:w="8838" w:type="dxa"/>
          </w:tcPr>
          <w:p w14:paraId="57C420DE" w14:textId="77777777" w:rsidR="00084529" w:rsidRPr="002740EA" w:rsidRDefault="00084529" w:rsidP="000C6B37">
            <w:pPr>
              <w:pStyle w:val="Prrafodelista"/>
              <w:spacing w:after="0"/>
              <w:ind w:left="0"/>
              <w:jc w:val="center"/>
              <w:rPr>
                <w:rFonts w:eastAsia="Calibri" w:cs="Arial"/>
                <w:sz w:val="16"/>
                <w:szCs w:val="16"/>
                <w:lang w:val="es-ES_tradnl"/>
              </w:rPr>
            </w:pPr>
            <w:r w:rsidRPr="002740EA">
              <w:rPr>
                <w:rFonts w:eastAsia="Calibri" w:cs="Arial"/>
                <w:sz w:val="16"/>
                <w:szCs w:val="16"/>
                <w:lang w:val="es-ES_tradnl"/>
              </w:rPr>
              <w:t>Elaborado por la ASEQROO, con base en los documentos normativos de la UQROO.</w:t>
            </w:r>
          </w:p>
        </w:tc>
      </w:tr>
    </w:tbl>
    <w:p w14:paraId="10176C1A" w14:textId="77777777" w:rsidR="00575FE8" w:rsidRPr="002740EA" w:rsidRDefault="00575FE8" w:rsidP="000C6B37">
      <w:pPr>
        <w:spacing w:after="0"/>
        <w:jc w:val="both"/>
        <w:rPr>
          <w:rFonts w:cs="Arial"/>
          <w:b/>
          <w:szCs w:val="24"/>
        </w:rPr>
      </w:pPr>
    </w:p>
    <w:p w14:paraId="0E08C4D4" w14:textId="22933542" w:rsidR="0083793D" w:rsidRPr="002740EA" w:rsidRDefault="0083793D" w:rsidP="0083793D">
      <w:pPr>
        <w:pStyle w:val="Prrafodelista"/>
        <w:spacing w:after="0"/>
        <w:ind w:left="0"/>
        <w:jc w:val="both"/>
        <w:rPr>
          <w:rFonts w:eastAsia="Calibri" w:cs="Arial"/>
          <w:szCs w:val="24"/>
          <w:lang w:val="es-ES_tradnl"/>
        </w:rPr>
      </w:pPr>
      <w:r w:rsidRPr="002740EA">
        <w:rPr>
          <w:rFonts w:cs="Arial"/>
          <w:szCs w:val="24"/>
          <w:lang w:val="es-MX"/>
        </w:rPr>
        <w:t>E</w:t>
      </w:r>
      <w:r w:rsidR="000B63E9" w:rsidRPr="002740EA">
        <w:rPr>
          <w:rFonts w:cs="Arial"/>
          <w:szCs w:val="24"/>
          <w:lang w:val="es-MX"/>
        </w:rPr>
        <w:t xml:space="preserve">n este sentido </w:t>
      </w:r>
      <w:r w:rsidR="00F51917" w:rsidRPr="002740EA">
        <w:rPr>
          <w:rFonts w:cs="Arial"/>
          <w:szCs w:val="24"/>
          <w:lang w:val="es-MX"/>
        </w:rPr>
        <w:t xml:space="preserve">se </w:t>
      </w:r>
      <w:r w:rsidR="000B63E9" w:rsidRPr="002740EA">
        <w:rPr>
          <w:rFonts w:cs="Arial"/>
          <w:szCs w:val="24"/>
          <w:lang w:val="es-MX"/>
        </w:rPr>
        <w:t>concluye</w:t>
      </w:r>
      <w:r w:rsidR="00E34515" w:rsidRPr="002740EA">
        <w:rPr>
          <w:rFonts w:cs="Arial"/>
          <w:szCs w:val="24"/>
          <w:lang w:val="es-MX"/>
        </w:rPr>
        <w:t xml:space="preserve"> que</w:t>
      </w:r>
      <w:r w:rsidRPr="002740EA">
        <w:rPr>
          <w:rFonts w:cs="Arial"/>
          <w:szCs w:val="24"/>
          <w:lang w:val="es-MX"/>
        </w:rPr>
        <w:t xml:space="preserve"> l</w:t>
      </w:r>
      <w:r w:rsidRPr="002740EA">
        <w:rPr>
          <w:rFonts w:eastAsia="Calibri" w:cs="Arial"/>
          <w:szCs w:val="24"/>
          <w:lang w:val="es-ES_tradnl"/>
        </w:rPr>
        <w:t xml:space="preserve">os documentos normativos de la </w:t>
      </w:r>
      <w:r w:rsidRPr="002740EA">
        <w:rPr>
          <w:rFonts w:cs="Arial"/>
          <w:szCs w:val="24"/>
        </w:rPr>
        <w:t>Universidad de Quintana Roo</w:t>
      </w:r>
      <w:r w:rsidRPr="002740EA">
        <w:rPr>
          <w:rFonts w:eastAsia="Calibri" w:cs="Arial"/>
          <w:szCs w:val="24"/>
          <w:lang w:val="es-ES_tradnl"/>
        </w:rPr>
        <w:t xml:space="preserve"> se encuentran aprobados y autorizados por la autoridad competente.  </w:t>
      </w:r>
    </w:p>
    <w:p w14:paraId="70355E89" w14:textId="77777777" w:rsidR="0083793D" w:rsidRPr="002740EA" w:rsidRDefault="0083793D" w:rsidP="000C6B37">
      <w:pPr>
        <w:spacing w:after="0" w:line="276" w:lineRule="auto"/>
        <w:jc w:val="both"/>
        <w:rPr>
          <w:rFonts w:cs="Arial"/>
          <w:szCs w:val="24"/>
        </w:rPr>
      </w:pPr>
    </w:p>
    <w:p w14:paraId="09D594CD" w14:textId="68751F0F" w:rsidR="00084529" w:rsidRPr="002740EA" w:rsidRDefault="00084529" w:rsidP="000C6B37">
      <w:pPr>
        <w:spacing w:after="0" w:line="276" w:lineRule="auto"/>
        <w:jc w:val="both"/>
        <w:rPr>
          <w:rFonts w:cs="Arial"/>
          <w:szCs w:val="20"/>
        </w:rPr>
      </w:pPr>
      <w:r w:rsidRPr="002740EA">
        <w:rPr>
          <w:rFonts w:cs="Arial"/>
          <w:szCs w:val="24"/>
        </w:rPr>
        <w:t>Por</w:t>
      </w:r>
      <w:r w:rsidRPr="002740EA">
        <w:rPr>
          <w:rFonts w:cs="Arial"/>
          <w:szCs w:val="20"/>
        </w:rPr>
        <w:t xml:space="preserve"> otra parte, se elaboró una tabla comparativa entre la Estructura Orgánica, y los Manuales de Organización y Procedimientos, con la finalidad de verificar si dichos documentos se encuentran homologados entre sí, obteniendo lo siguiente:</w:t>
      </w:r>
    </w:p>
    <w:p w14:paraId="3C16708E" w14:textId="5DC4362C" w:rsidR="007D315D" w:rsidRPr="002740EA" w:rsidRDefault="007D315D" w:rsidP="000C6B37">
      <w:pPr>
        <w:spacing w:after="0" w:line="276" w:lineRule="auto"/>
        <w:jc w:val="both"/>
        <w:rPr>
          <w:rFonts w:cs="Arial"/>
          <w:szCs w:val="20"/>
        </w:rPr>
      </w:pPr>
    </w:p>
    <w:p w14:paraId="4B5F2913" w14:textId="1700A808" w:rsidR="000A1443" w:rsidRPr="002740EA" w:rsidRDefault="000A1443" w:rsidP="000C6B37">
      <w:pPr>
        <w:spacing w:after="0" w:line="276" w:lineRule="auto"/>
        <w:jc w:val="both"/>
        <w:rPr>
          <w:rFonts w:cs="Arial"/>
          <w:szCs w:val="20"/>
        </w:rPr>
      </w:pPr>
    </w:p>
    <w:p w14:paraId="0F3AEBEA" w14:textId="113E2F20" w:rsidR="000A1443" w:rsidRPr="002740EA" w:rsidRDefault="000A1443" w:rsidP="000C6B37">
      <w:pPr>
        <w:spacing w:after="0" w:line="276" w:lineRule="auto"/>
        <w:jc w:val="both"/>
        <w:rPr>
          <w:rFonts w:cs="Arial"/>
          <w:szCs w:val="20"/>
        </w:rPr>
      </w:pPr>
    </w:p>
    <w:p w14:paraId="19A28F08" w14:textId="10291B2D" w:rsidR="00152770" w:rsidRPr="002740EA" w:rsidRDefault="00152770" w:rsidP="000C6B37">
      <w:pPr>
        <w:spacing w:after="0" w:line="276" w:lineRule="auto"/>
        <w:jc w:val="both"/>
        <w:rPr>
          <w:rFonts w:cs="Arial"/>
          <w:szCs w:val="20"/>
        </w:rPr>
      </w:pPr>
    </w:p>
    <w:p w14:paraId="14043F1A" w14:textId="27CE26B2" w:rsidR="00152770" w:rsidRPr="002740EA" w:rsidRDefault="00152770" w:rsidP="000C6B37">
      <w:pPr>
        <w:spacing w:after="0" w:line="276" w:lineRule="auto"/>
        <w:jc w:val="both"/>
        <w:rPr>
          <w:rFonts w:cs="Arial"/>
          <w:szCs w:val="20"/>
        </w:rPr>
      </w:pPr>
    </w:p>
    <w:p w14:paraId="2AAF3689" w14:textId="77777777" w:rsidR="00152770" w:rsidRPr="002740EA" w:rsidRDefault="00152770" w:rsidP="000C6B37">
      <w:pPr>
        <w:spacing w:after="0" w:line="276" w:lineRule="auto"/>
        <w:jc w:val="both"/>
        <w:rPr>
          <w:rFonts w:cs="Arial"/>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084529" w:rsidRPr="002740EA" w14:paraId="1B4C1180" w14:textId="77777777" w:rsidTr="001213D4">
        <w:trPr>
          <w:jc w:val="center"/>
        </w:trPr>
        <w:tc>
          <w:tcPr>
            <w:tcW w:w="8838" w:type="dxa"/>
            <w:vAlign w:val="bottom"/>
          </w:tcPr>
          <w:p w14:paraId="2A582A2E" w14:textId="77777777" w:rsidR="00084529" w:rsidRPr="002740EA" w:rsidRDefault="00084529" w:rsidP="000C6B37">
            <w:pPr>
              <w:pStyle w:val="Prrafodelista"/>
              <w:spacing w:after="0"/>
              <w:ind w:left="0"/>
              <w:jc w:val="center"/>
              <w:rPr>
                <w:rFonts w:eastAsia="Times New Roman" w:cs="Arial"/>
                <w:b/>
                <w:bCs/>
                <w:color w:val="000000"/>
                <w:sz w:val="16"/>
                <w:szCs w:val="16"/>
              </w:rPr>
            </w:pPr>
            <w:r w:rsidRPr="002740EA">
              <w:rPr>
                <w:rFonts w:eastAsia="Times New Roman" w:cs="Arial"/>
                <w:b/>
                <w:bCs/>
                <w:color w:val="000000"/>
                <w:szCs w:val="16"/>
              </w:rPr>
              <w:lastRenderedPageBreak/>
              <w:t>Tabla 1.  Homologación de los documentos normativos de la UQROO</w:t>
            </w:r>
            <w:r w:rsidRPr="002740EA">
              <w:rPr>
                <w:rFonts w:eastAsia="Times New Roman" w:cs="Arial"/>
                <w:b/>
                <w:bCs/>
                <w:color w:val="000000"/>
                <w:sz w:val="16"/>
                <w:szCs w:val="16"/>
              </w:rPr>
              <w:t>.</w:t>
            </w:r>
          </w:p>
          <w:p w14:paraId="3FD9A2EC" w14:textId="63AE21EB" w:rsidR="002455B9" w:rsidRPr="002740EA" w:rsidRDefault="002455B9" w:rsidP="000C6B37">
            <w:pPr>
              <w:pStyle w:val="Prrafodelista"/>
              <w:spacing w:after="0"/>
              <w:ind w:left="0"/>
              <w:jc w:val="center"/>
              <w:rPr>
                <w:rFonts w:cs="Arial"/>
                <w:sz w:val="18"/>
                <w:szCs w:val="18"/>
                <w:lang w:val="es-ES_tradnl"/>
              </w:rPr>
            </w:pPr>
          </w:p>
        </w:tc>
      </w:tr>
      <w:tr w:rsidR="00084529" w:rsidRPr="002740EA" w14:paraId="37BD22CA" w14:textId="77777777" w:rsidTr="001213D4">
        <w:trPr>
          <w:trHeight w:val="535"/>
          <w:jc w:val="center"/>
        </w:trPr>
        <w:tc>
          <w:tcPr>
            <w:tcW w:w="8838" w:type="dxa"/>
          </w:tcPr>
          <w:tbl>
            <w:tblPr>
              <w:tblW w:w="5000" w:type="pct"/>
              <w:tblCellMar>
                <w:left w:w="70" w:type="dxa"/>
                <w:right w:w="70" w:type="dxa"/>
              </w:tblCellMar>
              <w:tblLook w:val="04A0" w:firstRow="1" w:lastRow="0" w:firstColumn="1" w:lastColumn="0" w:noHBand="0" w:noVBand="1"/>
            </w:tblPr>
            <w:tblGrid>
              <w:gridCol w:w="2557"/>
              <w:gridCol w:w="1957"/>
              <w:gridCol w:w="2073"/>
              <w:gridCol w:w="2269"/>
            </w:tblGrid>
            <w:tr w:rsidR="00084529" w:rsidRPr="002740EA" w14:paraId="41BFF56A" w14:textId="77777777" w:rsidTr="00BC3ECD">
              <w:trPr>
                <w:trHeight w:val="300"/>
                <w:tblHeader/>
              </w:trPr>
              <w:tc>
                <w:tcPr>
                  <w:tcW w:w="3328" w:type="pct"/>
                  <w:gridSpan w:val="2"/>
                  <w:tcBorders>
                    <w:top w:val="nil"/>
                    <w:left w:val="nil"/>
                    <w:bottom w:val="nil"/>
                    <w:right w:val="nil"/>
                  </w:tcBorders>
                  <w:shd w:val="clear" w:color="auto" w:fill="DEEAF6" w:themeFill="accent1" w:themeFillTint="33"/>
                  <w:noWrap/>
                  <w:vAlign w:val="center"/>
                  <w:hideMark/>
                </w:tcPr>
                <w:p w14:paraId="50482634" w14:textId="77777777" w:rsidR="00084529" w:rsidRPr="002740EA" w:rsidRDefault="00084529" w:rsidP="000C6B37">
                  <w:pPr>
                    <w:spacing w:after="0" w:line="240" w:lineRule="auto"/>
                    <w:jc w:val="center"/>
                    <w:rPr>
                      <w:rFonts w:eastAsia="Times New Roman" w:cs="Arial"/>
                      <w:b/>
                      <w:bCs/>
                      <w:color w:val="000000"/>
                      <w:sz w:val="20"/>
                      <w:szCs w:val="20"/>
                      <w:lang w:eastAsia="es-MX"/>
                    </w:rPr>
                  </w:pPr>
                  <w:r w:rsidRPr="002740EA">
                    <w:rPr>
                      <w:rFonts w:eastAsia="Times New Roman" w:cs="Arial"/>
                      <w:b/>
                      <w:bCs/>
                      <w:color w:val="000000"/>
                      <w:sz w:val="20"/>
                      <w:szCs w:val="20"/>
                      <w:lang w:val="es-ES_tradnl" w:eastAsia="es-MX"/>
                    </w:rPr>
                    <w:t>Estructura Orgánica</w:t>
                  </w:r>
                </w:p>
              </w:tc>
              <w:tc>
                <w:tcPr>
                  <w:tcW w:w="869" w:type="pct"/>
                  <w:tcBorders>
                    <w:top w:val="nil"/>
                    <w:left w:val="nil"/>
                    <w:right w:val="nil"/>
                  </w:tcBorders>
                  <w:shd w:val="clear" w:color="auto" w:fill="DEEAF6" w:themeFill="accent1" w:themeFillTint="33"/>
                  <w:noWrap/>
                  <w:vAlign w:val="center"/>
                  <w:hideMark/>
                </w:tcPr>
                <w:p w14:paraId="7AEE7666" w14:textId="77777777" w:rsidR="00084529" w:rsidRPr="002740EA" w:rsidRDefault="00084529" w:rsidP="000C6B37">
                  <w:pPr>
                    <w:spacing w:after="0" w:line="240" w:lineRule="auto"/>
                    <w:jc w:val="center"/>
                    <w:rPr>
                      <w:rFonts w:eastAsia="Times New Roman" w:cs="Arial"/>
                      <w:b/>
                      <w:bCs/>
                      <w:color w:val="000000"/>
                      <w:sz w:val="20"/>
                      <w:szCs w:val="20"/>
                      <w:lang w:eastAsia="es-MX"/>
                    </w:rPr>
                  </w:pPr>
                  <w:r w:rsidRPr="002740EA">
                    <w:rPr>
                      <w:rFonts w:eastAsia="Times New Roman" w:cs="Arial"/>
                      <w:b/>
                      <w:bCs/>
                      <w:color w:val="000000"/>
                      <w:sz w:val="20"/>
                      <w:szCs w:val="20"/>
                      <w:lang w:eastAsia="es-MX"/>
                    </w:rPr>
                    <w:t>Manual de Organización</w:t>
                  </w:r>
                </w:p>
              </w:tc>
              <w:tc>
                <w:tcPr>
                  <w:tcW w:w="802" w:type="pct"/>
                  <w:tcBorders>
                    <w:top w:val="nil"/>
                    <w:left w:val="nil"/>
                    <w:right w:val="nil"/>
                  </w:tcBorders>
                  <w:shd w:val="clear" w:color="auto" w:fill="DEEAF6" w:themeFill="accent1" w:themeFillTint="33"/>
                  <w:noWrap/>
                  <w:vAlign w:val="center"/>
                  <w:hideMark/>
                </w:tcPr>
                <w:p w14:paraId="29411B45" w14:textId="77777777" w:rsidR="00084529" w:rsidRPr="002740EA" w:rsidRDefault="00084529" w:rsidP="000C6B37">
                  <w:pPr>
                    <w:spacing w:after="0" w:line="240" w:lineRule="auto"/>
                    <w:jc w:val="center"/>
                    <w:rPr>
                      <w:rFonts w:eastAsia="Times New Roman" w:cs="Arial"/>
                      <w:b/>
                      <w:bCs/>
                      <w:color w:val="000000"/>
                      <w:sz w:val="20"/>
                      <w:szCs w:val="20"/>
                      <w:lang w:eastAsia="es-MX"/>
                    </w:rPr>
                  </w:pPr>
                  <w:r w:rsidRPr="002740EA">
                    <w:rPr>
                      <w:rFonts w:eastAsia="Times New Roman" w:cs="Arial"/>
                      <w:b/>
                      <w:bCs/>
                      <w:color w:val="000000"/>
                      <w:sz w:val="20"/>
                      <w:szCs w:val="20"/>
                      <w:lang w:eastAsia="es-MX"/>
                    </w:rPr>
                    <w:t>Manual de Procedimientos</w:t>
                  </w:r>
                </w:p>
              </w:tc>
            </w:tr>
            <w:tr w:rsidR="00084529" w:rsidRPr="002740EA" w14:paraId="1F17AB51"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7C36CB0E" w14:textId="77777777" w:rsidR="00084529" w:rsidRPr="002740EA" w:rsidRDefault="00084529" w:rsidP="000C6B37">
                  <w:pPr>
                    <w:spacing w:after="0" w:line="240" w:lineRule="auto"/>
                    <w:jc w:val="both"/>
                    <w:rPr>
                      <w:rFonts w:eastAsia="Times New Roman" w:cs="Arial"/>
                      <w:bCs/>
                      <w:color w:val="000000"/>
                      <w:sz w:val="20"/>
                      <w:szCs w:val="20"/>
                      <w:lang w:eastAsia="es-MX"/>
                    </w:rPr>
                  </w:pPr>
                  <w:r w:rsidRPr="002740EA">
                    <w:rPr>
                      <w:rFonts w:eastAsia="Times New Roman" w:cs="Arial"/>
                      <w:bCs/>
                      <w:color w:val="000000"/>
                      <w:sz w:val="20"/>
                      <w:szCs w:val="20"/>
                      <w:lang w:eastAsia="es-MX"/>
                    </w:rPr>
                    <w:t>Dirección General de Asuntos Jurídicos.</w:t>
                  </w:r>
                </w:p>
              </w:tc>
              <w:tc>
                <w:tcPr>
                  <w:tcW w:w="869" w:type="pct"/>
                  <w:tcBorders>
                    <w:top w:val="nil"/>
                    <w:left w:val="nil"/>
                    <w:bottom w:val="nil"/>
                    <w:right w:val="nil"/>
                  </w:tcBorders>
                  <w:shd w:val="clear" w:color="auto" w:fill="auto"/>
                  <w:noWrap/>
                  <w:vAlign w:val="center"/>
                  <w:hideMark/>
                </w:tcPr>
                <w:p w14:paraId="5D18D956" w14:textId="7028278F"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1D569ED2" w14:textId="22C44348"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4CF70C8A"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6A1411C6"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Dirección General de Desarrollo Académico.</w:t>
                  </w:r>
                </w:p>
              </w:tc>
              <w:tc>
                <w:tcPr>
                  <w:tcW w:w="869" w:type="pct"/>
                  <w:tcBorders>
                    <w:top w:val="nil"/>
                    <w:left w:val="nil"/>
                    <w:bottom w:val="nil"/>
                    <w:right w:val="nil"/>
                  </w:tcBorders>
                  <w:shd w:val="clear" w:color="auto" w:fill="auto"/>
                  <w:noWrap/>
                  <w:vAlign w:val="center"/>
                  <w:hideMark/>
                </w:tcPr>
                <w:p w14:paraId="1EFAC07C" w14:textId="487D4B38" w:rsidR="00084529" w:rsidRPr="002740EA" w:rsidRDefault="00A4223F" w:rsidP="00BC3ECD">
                  <w:pPr>
                    <w:spacing w:after="0" w:line="240" w:lineRule="auto"/>
                    <w:ind w:hanging="50"/>
                    <w:jc w:val="center"/>
                    <w:rPr>
                      <w:rFonts w:eastAsia="Times New Roman" w:cs="Arial"/>
                      <w:color w:val="000000"/>
                      <w:sz w:val="20"/>
                      <w:szCs w:val="20"/>
                      <w:lang w:eastAsia="es-MX"/>
                    </w:rPr>
                  </w:pPr>
                  <w:r w:rsidRPr="002740EA">
                    <w:rPr>
                      <w:rFonts w:eastAsia="Times New Roman" w:cs="Arial"/>
                      <w:color w:val="000000"/>
                      <w:sz w:val="20"/>
                      <w:szCs w:val="20"/>
                      <w:lang w:eastAsia="es-MX"/>
                    </w:rPr>
                    <w:t xml:space="preserve"> </w:t>
                  </w:r>
                  <w:r w:rsidR="00BC3ECD" w:rsidRPr="002740EA">
                    <w:rPr>
                      <w:rFonts w:eastAsia="Times New Roman" w:cs="Arial"/>
                      <w:color w:val="000000"/>
                      <w:sz w:val="20"/>
                      <w:szCs w:val="20"/>
                      <w:lang w:eastAsia="es-MX"/>
                    </w:rPr>
                    <w:t>x</w:t>
                  </w:r>
                </w:p>
              </w:tc>
              <w:tc>
                <w:tcPr>
                  <w:tcW w:w="802" w:type="pct"/>
                  <w:tcBorders>
                    <w:top w:val="nil"/>
                    <w:left w:val="nil"/>
                    <w:bottom w:val="nil"/>
                    <w:right w:val="nil"/>
                  </w:tcBorders>
                  <w:shd w:val="clear" w:color="auto" w:fill="auto"/>
                  <w:noWrap/>
                  <w:vAlign w:val="center"/>
                  <w:hideMark/>
                </w:tcPr>
                <w:p w14:paraId="14B70993" w14:textId="0D7784E1" w:rsidR="00084529" w:rsidRPr="002740EA" w:rsidRDefault="00A4223F" w:rsidP="000C6B37">
                  <w:pPr>
                    <w:spacing w:after="0" w:line="240" w:lineRule="auto"/>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032E11" w:rsidRPr="002740EA">
                    <w:rPr>
                      <w:rFonts w:eastAsia="Times New Roman" w:cs="Arial"/>
                      <w:color w:val="000000"/>
                      <w:sz w:val="20"/>
                      <w:szCs w:val="20"/>
                      <w:lang w:eastAsia="es-MX"/>
                    </w:rPr>
                    <w:t>x</w:t>
                  </w:r>
                </w:p>
              </w:tc>
            </w:tr>
            <w:tr w:rsidR="00084529" w:rsidRPr="002740EA" w14:paraId="3BBCE9C0"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3CA8F68E"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Dirección General de Planeación.</w:t>
                  </w:r>
                </w:p>
              </w:tc>
              <w:tc>
                <w:tcPr>
                  <w:tcW w:w="869" w:type="pct"/>
                  <w:tcBorders>
                    <w:top w:val="nil"/>
                    <w:left w:val="nil"/>
                    <w:bottom w:val="nil"/>
                    <w:right w:val="nil"/>
                  </w:tcBorders>
                  <w:shd w:val="clear" w:color="auto" w:fill="auto"/>
                  <w:noWrap/>
                  <w:vAlign w:val="center"/>
                  <w:hideMark/>
                </w:tcPr>
                <w:p w14:paraId="3907790F" w14:textId="62F1472C"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6EBBF542" w14:textId="02B561EF"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06D43CC4"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59603F7E"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 xml:space="preserve">Dirección General De Sistemas </w:t>
                  </w:r>
                </w:p>
              </w:tc>
              <w:tc>
                <w:tcPr>
                  <w:tcW w:w="869" w:type="pct"/>
                  <w:tcBorders>
                    <w:top w:val="nil"/>
                    <w:left w:val="nil"/>
                    <w:bottom w:val="nil"/>
                    <w:right w:val="nil"/>
                  </w:tcBorders>
                  <w:shd w:val="clear" w:color="auto" w:fill="auto"/>
                  <w:noWrap/>
                  <w:vAlign w:val="center"/>
                  <w:hideMark/>
                </w:tcPr>
                <w:p w14:paraId="5C70AF52" w14:textId="46589ED4" w:rsidR="00084529" w:rsidRPr="002740EA" w:rsidRDefault="00A4223F" w:rsidP="00BC3ECD">
                  <w:pPr>
                    <w:spacing w:after="0" w:line="240" w:lineRule="auto"/>
                    <w:ind w:hanging="50"/>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BC3ECD" w:rsidRPr="002740EA">
                    <w:rPr>
                      <w:rFonts w:eastAsia="Times New Roman" w:cs="Arial"/>
                      <w:color w:val="000000"/>
                      <w:sz w:val="20"/>
                      <w:szCs w:val="20"/>
                      <w:lang w:eastAsia="es-MX"/>
                    </w:rPr>
                    <w:t>x</w:t>
                  </w:r>
                </w:p>
              </w:tc>
              <w:tc>
                <w:tcPr>
                  <w:tcW w:w="802" w:type="pct"/>
                  <w:tcBorders>
                    <w:top w:val="nil"/>
                    <w:left w:val="nil"/>
                    <w:bottom w:val="nil"/>
                    <w:right w:val="nil"/>
                  </w:tcBorders>
                  <w:shd w:val="clear" w:color="auto" w:fill="auto"/>
                  <w:noWrap/>
                  <w:vAlign w:val="center"/>
                  <w:hideMark/>
                </w:tcPr>
                <w:p w14:paraId="6A02C1DD" w14:textId="489FC3F1" w:rsidR="00084529" w:rsidRPr="002740EA" w:rsidRDefault="00A4223F" w:rsidP="000C6B37">
                  <w:pPr>
                    <w:spacing w:after="0" w:line="240" w:lineRule="auto"/>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032E11" w:rsidRPr="002740EA">
                    <w:rPr>
                      <w:rFonts w:eastAsia="Times New Roman" w:cs="Arial"/>
                      <w:color w:val="000000"/>
                      <w:sz w:val="20"/>
                      <w:szCs w:val="20"/>
                      <w:lang w:eastAsia="es-MX"/>
                    </w:rPr>
                    <w:t>x</w:t>
                  </w:r>
                </w:p>
              </w:tc>
            </w:tr>
            <w:tr w:rsidR="00084529" w:rsidRPr="002740EA" w14:paraId="6E567805"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172BD9E3"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 xml:space="preserve">Unidad Académica de Chetumal </w:t>
                  </w:r>
                </w:p>
              </w:tc>
              <w:tc>
                <w:tcPr>
                  <w:tcW w:w="869" w:type="pct"/>
                  <w:tcBorders>
                    <w:top w:val="nil"/>
                    <w:left w:val="nil"/>
                    <w:bottom w:val="nil"/>
                    <w:right w:val="nil"/>
                  </w:tcBorders>
                  <w:shd w:val="clear" w:color="auto" w:fill="auto"/>
                  <w:noWrap/>
                  <w:vAlign w:val="center"/>
                  <w:hideMark/>
                </w:tcPr>
                <w:p w14:paraId="0852932A" w14:textId="14754F8E" w:rsidR="00084529" w:rsidRPr="002740EA" w:rsidRDefault="00A4223F" w:rsidP="00BC3ECD">
                  <w:pPr>
                    <w:spacing w:after="0" w:line="240" w:lineRule="auto"/>
                    <w:ind w:hanging="50"/>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BC3ECD" w:rsidRPr="002740EA">
                    <w:rPr>
                      <w:rFonts w:eastAsia="Times New Roman" w:cs="Arial"/>
                      <w:color w:val="000000"/>
                      <w:sz w:val="20"/>
                      <w:szCs w:val="20"/>
                      <w:lang w:eastAsia="es-MX"/>
                    </w:rPr>
                    <w:t>x</w:t>
                  </w:r>
                </w:p>
              </w:tc>
              <w:tc>
                <w:tcPr>
                  <w:tcW w:w="802" w:type="pct"/>
                  <w:tcBorders>
                    <w:top w:val="nil"/>
                    <w:left w:val="nil"/>
                    <w:bottom w:val="nil"/>
                    <w:right w:val="nil"/>
                  </w:tcBorders>
                  <w:shd w:val="clear" w:color="auto" w:fill="auto"/>
                  <w:noWrap/>
                  <w:vAlign w:val="center"/>
                  <w:hideMark/>
                </w:tcPr>
                <w:p w14:paraId="62E4607D" w14:textId="6E80CE9F" w:rsidR="00084529" w:rsidRPr="002740EA" w:rsidRDefault="00A4223F" w:rsidP="000C6B37">
                  <w:pPr>
                    <w:spacing w:after="0" w:line="240" w:lineRule="auto"/>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032E11" w:rsidRPr="002740EA">
                    <w:rPr>
                      <w:rFonts w:eastAsia="Times New Roman" w:cs="Arial"/>
                      <w:color w:val="000000"/>
                      <w:sz w:val="20"/>
                      <w:szCs w:val="20"/>
                      <w:lang w:eastAsia="es-MX"/>
                    </w:rPr>
                    <w:t>x</w:t>
                  </w:r>
                </w:p>
              </w:tc>
            </w:tr>
            <w:tr w:rsidR="00084529" w:rsidRPr="002740EA" w14:paraId="299C52A5"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06474524"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División de Ciencias de Ingeniería</w:t>
                  </w:r>
                </w:p>
              </w:tc>
              <w:tc>
                <w:tcPr>
                  <w:tcW w:w="869" w:type="pct"/>
                  <w:tcBorders>
                    <w:top w:val="nil"/>
                    <w:left w:val="nil"/>
                    <w:bottom w:val="nil"/>
                    <w:right w:val="nil"/>
                  </w:tcBorders>
                  <w:shd w:val="clear" w:color="auto" w:fill="auto"/>
                  <w:noWrap/>
                  <w:vAlign w:val="center"/>
                  <w:hideMark/>
                </w:tcPr>
                <w:p w14:paraId="77342A26" w14:textId="7E33E987"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2741FD3A" w14:textId="11E939E9"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565F06F5"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6D1B3CBC"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División de Ciencias Sociales y Económica Administrativa.</w:t>
                  </w:r>
                </w:p>
              </w:tc>
              <w:tc>
                <w:tcPr>
                  <w:tcW w:w="869" w:type="pct"/>
                  <w:tcBorders>
                    <w:top w:val="nil"/>
                    <w:left w:val="nil"/>
                    <w:bottom w:val="nil"/>
                    <w:right w:val="nil"/>
                  </w:tcBorders>
                  <w:shd w:val="clear" w:color="auto" w:fill="auto"/>
                  <w:noWrap/>
                  <w:vAlign w:val="center"/>
                  <w:hideMark/>
                </w:tcPr>
                <w:p w14:paraId="48F5EC5C" w14:textId="34B0C317"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1D796D33" w14:textId="69B92EF9"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2584F6A2"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169ABF25"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 xml:space="preserve">División de Ciencias políticas y Humanidades </w:t>
                  </w:r>
                </w:p>
              </w:tc>
              <w:tc>
                <w:tcPr>
                  <w:tcW w:w="869" w:type="pct"/>
                  <w:tcBorders>
                    <w:top w:val="nil"/>
                    <w:left w:val="nil"/>
                    <w:bottom w:val="nil"/>
                    <w:right w:val="nil"/>
                  </w:tcBorders>
                  <w:shd w:val="clear" w:color="auto" w:fill="auto"/>
                  <w:noWrap/>
                  <w:vAlign w:val="center"/>
                  <w:hideMark/>
                </w:tcPr>
                <w:p w14:paraId="49A3B59F" w14:textId="298153F8"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287B8408" w14:textId="4436CB4F"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25CAF08F"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78F66284"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División de Ciencias de la Salud</w:t>
                  </w:r>
                </w:p>
              </w:tc>
              <w:tc>
                <w:tcPr>
                  <w:tcW w:w="869" w:type="pct"/>
                  <w:tcBorders>
                    <w:top w:val="nil"/>
                    <w:left w:val="nil"/>
                    <w:bottom w:val="nil"/>
                    <w:right w:val="nil"/>
                  </w:tcBorders>
                  <w:shd w:val="clear" w:color="auto" w:fill="auto"/>
                  <w:noWrap/>
                  <w:vAlign w:val="center"/>
                  <w:hideMark/>
                </w:tcPr>
                <w:p w14:paraId="1F2E4E9A" w14:textId="678522EC"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4E8A2C1B" w14:textId="027944EB"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5A87BBA6"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757B753D"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Coordinación Unidad Académica Cozumel</w:t>
                  </w:r>
                </w:p>
              </w:tc>
              <w:tc>
                <w:tcPr>
                  <w:tcW w:w="869" w:type="pct"/>
                  <w:tcBorders>
                    <w:top w:val="nil"/>
                    <w:left w:val="nil"/>
                    <w:bottom w:val="nil"/>
                    <w:right w:val="nil"/>
                  </w:tcBorders>
                  <w:shd w:val="clear" w:color="auto" w:fill="auto"/>
                  <w:noWrap/>
                  <w:vAlign w:val="center"/>
                  <w:hideMark/>
                </w:tcPr>
                <w:p w14:paraId="1C4D9674" w14:textId="49DA454B"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6791AC31" w14:textId="19CFE273"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5DF35F97"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2436C611"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División de Desarrollo Sustentable</w:t>
                  </w:r>
                </w:p>
              </w:tc>
              <w:tc>
                <w:tcPr>
                  <w:tcW w:w="869" w:type="pct"/>
                  <w:tcBorders>
                    <w:top w:val="nil"/>
                    <w:left w:val="nil"/>
                    <w:bottom w:val="nil"/>
                    <w:right w:val="nil"/>
                  </w:tcBorders>
                  <w:shd w:val="clear" w:color="auto" w:fill="auto"/>
                  <w:noWrap/>
                  <w:vAlign w:val="center"/>
                  <w:hideMark/>
                </w:tcPr>
                <w:p w14:paraId="64595031" w14:textId="1060630C"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516655B8" w14:textId="6B5939AA"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5DC134C2"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5CA70556"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Coordinación Unidad Académica Playa del Carmen</w:t>
                  </w:r>
                </w:p>
              </w:tc>
              <w:tc>
                <w:tcPr>
                  <w:tcW w:w="869" w:type="pct"/>
                  <w:tcBorders>
                    <w:top w:val="nil"/>
                    <w:left w:val="nil"/>
                    <w:bottom w:val="nil"/>
                    <w:right w:val="nil"/>
                  </w:tcBorders>
                  <w:shd w:val="clear" w:color="auto" w:fill="auto"/>
                  <w:noWrap/>
                  <w:vAlign w:val="center"/>
                  <w:hideMark/>
                </w:tcPr>
                <w:p w14:paraId="0E849A26" w14:textId="3F86688D"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101A587C" w14:textId="7C0B8112"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3F2BD12A"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5811DAA8"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División de ingeniería y ciencias de administración</w:t>
                  </w:r>
                </w:p>
              </w:tc>
              <w:tc>
                <w:tcPr>
                  <w:tcW w:w="869" w:type="pct"/>
                  <w:tcBorders>
                    <w:top w:val="nil"/>
                    <w:left w:val="nil"/>
                    <w:bottom w:val="nil"/>
                    <w:right w:val="nil"/>
                  </w:tcBorders>
                  <w:shd w:val="clear" w:color="auto" w:fill="auto"/>
                  <w:noWrap/>
                  <w:vAlign w:val="center"/>
                  <w:hideMark/>
                </w:tcPr>
                <w:p w14:paraId="3FFE3340" w14:textId="3A41C690"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1600FE63" w14:textId="331FDA11"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2AA27A71"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0F0410C0"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Coordinación Unidad Académica Cancún.</w:t>
                  </w:r>
                </w:p>
              </w:tc>
              <w:tc>
                <w:tcPr>
                  <w:tcW w:w="869" w:type="pct"/>
                  <w:tcBorders>
                    <w:top w:val="nil"/>
                    <w:left w:val="nil"/>
                    <w:bottom w:val="nil"/>
                    <w:right w:val="nil"/>
                  </w:tcBorders>
                  <w:shd w:val="clear" w:color="auto" w:fill="auto"/>
                  <w:noWrap/>
                  <w:vAlign w:val="center"/>
                  <w:hideMark/>
                </w:tcPr>
                <w:p w14:paraId="2A035D15" w14:textId="54248AD2" w:rsidR="00084529" w:rsidRPr="002740EA" w:rsidRDefault="00084529" w:rsidP="00BC3ECD">
                  <w:pPr>
                    <w:pStyle w:val="Prrafodelista"/>
                    <w:numPr>
                      <w:ilvl w:val="0"/>
                      <w:numId w:val="22"/>
                    </w:numPr>
                    <w:spacing w:after="0" w:line="240" w:lineRule="auto"/>
                    <w:ind w:hanging="50"/>
                    <w:jc w:val="center"/>
                    <w:rPr>
                      <w:rFonts w:ascii="Wingdings" w:eastAsia="Times New Roman" w:hAnsi="Wingdings" w:cs="Calibri"/>
                      <w:color w:val="000000"/>
                      <w:sz w:val="20"/>
                      <w:szCs w:val="20"/>
                      <w:lang w:eastAsia="es-MX"/>
                    </w:rPr>
                  </w:pPr>
                </w:p>
              </w:tc>
              <w:tc>
                <w:tcPr>
                  <w:tcW w:w="802" w:type="pct"/>
                  <w:tcBorders>
                    <w:top w:val="nil"/>
                    <w:left w:val="nil"/>
                    <w:bottom w:val="nil"/>
                    <w:right w:val="nil"/>
                  </w:tcBorders>
                  <w:shd w:val="clear" w:color="auto" w:fill="auto"/>
                  <w:noWrap/>
                  <w:vAlign w:val="center"/>
                  <w:hideMark/>
                </w:tcPr>
                <w:p w14:paraId="5E16C578" w14:textId="442571A5" w:rsidR="00084529" w:rsidRPr="002740EA" w:rsidRDefault="00084529" w:rsidP="00032E11">
                  <w:pPr>
                    <w:pStyle w:val="Prrafodelista"/>
                    <w:numPr>
                      <w:ilvl w:val="0"/>
                      <w:numId w:val="22"/>
                    </w:numPr>
                    <w:spacing w:after="0" w:line="240" w:lineRule="auto"/>
                    <w:jc w:val="center"/>
                    <w:rPr>
                      <w:rFonts w:ascii="Wingdings" w:eastAsia="Times New Roman" w:hAnsi="Wingdings" w:cs="Calibri"/>
                      <w:color w:val="000000"/>
                      <w:sz w:val="20"/>
                      <w:szCs w:val="20"/>
                      <w:lang w:eastAsia="es-MX"/>
                    </w:rPr>
                  </w:pPr>
                </w:p>
              </w:tc>
            </w:tr>
            <w:tr w:rsidR="00084529" w:rsidRPr="002740EA" w14:paraId="1D4137D8"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363FFF78" w14:textId="77777777" w:rsidR="00084529" w:rsidRPr="002740EA" w:rsidRDefault="00084529" w:rsidP="000C6B37">
                  <w:pPr>
                    <w:spacing w:after="0" w:line="240" w:lineRule="auto"/>
                    <w:rPr>
                      <w:rFonts w:eastAsia="Times New Roman" w:cs="Arial"/>
                      <w:bCs/>
                      <w:color w:val="000000"/>
                      <w:sz w:val="20"/>
                      <w:szCs w:val="20"/>
                      <w:lang w:eastAsia="es-MX"/>
                    </w:rPr>
                  </w:pPr>
                  <w:r w:rsidRPr="002740EA">
                    <w:rPr>
                      <w:rFonts w:eastAsia="Times New Roman" w:cs="Arial"/>
                      <w:bCs/>
                      <w:color w:val="000000"/>
                      <w:sz w:val="20"/>
                      <w:szCs w:val="20"/>
                      <w:lang w:eastAsia="es-MX"/>
                    </w:rPr>
                    <w:t>División de Ingeniería y Administración.</w:t>
                  </w:r>
                </w:p>
              </w:tc>
              <w:tc>
                <w:tcPr>
                  <w:tcW w:w="869" w:type="pct"/>
                  <w:tcBorders>
                    <w:top w:val="nil"/>
                    <w:left w:val="nil"/>
                    <w:bottom w:val="nil"/>
                    <w:right w:val="nil"/>
                  </w:tcBorders>
                  <w:shd w:val="clear" w:color="auto" w:fill="auto"/>
                  <w:noWrap/>
                  <w:vAlign w:val="center"/>
                  <w:hideMark/>
                </w:tcPr>
                <w:p w14:paraId="50385DD5" w14:textId="33EC06B2" w:rsidR="00084529" w:rsidRPr="002740EA" w:rsidRDefault="00A4223F" w:rsidP="00BC3ECD">
                  <w:pPr>
                    <w:spacing w:after="0" w:line="240" w:lineRule="auto"/>
                    <w:ind w:hanging="50"/>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BC3ECD" w:rsidRPr="002740EA">
                    <w:rPr>
                      <w:rFonts w:eastAsia="Times New Roman" w:cs="Arial"/>
                      <w:color w:val="000000"/>
                      <w:sz w:val="20"/>
                      <w:szCs w:val="20"/>
                      <w:lang w:eastAsia="es-MX"/>
                    </w:rPr>
                    <w:t>x</w:t>
                  </w:r>
                </w:p>
              </w:tc>
              <w:tc>
                <w:tcPr>
                  <w:tcW w:w="802" w:type="pct"/>
                  <w:tcBorders>
                    <w:top w:val="nil"/>
                    <w:left w:val="nil"/>
                    <w:bottom w:val="nil"/>
                    <w:right w:val="nil"/>
                  </w:tcBorders>
                  <w:shd w:val="clear" w:color="auto" w:fill="auto"/>
                  <w:noWrap/>
                  <w:vAlign w:val="center"/>
                  <w:hideMark/>
                </w:tcPr>
                <w:p w14:paraId="1D7499E9" w14:textId="7419D8EE" w:rsidR="00084529" w:rsidRPr="002740EA" w:rsidRDefault="00A4223F" w:rsidP="000C6B37">
                  <w:pPr>
                    <w:spacing w:after="0" w:line="240" w:lineRule="auto"/>
                    <w:jc w:val="center"/>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 xml:space="preserve">  </w:t>
                  </w:r>
                  <w:r w:rsidR="00032E11" w:rsidRPr="002740EA">
                    <w:rPr>
                      <w:rFonts w:eastAsia="Times New Roman" w:cs="Arial"/>
                      <w:color w:val="000000"/>
                      <w:sz w:val="20"/>
                      <w:szCs w:val="20"/>
                      <w:lang w:eastAsia="es-MX"/>
                    </w:rPr>
                    <w:t>x</w:t>
                  </w:r>
                </w:p>
              </w:tc>
            </w:tr>
            <w:tr w:rsidR="00084529" w:rsidRPr="002740EA" w14:paraId="3EB82FFB" w14:textId="77777777" w:rsidTr="001213D4">
              <w:trPr>
                <w:trHeight w:val="300"/>
              </w:trPr>
              <w:tc>
                <w:tcPr>
                  <w:tcW w:w="3328" w:type="pct"/>
                  <w:gridSpan w:val="2"/>
                  <w:tcBorders>
                    <w:top w:val="nil"/>
                    <w:left w:val="nil"/>
                    <w:bottom w:val="nil"/>
                    <w:right w:val="nil"/>
                  </w:tcBorders>
                  <w:shd w:val="clear" w:color="auto" w:fill="auto"/>
                  <w:noWrap/>
                  <w:vAlign w:val="center"/>
                  <w:hideMark/>
                </w:tcPr>
                <w:p w14:paraId="6A0815C9" w14:textId="77777777" w:rsidR="00084529" w:rsidRPr="002740EA" w:rsidRDefault="00084529" w:rsidP="000C6B37">
                  <w:pPr>
                    <w:spacing w:after="0" w:line="240" w:lineRule="auto"/>
                    <w:rPr>
                      <w:rFonts w:eastAsia="Times New Roman" w:cs="Arial"/>
                      <w:b/>
                      <w:bCs/>
                      <w:color w:val="000000"/>
                      <w:sz w:val="20"/>
                      <w:szCs w:val="20"/>
                      <w:lang w:eastAsia="es-MX"/>
                    </w:rPr>
                  </w:pPr>
                  <w:r w:rsidRPr="002740EA">
                    <w:rPr>
                      <w:rFonts w:eastAsia="Times New Roman" w:cs="Arial"/>
                      <w:b/>
                      <w:bCs/>
                      <w:color w:val="000000"/>
                      <w:sz w:val="20"/>
                      <w:szCs w:val="20"/>
                      <w:lang w:eastAsia="es-MX"/>
                    </w:rPr>
                    <w:t>Simbología:</w:t>
                  </w:r>
                </w:p>
              </w:tc>
              <w:tc>
                <w:tcPr>
                  <w:tcW w:w="1672" w:type="pct"/>
                  <w:gridSpan w:val="2"/>
                  <w:vMerge w:val="restart"/>
                  <w:tcBorders>
                    <w:top w:val="nil"/>
                    <w:left w:val="nil"/>
                    <w:bottom w:val="nil"/>
                    <w:right w:val="nil"/>
                  </w:tcBorders>
                  <w:shd w:val="clear" w:color="auto" w:fill="auto"/>
                  <w:noWrap/>
                  <w:vAlign w:val="center"/>
                  <w:hideMark/>
                </w:tcPr>
                <w:p w14:paraId="5338A253" w14:textId="77777777" w:rsidR="00084529" w:rsidRPr="002740EA" w:rsidRDefault="00084529" w:rsidP="000C6B37">
                  <w:pPr>
                    <w:spacing w:after="0" w:line="240" w:lineRule="auto"/>
                    <w:rPr>
                      <w:rFonts w:eastAsia="Times New Roman" w:cs="Arial"/>
                      <w:b/>
                      <w:bCs/>
                      <w:color w:val="000000"/>
                      <w:sz w:val="20"/>
                      <w:szCs w:val="20"/>
                      <w:lang w:eastAsia="es-MX"/>
                    </w:rPr>
                  </w:pPr>
                </w:p>
              </w:tc>
            </w:tr>
            <w:tr w:rsidR="00084529" w:rsidRPr="002740EA" w14:paraId="5E6B7E1A" w14:textId="77777777" w:rsidTr="001213D4">
              <w:trPr>
                <w:trHeight w:val="300"/>
              </w:trPr>
              <w:tc>
                <w:tcPr>
                  <w:tcW w:w="1887" w:type="pct"/>
                  <w:tcBorders>
                    <w:top w:val="nil"/>
                    <w:left w:val="nil"/>
                    <w:bottom w:val="nil"/>
                    <w:right w:val="nil"/>
                  </w:tcBorders>
                  <w:shd w:val="clear" w:color="auto" w:fill="auto"/>
                  <w:noWrap/>
                  <w:vAlign w:val="center"/>
                  <w:hideMark/>
                </w:tcPr>
                <w:p w14:paraId="3B158441" w14:textId="77777777" w:rsidR="00084529" w:rsidRPr="002740EA" w:rsidRDefault="00084529" w:rsidP="000C6B37">
                  <w:pPr>
                    <w:spacing w:after="0" w:line="240" w:lineRule="auto"/>
                    <w:rPr>
                      <w:rFonts w:eastAsia="Times New Roman" w:cs="Arial"/>
                      <w:color w:val="000000"/>
                      <w:sz w:val="20"/>
                      <w:szCs w:val="20"/>
                      <w:lang w:eastAsia="es-MX"/>
                    </w:rPr>
                  </w:pPr>
                  <w:r w:rsidRPr="002740EA">
                    <w:rPr>
                      <w:rFonts w:eastAsia="Times New Roman" w:cs="Arial"/>
                      <w:color w:val="000000"/>
                      <w:sz w:val="20"/>
                      <w:szCs w:val="20"/>
                      <w:lang w:eastAsia="es-MX"/>
                    </w:rPr>
                    <w:t>Coincide</w:t>
                  </w:r>
                </w:p>
              </w:tc>
              <w:tc>
                <w:tcPr>
                  <w:tcW w:w="1441" w:type="pct"/>
                  <w:tcBorders>
                    <w:top w:val="nil"/>
                    <w:left w:val="nil"/>
                    <w:bottom w:val="nil"/>
                    <w:right w:val="nil"/>
                  </w:tcBorders>
                  <w:shd w:val="clear" w:color="auto" w:fill="auto"/>
                  <w:vAlign w:val="center"/>
                  <w:hideMark/>
                </w:tcPr>
                <w:p w14:paraId="437F83CF" w14:textId="48336301" w:rsidR="00084529" w:rsidRPr="002740EA" w:rsidRDefault="00084529" w:rsidP="00AC3F92">
                  <w:pPr>
                    <w:pStyle w:val="Prrafodelista"/>
                    <w:numPr>
                      <w:ilvl w:val="0"/>
                      <w:numId w:val="22"/>
                    </w:numPr>
                    <w:spacing w:after="0" w:line="240" w:lineRule="auto"/>
                    <w:ind w:left="307" w:hanging="283"/>
                    <w:rPr>
                      <w:rFonts w:ascii="Wingdings" w:eastAsia="Times New Roman" w:hAnsi="Wingdings" w:cs="Calibri"/>
                      <w:color w:val="000000"/>
                      <w:sz w:val="20"/>
                      <w:szCs w:val="20"/>
                      <w:lang w:eastAsia="es-MX"/>
                    </w:rPr>
                  </w:pPr>
                  <w:r w:rsidRPr="002740EA">
                    <w:rPr>
                      <w:rFonts w:ascii="Wingdings" w:eastAsia="Times New Roman" w:hAnsi="Wingdings" w:cs="Calibri"/>
                      <w:color w:val="000000"/>
                      <w:sz w:val="20"/>
                      <w:szCs w:val="20"/>
                      <w:lang w:eastAsia="es-MX"/>
                    </w:rPr>
                    <w:t></w:t>
                  </w:r>
                </w:p>
              </w:tc>
              <w:tc>
                <w:tcPr>
                  <w:tcW w:w="1672" w:type="pct"/>
                  <w:gridSpan w:val="2"/>
                  <w:vMerge/>
                  <w:tcBorders>
                    <w:top w:val="nil"/>
                    <w:left w:val="nil"/>
                    <w:bottom w:val="nil"/>
                    <w:right w:val="nil"/>
                  </w:tcBorders>
                  <w:vAlign w:val="center"/>
                  <w:hideMark/>
                </w:tcPr>
                <w:p w14:paraId="0DF08002" w14:textId="77777777" w:rsidR="00084529" w:rsidRPr="002740EA" w:rsidRDefault="00084529" w:rsidP="000C6B37">
                  <w:pPr>
                    <w:spacing w:after="0" w:line="240" w:lineRule="auto"/>
                    <w:rPr>
                      <w:rFonts w:eastAsia="Times New Roman" w:cs="Arial"/>
                      <w:b/>
                      <w:bCs/>
                      <w:color w:val="000000"/>
                      <w:sz w:val="20"/>
                      <w:szCs w:val="20"/>
                      <w:lang w:eastAsia="es-MX"/>
                    </w:rPr>
                  </w:pPr>
                </w:p>
              </w:tc>
            </w:tr>
            <w:tr w:rsidR="00084529" w:rsidRPr="002740EA" w14:paraId="3D9556D2" w14:textId="77777777" w:rsidTr="001213D4">
              <w:trPr>
                <w:trHeight w:val="300"/>
              </w:trPr>
              <w:tc>
                <w:tcPr>
                  <w:tcW w:w="1887" w:type="pct"/>
                  <w:tcBorders>
                    <w:top w:val="nil"/>
                    <w:left w:val="nil"/>
                    <w:bottom w:val="nil"/>
                    <w:right w:val="nil"/>
                  </w:tcBorders>
                  <w:shd w:val="clear" w:color="auto" w:fill="auto"/>
                  <w:noWrap/>
                  <w:vAlign w:val="center"/>
                  <w:hideMark/>
                </w:tcPr>
                <w:p w14:paraId="5CD1A02F" w14:textId="77777777" w:rsidR="00084529" w:rsidRPr="002740EA" w:rsidRDefault="00084529" w:rsidP="000C6B37">
                  <w:pPr>
                    <w:spacing w:after="0" w:line="240" w:lineRule="auto"/>
                    <w:rPr>
                      <w:rFonts w:eastAsia="Times New Roman" w:cs="Arial"/>
                      <w:color w:val="000000"/>
                      <w:sz w:val="20"/>
                      <w:szCs w:val="20"/>
                      <w:lang w:eastAsia="es-MX"/>
                    </w:rPr>
                  </w:pPr>
                  <w:r w:rsidRPr="002740EA">
                    <w:rPr>
                      <w:rFonts w:eastAsia="Times New Roman" w:cs="Arial"/>
                      <w:color w:val="000000"/>
                      <w:sz w:val="20"/>
                      <w:szCs w:val="20"/>
                      <w:lang w:eastAsia="es-MX"/>
                    </w:rPr>
                    <w:t>No coincide</w:t>
                  </w:r>
                </w:p>
              </w:tc>
              <w:tc>
                <w:tcPr>
                  <w:tcW w:w="1441" w:type="pct"/>
                  <w:tcBorders>
                    <w:top w:val="nil"/>
                    <w:left w:val="nil"/>
                    <w:bottom w:val="nil"/>
                    <w:right w:val="nil"/>
                  </w:tcBorders>
                  <w:shd w:val="clear" w:color="auto" w:fill="auto"/>
                  <w:vAlign w:val="center"/>
                  <w:hideMark/>
                </w:tcPr>
                <w:p w14:paraId="70FB04C3" w14:textId="2D0E9FA2" w:rsidR="00084529" w:rsidRPr="002740EA" w:rsidRDefault="00032E11" w:rsidP="000C6B37">
                  <w:pPr>
                    <w:spacing w:after="0" w:line="240" w:lineRule="auto"/>
                    <w:rPr>
                      <w:rFonts w:ascii="Wingdings" w:eastAsia="Times New Roman" w:hAnsi="Wingdings" w:cs="Calibri"/>
                      <w:color w:val="000000"/>
                      <w:sz w:val="20"/>
                      <w:szCs w:val="20"/>
                      <w:lang w:eastAsia="es-MX"/>
                    </w:rPr>
                  </w:pPr>
                  <w:r w:rsidRPr="002740EA">
                    <w:rPr>
                      <w:rFonts w:eastAsia="Times New Roman" w:cs="Arial"/>
                      <w:color w:val="000000"/>
                      <w:sz w:val="20"/>
                      <w:szCs w:val="20"/>
                      <w:lang w:eastAsia="es-MX"/>
                    </w:rPr>
                    <w:t>x</w:t>
                  </w:r>
                </w:p>
              </w:tc>
              <w:tc>
                <w:tcPr>
                  <w:tcW w:w="1672" w:type="pct"/>
                  <w:gridSpan w:val="2"/>
                  <w:vMerge/>
                  <w:tcBorders>
                    <w:top w:val="nil"/>
                    <w:left w:val="nil"/>
                    <w:bottom w:val="nil"/>
                    <w:right w:val="nil"/>
                  </w:tcBorders>
                  <w:vAlign w:val="center"/>
                  <w:hideMark/>
                </w:tcPr>
                <w:p w14:paraId="68F296F0" w14:textId="77777777" w:rsidR="00084529" w:rsidRPr="002740EA" w:rsidRDefault="00084529" w:rsidP="000C6B37">
                  <w:pPr>
                    <w:spacing w:after="0" w:line="240" w:lineRule="auto"/>
                    <w:rPr>
                      <w:rFonts w:eastAsia="Times New Roman" w:cs="Arial"/>
                      <w:b/>
                      <w:bCs/>
                      <w:color w:val="000000"/>
                      <w:sz w:val="20"/>
                      <w:szCs w:val="20"/>
                      <w:lang w:eastAsia="es-MX"/>
                    </w:rPr>
                  </w:pPr>
                </w:p>
              </w:tc>
            </w:tr>
            <w:tr w:rsidR="00084529" w:rsidRPr="002740EA" w14:paraId="513BC900" w14:textId="77777777" w:rsidTr="001213D4">
              <w:trPr>
                <w:trHeight w:val="424"/>
              </w:trPr>
              <w:tc>
                <w:tcPr>
                  <w:tcW w:w="5000" w:type="pct"/>
                  <w:gridSpan w:val="4"/>
                  <w:tcBorders>
                    <w:top w:val="nil"/>
                    <w:left w:val="nil"/>
                    <w:bottom w:val="nil"/>
                    <w:right w:val="nil"/>
                  </w:tcBorders>
                  <w:shd w:val="clear" w:color="auto" w:fill="auto"/>
                  <w:noWrap/>
                  <w:vAlign w:val="center"/>
                  <w:hideMark/>
                </w:tcPr>
                <w:p w14:paraId="253083C4" w14:textId="77777777" w:rsidR="00084529" w:rsidRPr="002740EA" w:rsidRDefault="00084529" w:rsidP="000C6B37">
                  <w:pPr>
                    <w:spacing w:after="0" w:line="240" w:lineRule="auto"/>
                    <w:jc w:val="center"/>
                    <w:rPr>
                      <w:rFonts w:eastAsia="Times New Roman" w:cs="Arial"/>
                      <w:color w:val="000000"/>
                      <w:sz w:val="20"/>
                      <w:szCs w:val="20"/>
                      <w:lang w:eastAsia="es-MX"/>
                    </w:rPr>
                  </w:pPr>
                  <w:r w:rsidRPr="002740EA">
                    <w:rPr>
                      <w:rFonts w:eastAsia="Times New Roman" w:cs="Arial"/>
                      <w:color w:val="000000"/>
                      <w:sz w:val="16"/>
                      <w:szCs w:val="16"/>
                      <w:lang w:eastAsia="es-MX"/>
                    </w:rPr>
                    <w:t>Fuente: Elaborado por la ASEQROO con base en los documentos normativos de la UQROO</w:t>
                  </w:r>
                  <w:r w:rsidRPr="002740EA">
                    <w:rPr>
                      <w:rFonts w:eastAsia="Times New Roman" w:cs="Arial"/>
                      <w:color w:val="000000"/>
                      <w:sz w:val="20"/>
                      <w:szCs w:val="20"/>
                      <w:lang w:eastAsia="es-MX"/>
                    </w:rPr>
                    <w:t>.</w:t>
                  </w:r>
                </w:p>
              </w:tc>
            </w:tr>
          </w:tbl>
          <w:p w14:paraId="7D9AD3D2" w14:textId="77777777" w:rsidR="00084529" w:rsidRPr="002740EA" w:rsidRDefault="00084529" w:rsidP="000C6B37">
            <w:pPr>
              <w:tabs>
                <w:tab w:val="left" w:pos="2612"/>
              </w:tabs>
              <w:rPr>
                <w:lang w:val="es-ES_tradnl"/>
              </w:rPr>
            </w:pPr>
            <w:r w:rsidRPr="002740EA">
              <w:rPr>
                <w:lang w:val="es-ES_tradnl"/>
              </w:rPr>
              <w:tab/>
            </w:r>
          </w:p>
        </w:tc>
      </w:tr>
    </w:tbl>
    <w:p w14:paraId="6DEC70D4" w14:textId="77C219EA" w:rsidR="00084529" w:rsidRPr="002740EA" w:rsidRDefault="00084529" w:rsidP="000C6B37">
      <w:pPr>
        <w:spacing w:after="0" w:line="276" w:lineRule="auto"/>
        <w:jc w:val="both"/>
        <w:rPr>
          <w:rFonts w:eastAsia="Times New Roman" w:cs="Arial"/>
          <w:szCs w:val="20"/>
          <w:lang w:eastAsia="es-ES"/>
        </w:rPr>
      </w:pPr>
      <w:r w:rsidRPr="002740EA">
        <w:rPr>
          <w:rFonts w:eastAsia="Times New Roman" w:cs="Arial"/>
          <w:szCs w:val="16"/>
          <w:lang w:eastAsia="es-ES"/>
        </w:rPr>
        <w:t>Como resultado de la tabla anterior, se determinó que los</w:t>
      </w:r>
      <w:r w:rsidRPr="002740EA">
        <w:rPr>
          <w:rFonts w:eastAsia="Times New Roman" w:cs="Arial"/>
          <w:szCs w:val="20"/>
          <w:lang w:val="es-ES" w:eastAsia="es-ES"/>
        </w:rPr>
        <w:t xml:space="preserve"> Manuales de Organización y de Procedimientos no se encuentran homologados con la Estructura Orgánica,</w:t>
      </w:r>
      <w:r w:rsidRPr="002740EA">
        <w:rPr>
          <w:rFonts w:eastAsia="Times New Roman" w:cs="Arial"/>
          <w:szCs w:val="20"/>
          <w:lang w:eastAsia="es-ES"/>
        </w:rPr>
        <w:t xml:space="preserve"> destacándose que las siguientes unidades administrativas se presentan en la Estructura Orgánica, pero no en dichos Manuales:</w:t>
      </w:r>
    </w:p>
    <w:p w14:paraId="6C69137A" w14:textId="77777777" w:rsidR="00FF2831" w:rsidRPr="002740EA" w:rsidRDefault="00FF2831" w:rsidP="000C6B37">
      <w:pPr>
        <w:spacing w:after="0" w:line="276" w:lineRule="auto"/>
        <w:jc w:val="both"/>
        <w:rPr>
          <w:rFonts w:eastAsia="Times New Roman" w:cs="Arial"/>
          <w:szCs w:val="20"/>
          <w:lang w:eastAsia="es-ES"/>
        </w:rPr>
      </w:pPr>
    </w:p>
    <w:p w14:paraId="09B77C07" w14:textId="77777777" w:rsidR="00084529" w:rsidRPr="002740EA" w:rsidRDefault="00084529" w:rsidP="000C6B37">
      <w:pPr>
        <w:pStyle w:val="Prrafodelista"/>
        <w:numPr>
          <w:ilvl w:val="0"/>
          <w:numId w:val="6"/>
        </w:numPr>
        <w:spacing w:after="0"/>
        <w:jc w:val="both"/>
        <w:rPr>
          <w:rFonts w:eastAsia="Times New Roman" w:cs="Arial"/>
          <w:szCs w:val="20"/>
          <w:lang w:eastAsia="es-ES"/>
        </w:rPr>
      </w:pPr>
      <w:r w:rsidRPr="002740EA">
        <w:rPr>
          <w:rFonts w:eastAsia="Times New Roman" w:cs="Arial"/>
          <w:szCs w:val="20"/>
          <w:lang w:eastAsia="es-ES"/>
        </w:rPr>
        <w:t>Dirección General de Desarrollo Académico</w:t>
      </w:r>
    </w:p>
    <w:p w14:paraId="5F1DCABE" w14:textId="77777777" w:rsidR="00084529" w:rsidRPr="002740EA" w:rsidRDefault="00084529" w:rsidP="000C6B37">
      <w:pPr>
        <w:pStyle w:val="Prrafodelista"/>
        <w:numPr>
          <w:ilvl w:val="0"/>
          <w:numId w:val="6"/>
        </w:numPr>
        <w:spacing w:after="0"/>
        <w:jc w:val="both"/>
        <w:rPr>
          <w:rFonts w:eastAsia="Times New Roman" w:cs="Arial"/>
          <w:szCs w:val="20"/>
          <w:lang w:eastAsia="es-ES"/>
        </w:rPr>
      </w:pPr>
      <w:r w:rsidRPr="002740EA">
        <w:rPr>
          <w:rFonts w:eastAsia="Times New Roman" w:cs="Arial"/>
          <w:szCs w:val="20"/>
          <w:lang w:eastAsia="es-ES"/>
        </w:rPr>
        <w:t>Dirección General de Sistemas</w:t>
      </w:r>
    </w:p>
    <w:p w14:paraId="14F7CFB1" w14:textId="516B150A" w:rsidR="00084529" w:rsidRPr="002740EA" w:rsidRDefault="00084529" w:rsidP="000C6B37">
      <w:pPr>
        <w:pStyle w:val="Prrafodelista"/>
        <w:numPr>
          <w:ilvl w:val="0"/>
          <w:numId w:val="6"/>
        </w:numPr>
        <w:spacing w:after="0"/>
        <w:jc w:val="both"/>
        <w:rPr>
          <w:rFonts w:eastAsia="Times New Roman" w:cs="Arial"/>
          <w:szCs w:val="20"/>
          <w:lang w:eastAsia="es-ES"/>
        </w:rPr>
      </w:pPr>
      <w:r w:rsidRPr="002740EA">
        <w:rPr>
          <w:rFonts w:eastAsia="Times New Roman" w:cs="Arial"/>
          <w:szCs w:val="20"/>
          <w:lang w:eastAsia="es-ES"/>
        </w:rPr>
        <w:t>Unidad Académica de Chetumal</w:t>
      </w:r>
    </w:p>
    <w:p w14:paraId="01E765AA" w14:textId="0538BAC1" w:rsidR="00084529" w:rsidRPr="002740EA" w:rsidRDefault="00084529" w:rsidP="000C6B37">
      <w:pPr>
        <w:pStyle w:val="Prrafodelista"/>
        <w:numPr>
          <w:ilvl w:val="0"/>
          <w:numId w:val="6"/>
        </w:numPr>
        <w:spacing w:after="0"/>
        <w:jc w:val="both"/>
        <w:rPr>
          <w:rFonts w:eastAsia="Times New Roman" w:cs="Arial"/>
          <w:szCs w:val="20"/>
          <w:lang w:eastAsia="es-ES"/>
        </w:rPr>
      </w:pPr>
      <w:r w:rsidRPr="002740EA">
        <w:rPr>
          <w:rFonts w:eastAsia="Times New Roman" w:cs="Arial"/>
          <w:szCs w:val="20"/>
          <w:lang w:eastAsia="es-ES"/>
        </w:rPr>
        <w:t>División de Ingeniería y Administración</w:t>
      </w:r>
      <w:r w:rsidR="00915EC4" w:rsidRPr="002740EA">
        <w:rPr>
          <w:rFonts w:eastAsia="Times New Roman" w:cs="Arial"/>
          <w:szCs w:val="20"/>
          <w:lang w:eastAsia="es-ES"/>
        </w:rPr>
        <w:t>.</w:t>
      </w:r>
    </w:p>
    <w:p w14:paraId="4F2F9482" w14:textId="4D781A37" w:rsidR="00084529" w:rsidRPr="002740EA" w:rsidRDefault="00115D38" w:rsidP="000C6B37">
      <w:pPr>
        <w:spacing w:after="0" w:line="276" w:lineRule="auto"/>
        <w:jc w:val="both"/>
        <w:rPr>
          <w:rFonts w:eastAsia="Calibri" w:cs="Arial"/>
          <w:szCs w:val="24"/>
          <w:lang w:val="es-ES_tradnl"/>
        </w:rPr>
      </w:pPr>
      <w:r w:rsidRPr="002740EA">
        <w:rPr>
          <w:rFonts w:eastAsia="Calibri" w:cs="Arial"/>
          <w:szCs w:val="24"/>
          <w:lang w:val="es-ES_tradnl"/>
        </w:rPr>
        <w:lastRenderedPageBreak/>
        <w:t>D</w:t>
      </w:r>
      <w:r w:rsidR="00084529" w:rsidRPr="002740EA">
        <w:rPr>
          <w:rFonts w:eastAsia="Calibri" w:cs="Arial"/>
          <w:szCs w:val="24"/>
          <w:lang w:val="es-ES_tradnl"/>
        </w:rPr>
        <w:t xml:space="preserve">erivado del análisis de los documentos normativos del ente, se verificó si estos documentos incluyen el enfoque de Presupuesto basado en Resultados (PbR). Dicho análisis se presenta en la siguiente tabla. </w:t>
      </w:r>
    </w:p>
    <w:p w14:paraId="6F612739" w14:textId="77777777" w:rsidR="00E313D8" w:rsidRPr="002740EA" w:rsidRDefault="00E313D8" w:rsidP="000C6B37">
      <w:pPr>
        <w:spacing w:after="0" w:line="276" w:lineRule="auto"/>
        <w:jc w:val="both"/>
        <w:rPr>
          <w:rFonts w:eastAsia="Calibri" w:cs="Arial"/>
          <w:szCs w:val="24"/>
          <w:lang w:val="es-ES_tradnl"/>
        </w:rPr>
      </w:pPr>
    </w:p>
    <w:tbl>
      <w:tblPr>
        <w:tblStyle w:val="Tablanormal4"/>
        <w:tblW w:w="0" w:type="auto"/>
        <w:tblLook w:val="04A0" w:firstRow="1" w:lastRow="0" w:firstColumn="1" w:lastColumn="0" w:noHBand="0" w:noVBand="1"/>
      </w:tblPr>
      <w:tblGrid>
        <w:gridCol w:w="8828"/>
      </w:tblGrid>
      <w:tr w:rsidR="00084529" w:rsidRPr="002740EA" w14:paraId="0AE3A662" w14:textId="77777777" w:rsidTr="00121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tbl>
            <w:tblPr>
              <w:tblStyle w:val="Tablanormal2"/>
              <w:tblpPr w:leftFromText="141" w:rightFromText="141" w:horzAnchor="margin" w:tblpY="-638"/>
              <w:tblW w:w="5000" w:type="pct"/>
              <w:tblLook w:val="04A0" w:firstRow="1" w:lastRow="0" w:firstColumn="1" w:lastColumn="0" w:noHBand="0" w:noVBand="1"/>
            </w:tblPr>
            <w:tblGrid>
              <w:gridCol w:w="1773"/>
              <w:gridCol w:w="5196"/>
              <w:gridCol w:w="1643"/>
            </w:tblGrid>
            <w:tr w:rsidR="00084529" w:rsidRPr="002740EA" w14:paraId="3557E727" w14:textId="77777777" w:rsidTr="005F4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00" w:type="pct"/>
                  <w:gridSpan w:val="3"/>
                </w:tcPr>
                <w:p w14:paraId="43051733" w14:textId="77777777" w:rsidR="00084529" w:rsidRPr="002740EA" w:rsidRDefault="00084529" w:rsidP="000C6B37">
                  <w:pPr>
                    <w:jc w:val="center"/>
                    <w:rPr>
                      <w:rFonts w:cs="Arial"/>
                      <w:sz w:val="18"/>
                      <w:szCs w:val="18"/>
                    </w:rPr>
                  </w:pPr>
                  <w:r w:rsidRPr="002740EA">
                    <w:rPr>
                      <w:rFonts w:cs="Arial"/>
                      <w:sz w:val="18"/>
                      <w:szCs w:val="18"/>
                    </w:rPr>
                    <w:t>Tabla 2. Análisis de inclusión de enfoque PbR en documentos normativos de la UQROO</w:t>
                  </w:r>
                </w:p>
              </w:tc>
            </w:tr>
            <w:tr w:rsidR="00084529" w:rsidRPr="002740EA" w14:paraId="73DC6255" w14:textId="77777777" w:rsidTr="005F43E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DEEAF6" w:themeFill="accent1" w:themeFillTint="33"/>
                </w:tcPr>
                <w:p w14:paraId="084BA507" w14:textId="77777777" w:rsidR="00084529" w:rsidRPr="002740EA" w:rsidRDefault="00084529" w:rsidP="000C6B37">
                  <w:pPr>
                    <w:jc w:val="center"/>
                    <w:rPr>
                      <w:rFonts w:cs="Arial"/>
                      <w:bCs w:val="0"/>
                      <w:sz w:val="18"/>
                      <w:szCs w:val="18"/>
                    </w:rPr>
                  </w:pPr>
                  <w:r w:rsidRPr="002740EA">
                    <w:rPr>
                      <w:rFonts w:cs="Arial"/>
                      <w:sz w:val="18"/>
                      <w:szCs w:val="18"/>
                    </w:rPr>
                    <w:t>Documento normativo</w:t>
                  </w:r>
                </w:p>
              </w:tc>
              <w:tc>
                <w:tcPr>
                  <w:tcW w:w="3017" w:type="pct"/>
                  <w:shd w:val="clear" w:color="auto" w:fill="DEEAF6" w:themeFill="accent1" w:themeFillTint="33"/>
                </w:tcPr>
                <w:p w14:paraId="5906B98F" w14:textId="77777777" w:rsidR="00084529" w:rsidRPr="002740EA" w:rsidRDefault="00084529" w:rsidP="000C6B37">
                  <w:pPr>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2740EA">
                    <w:rPr>
                      <w:rFonts w:cs="Arial"/>
                      <w:sz w:val="18"/>
                      <w:szCs w:val="18"/>
                    </w:rPr>
                    <w:t>Área y función.</w:t>
                  </w:r>
                </w:p>
              </w:tc>
              <w:tc>
                <w:tcPr>
                  <w:tcW w:w="954" w:type="pct"/>
                  <w:shd w:val="clear" w:color="auto" w:fill="DEEAF6" w:themeFill="accent1" w:themeFillTint="33"/>
                </w:tcPr>
                <w:p w14:paraId="72098FBE" w14:textId="77777777" w:rsidR="00084529" w:rsidRPr="002740EA" w:rsidRDefault="00084529" w:rsidP="000C6B37">
                  <w:pPr>
                    <w:jc w:val="cente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2740EA">
                    <w:rPr>
                      <w:rFonts w:cs="Arial"/>
                      <w:sz w:val="18"/>
                      <w:szCs w:val="18"/>
                    </w:rPr>
                    <w:t>Contiene enfoque PbR</w:t>
                  </w:r>
                </w:p>
              </w:tc>
            </w:tr>
            <w:tr w:rsidR="00084529" w:rsidRPr="002740EA" w14:paraId="766EFEA7" w14:textId="77777777" w:rsidTr="005F43ED">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1029" w:type="pct"/>
                  <w:vMerge w:val="restart"/>
                  <w:vAlign w:val="center"/>
                </w:tcPr>
                <w:p w14:paraId="68B54FE3" w14:textId="77777777" w:rsidR="00084529" w:rsidRPr="002740EA" w:rsidRDefault="00084529" w:rsidP="000C6B37">
                  <w:pPr>
                    <w:jc w:val="center"/>
                    <w:rPr>
                      <w:rFonts w:cs="Arial"/>
                      <w:sz w:val="18"/>
                      <w:szCs w:val="18"/>
                    </w:rPr>
                  </w:pPr>
                  <w:r w:rsidRPr="002740EA">
                    <w:rPr>
                      <w:rFonts w:cs="Arial"/>
                      <w:sz w:val="18"/>
                      <w:szCs w:val="18"/>
                    </w:rPr>
                    <w:t>Manual de Organización 2018</w:t>
                  </w:r>
                </w:p>
              </w:tc>
              <w:tc>
                <w:tcPr>
                  <w:tcW w:w="3017" w:type="pct"/>
                </w:tcPr>
                <w:p w14:paraId="0EC69ECB" w14:textId="77777777" w:rsidR="00084529" w:rsidRPr="002740EA" w:rsidRDefault="00084529" w:rsidP="000C6B37">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2740EA">
                    <w:rPr>
                      <w:rFonts w:cs="Arial"/>
                      <w:sz w:val="18"/>
                      <w:szCs w:val="18"/>
                    </w:rPr>
                    <w:t>1.8.2 Departamento de Planeación y Programación.</w:t>
                  </w:r>
                </w:p>
                <w:p w14:paraId="74C697BA" w14:textId="77777777" w:rsidR="00084529" w:rsidRPr="002740EA" w:rsidRDefault="00084529" w:rsidP="000C6B37">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2740EA">
                    <w:rPr>
                      <w:rFonts w:cs="Arial"/>
                      <w:sz w:val="18"/>
                      <w:szCs w:val="18"/>
                    </w:rPr>
                    <w:t xml:space="preserve">4. Colaborar con la Dirección General de Planeación (DGP) y con la participación de las unidades responsables de la Universidad, la integración de la </w:t>
                  </w:r>
                  <w:r w:rsidRPr="002740EA">
                    <w:rPr>
                      <w:rFonts w:cs="Arial"/>
                      <w:b/>
                      <w:sz w:val="18"/>
                      <w:szCs w:val="18"/>
                    </w:rPr>
                    <w:t>Matriz de Indicadores de Resultados (MIR),</w:t>
                  </w:r>
                  <w:r w:rsidRPr="002740EA">
                    <w:rPr>
                      <w:rFonts w:cs="Arial"/>
                      <w:sz w:val="18"/>
                      <w:szCs w:val="18"/>
                    </w:rPr>
                    <w:t xml:space="preserve"> con base en los criterios que emita la Secretaría de Finanzas y Planeación del Gobierno del Estado de Quintana Roo.</w:t>
                  </w:r>
                </w:p>
              </w:tc>
              <w:tc>
                <w:tcPr>
                  <w:tcW w:w="954" w:type="pct"/>
                  <w:vMerge w:val="restart"/>
                </w:tcPr>
                <w:p w14:paraId="01B7AD71"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7E8566B1"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5EC19FAB"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45174E58"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b/>
                      <w:sz w:val="18"/>
                      <w:szCs w:val="18"/>
                    </w:rPr>
                  </w:pPr>
                </w:p>
                <w:p w14:paraId="2A255D09"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2740EA">
                    <w:rPr>
                      <w:rFonts w:cs="Arial"/>
                      <w:bCs/>
                      <w:sz w:val="18"/>
                      <w:szCs w:val="18"/>
                    </w:rPr>
                    <w:t>Si</w:t>
                  </w:r>
                  <w:r w:rsidRPr="002740EA">
                    <w:rPr>
                      <w:rFonts w:cs="Arial"/>
                      <w:sz w:val="18"/>
                      <w:szCs w:val="18"/>
                    </w:rPr>
                    <w:t>, sin embargo, aún hay referencia a los Programas Operativos Anuales (POA)</w:t>
                  </w:r>
                </w:p>
              </w:tc>
            </w:tr>
            <w:tr w:rsidR="00084529" w:rsidRPr="002740EA" w14:paraId="17DCCDC0" w14:textId="77777777" w:rsidTr="005F43ED">
              <w:trPr>
                <w:trHeight w:val="641"/>
              </w:trPr>
              <w:tc>
                <w:tcPr>
                  <w:cnfStyle w:val="001000000000" w:firstRow="0" w:lastRow="0" w:firstColumn="1" w:lastColumn="0" w:oddVBand="0" w:evenVBand="0" w:oddHBand="0" w:evenHBand="0" w:firstRowFirstColumn="0" w:firstRowLastColumn="0" w:lastRowFirstColumn="0" w:lastRowLastColumn="0"/>
                  <w:tcW w:w="1029" w:type="pct"/>
                  <w:vMerge/>
                </w:tcPr>
                <w:p w14:paraId="1B2C4B73" w14:textId="77777777" w:rsidR="00084529" w:rsidRPr="002740EA" w:rsidRDefault="00084529" w:rsidP="000C6B37">
                  <w:pPr>
                    <w:rPr>
                      <w:rFonts w:cs="Arial"/>
                      <w:b w:val="0"/>
                      <w:sz w:val="18"/>
                      <w:szCs w:val="18"/>
                    </w:rPr>
                  </w:pPr>
                </w:p>
              </w:tc>
              <w:tc>
                <w:tcPr>
                  <w:tcW w:w="3017" w:type="pct"/>
                </w:tcPr>
                <w:p w14:paraId="0D573B25" w14:textId="77777777" w:rsidR="00084529" w:rsidRPr="002740EA" w:rsidRDefault="00084529" w:rsidP="000C6B37">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2740EA">
                    <w:rPr>
                      <w:rFonts w:cs="Arial"/>
                      <w:sz w:val="18"/>
                      <w:szCs w:val="18"/>
                    </w:rPr>
                    <w:t>1.8.3 Departamento de Seguimiento y Evaluación.</w:t>
                  </w:r>
                </w:p>
                <w:p w14:paraId="6684AF0A" w14:textId="77777777" w:rsidR="00084529" w:rsidRPr="002740EA" w:rsidRDefault="00084529" w:rsidP="000C6B37">
                  <w:pPr>
                    <w:jc w:val="both"/>
                    <w:cnfStyle w:val="000000000000" w:firstRow="0" w:lastRow="0" w:firstColumn="0" w:lastColumn="0" w:oddVBand="0" w:evenVBand="0" w:oddHBand="0" w:evenHBand="0" w:firstRowFirstColumn="0" w:firstRowLastColumn="0" w:lastRowFirstColumn="0" w:lastRowLastColumn="0"/>
                    <w:rPr>
                      <w:rFonts w:cs="Arial"/>
                      <w:sz w:val="18"/>
                      <w:szCs w:val="18"/>
                    </w:rPr>
                  </w:pPr>
                  <w:r w:rsidRPr="002740EA">
                    <w:rPr>
                      <w:rFonts w:cs="Arial"/>
                      <w:sz w:val="18"/>
                      <w:szCs w:val="18"/>
                    </w:rPr>
                    <w:t xml:space="preserve">7. Realizar, en colaboración con las unidades responsables, el seguimiento y evaluación parcial y /o final a metas e indicadores establecidos en el Programa Anual de Labores (PAL) y/o 118 </w:t>
                  </w:r>
                  <w:r w:rsidRPr="002740EA">
                    <w:rPr>
                      <w:rFonts w:cs="Arial"/>
                      <w:b/>
                      <w:sz w:val="18"/>
                      <w:szCs w:val="18"/>
                    </w:rPr>
                    <w:t>Programa Operativo Anual (POA),</w:t>
                  </w:r>
                  <w:r w:rsidRPr="002740EA">
                    <w:rPr>
                      <w:rFonts w:cs="Arial"/>
                      <w:sz w:val="18"/>
                      <w:szCs w:val="18"/>
                    </w:rPr>
                    <w:t xml:space="preserve"> con base en los tiempos y criterios establecidos por las instancias estatales y federales, turnar la información a la Dirección General de Planeación DGP.</w:t>
                  </w:r>
                </w:p>
              </w:tc>
              <w:tc>
                <w:tcPr>
                  <w:tcW w:w="954" w:type="pct"/>
                  <w:vMerge/>
                </w:tcPr>
                <w:p w14:paraId="0B3C001B" w14:textId="77777777" w:rsidR="00084529" w:rsidRPr="002740EA" w:rsidRDefault="00084529" w:rsidP="000C6B37">
                  <w:pPr>
                    <w:jc w:val="center"/>
                    <w:cnfStyle w:val="000000000000" w:firstRow="0" w:lastRow="0" w:firstColumn="0" w:lastColumn="0" w:oddVBand="0" w:evenVBand="0" w:oddHBand="0" w:evenHBand="0" w:firstRowFirstColumn="0" w:firstRowLastColumn="0" w:lastRowFirstColumn="0" w:lastRowLastColumn="0"/>
                    <w:rPr>
                      <w:rFonts w:cs="Arial"/>
                      <w:sz w:val="18"/>
                      <w:szCs w:val="18"/>
                    </w:rPr>
                  </w:pPr>
                </w:p>
              </w:tc>
            </w:tr>
            <w:tr w:rsidR="00084529" w:rsidRPr="002740EA" w14:paraId="593BE392" w14:textId="77777777" w:rsidTr="003C7A0C">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029" w:type="pct"/>
                  <w:vAlign w:val="center"/>
                </w:tcPr>
                <w:p w14:paraId="0CCDEC3C" w14:textId="77777777" w:rsidR="00084529" w:rsidRPr="002740EA" w:rsidRDefault="00084529" w:rsidP="000C6B37">
                  <w:pPr>
                    <w:jc w:val="center"/>
                    <w:rPr>
                      <w:rFonts w:cs="Arial"/>
                      <w:b w:val="0"/>
                      <w:sz w:val="18"/>
                      <w:szCs w:val="18"/>
                    </w:rPr>
                  </w:pPr>
                  <w:r w:rsidRPr="002740EA">
                    <w:rPr>
                      <w:rFonts w:cs="Arial"/>
                      <w:sz w:val="18"/>
                      <w:szCs w:val="18"/>
                    </w:rPr>
                    <w:t>Manual de Procedimientos.</w:t>
                  </w:r>
                </w:p>
              </w:tc>
              <w:tc>
                <w:tcPr>
                  <w:tcW w:w="3017" w:type="pct"/>
                </w:tcPr>
                <w:p w14:paraId="52EC7716"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2740EA">
                    <w:rPr>
                      <w:rFonts w:cs="Arial"/>
                      <w:sz w:val="18"/>
                      <w:szCs w:val="18"/>
                    </w:rPr>
                    <w:t xml:space="preserve">5.9.2 Departamento de Planeación y Programación. Nombre Procedimiento: Integración del programa operativo anual y programa anual de labores. </w:t>
                  </w:r>
                </w:p>
                <w:p w14:paraId="54A17729"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51653683" w14:textId="77777777" w:rsidR="00084529" w:rsidRPr="002740EA" w:rsidRDefault="00084529" w:rsidP="000C6B37">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2740EA">
                    <w:rPr>
                      <w:rFonts w:cs="Arial"/>
                      <w:sz w:val="18"/>
                      <w:szCs w:val="18"/>
                    </w:rPr>
                    <w:t xml:space="preserve">Objetivo: Establecer los mecanismos para la elaboración del </w:t>
                  </w:r>
                  <w:r w:rsidRPr="002740EA">
                    <w:rPr>
                      <w:rFonts w:cs="Arial"/>
                      <w:b/>
                      <w:sz w:val="18"/>
                      <w:szCs w:val="18"/>
                    </w:rPr>
                    <w:t>Programa Operativo Anual (POA)</w:t>
                  </w:r>
                  <w:r w:rsidRPr="002740EA">
                    <w:rPr>
                      <w:rFonts w:cs="Arial"/>
                      <w:sz w:val="18"/>
                      <w:szCs w:val="18"/>
                    </w:rPr>
                    <w:t xml:space="preserve"> y Programa Anual de Labores (PAL) de la Universidad de Quintana Roo, conforme a los lineamientos establecidos por la Secretaria de Finanzas y Planeación del Estado y su presentación ante la Secretaria de Educación del Estado como cabeza de sector. </w:t>
                  </w:r>
                </w:p>
                <w:p w14:paraId="32E91888" w14:textId="77777777" w:rsidR="00084529" w:rsidRPr="002740EA" w:rsidRDefault="00084529" w:rsidP="000C6B37">
                  <w:pPr>
                    <w:cnfStyle w:val="000000100000" w:firstRow="0" w:lastRow="0" w:firstColumn="0" w:lastColumn="0" w:oddVBand="0" w:evenVBand="0" w:oddHBand="1" w:evenHBand="0" w:firstRowFirstColumn="0" w:firstRowLastColumn="0" w:lastRowFirstColumn="0" w:lastRowLastColumn="0"/>
                    <w:rPr>
                      <w:rFonts w:cs="Arial"/>
                      <w:sz w:val="18"/>
                      <w:szCs w:val="18"/>
                    </w:rPr>
                  </w:pPr>
                </w:p>
                <w:p w14:paraId="335EE430" w14:textId="77777777" w:rsidR="00084529" w:rsidRPr="002740EA" w:rsidRDefault="00084529" w:rsidP="000C6B37">
                  <w:pPr>
                    <w:jc w:val="both"/>
                    <w:cnfStyle w:val="000000100000" w:firstRow="0" w:lastRow="0" w:firstColumn="0" w:lastColumn="0" w:oddVBand="0" w:evenVBand="0" w:oddHBand="1" w:evenHBand="0" w:firstRowFirstColumn="0" w:firstRowLastColumn="0" w:lastRowFirstColumn="0" w:lastRowLastColumn="0"/>
                    <w:rPr>
                      <w:rFonts w:cs="Arial"/>
                      <w:sz w:val="18"/>
                      <w:szCs w:val="18"/>
                    </w:rPr>
                  </w:pPr>
                  <w:r w:rsidRPr="002740EA">
                    <w:rPr>
                      <w:rFonts w:cs="Arial"/>
                      <w:sz w:val="18"/>
                      <w:szCs w:val="18"/>
                    </w:rPr>
                    <w:t xml:space="preserve">Alcance: Aplica a todas las unidades responsables (URES) de la universidad, </w:t>
                  </w:r>
                  <w:r w:rsidRPr="002740EA">
                    <w:rPr>
                      <w:rFonts w:cs="Arial"/>
                      <w:b/>
                      <w:sz w:val="18"/>
                      <w:szCs w:val="18"/>
                    </w:rPr>
                    <w:t>para elaborar el POA</w:t>
                  </w:r>
                  <w:r w:rsidRPr="002740EA">
                    <w:rPr>
                      <w:rFonts w:cs="Arial"/>
                      <w:sz w:val="18"/>
                      <w:szCs w:val="18"/>
                    </w:rPr>
                    <w:t xml:space="preserve"> correspondiente, que permite conocer la programación de actividades a realizar y sus respectivas necesidades presupuestales durante un Ejercicio Fiscal; definido el POA, se desprenden los elementos programáticos presupuestales que forman parte del PAL.</w:t>
                  </w:r>
                </w:p>
              </w:tc>
              <w:tc>
                <w:tcPr>
                  <w:tcW w:w="954" w:type="pct"/>
                </w:tcPr>
                <w:p w14:paraId="5A64C38D"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66AEE850"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5F133B13"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7FCE24F6"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226CE223"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462C1A6D"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p>
                <w:p w14:paraId="24FEACE7" w14:textId="77777777" w:rsidR="00084529" w:rsidRPr="002740EA" w:rsidRDefault="00084529" w:rsidP="000C6B37">
                  <w:pPr>
                    <w:pStyle w:val="Prrafodelista"/>
                    <w:spacing w:after="0"/>
                    <w:ind w:left="315"/>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2740EA">
                    <w:rPr>
                      <w:rFonts w:cs="Arial"/>
                      <w:bCs/>
                      <w:sz w:val="18"/>
                      <w:szCs w:val="18"/>
                    </w:rPr>
                    <w:t>No se identifica el enfoque de PbR</w:t>
                  </w:r>
                </w:p>
              </w:tc>
            </w:tr>
            <w:tr w:rsidR="00084529" w:rsidRPr="002740EA" w14:paraId="4531D1D0" w14:textId="77777777" w:rsidTr="005F43ED">
              <w:tc>
                <w:tcPr>
                  <w:cnfStyle w:val="001000000000" w:firstRow="0" w:lastRow="0" w:firstColumn="1" w:lastColumn="0" w:oddVBand="0" w:evenVBand="0" w:oddHBand="0" w:evenHBand="0" w:firstRowFirstColumn="0" w:firstRowLastColumn="0" w:lastRowFirstColumn="0" w:lastRowLastColumn="0"/>
                  <w:tcW w:w="5000" w:type="pct"/>
                  <w:gridSpan w:val="3"/>
                </w:tcPr>
                <w:p w14:paraId="69964715" w14:textId="77777777" w:rsidR="00084529" w:rsidRPr="00536110" w:rsidRDefault="00084529" w:rsidP="000C6B37">
                  <w:pPr>
                    <w:jc w:val="center"/>
                    <w:rPr>
                      <w:rFonts w:cs="Arial"/>
                      <w:b w:val="0"/>
                      <w:bCs w:val="0"/>
                      <w:sz w:val="16"/>
                      <w:szCs w:val="18"/>
                    </w:rPr>
                  </w:pPr>
                  <w:r w:rsidRPr="00536110">
                    <w:rPr>
                      <w:rFonts w:cs="Arial"/>
                      <w:b w:val="0"/>
                      <w:sz w:val="16"/>
                      <w:szCs w:val="18"/>
                    </w:rPr>
                    <w:t>Fuente: elaborado por la ASEQROO, con base en información proporcionada por la UQROO.</w:t>
                  </w:r>
                </w:p>
              </w:tc>
            </w:tr>
          </w:tbl>
          <w:p w14:paraId="234AE298" w14:textId="77777777" w:rsidR="00084529" w:rsidRPr="002740EA" w:rsidRDefault="00084529" w:rsidP="000C6B37">
            <w:pPr>
              <w:spacing w:line="276" w:lineRule="auto"/>
              <w:jc w:val="both"/>
              <w:rPr>
                <w:rFonts w:eastAsia="Calibri" w:cs="Arial"/>
                <w:szCs w:val="24"/>
                <w:lang w:val="es-ES_tradnl"/>
              </w:rPr>
            </w:pPr>
          </w:p>
        </w:tc>
      </w:tr>
    </w:tbl>
    <w:p w14:paraId="5A72A3D0" w14:textId="77777777" w:rsidR="00084529" w:rsidRPr="002740EA" w:rsidRDefault="00084529" w:rsidP="000C6B37">
      <w:pPr>
        <w:spacing w:after="0" w:line="276" w:lineRule="auto"/>
        <w:jc w:val="both"/>
        <w:rPr>
          <w:rFonts w:eastAsia="Calibri" w:cs="Arial"/>
          <w:szCs w:val="24"/>
          <w:lang w:val="es-ES_tradnl"/>
        </w:rPr>
      </w:pPr>
    </w:p>
    <w:p w14:paraId="7B0354D3" w14:textId="4A75B593" w:rsidR="00084529" w:rsidRPr="002740EA" w:rsidRDefault="00084529" w:rsidP="000C6B37">
      <w:pPr>
        <w:spacing w:after="0" w:line="276" w:lineRule="auto"/>
        <w:jc w:val="both"/>
        <w:rPr>
          <w:rFonts w:cs="Arial"/>
          <w:szCs w:val="24"/>
        </w:rPr>
      </w:pPr>
      <w:r w:rsidRPr="002740EA">
        <w:rPr>
          <w:rFonts w:eastAsia="Calibri" w:cs="Arial"/>
          <w:szCs w:val="24"/>
          <w:lang w:val="es-ES_tradnl"/>
        </w:rPr>
        <w:t xml:space="preserve">En este sentido, se constató que </w:t>
      </w:r>
      <w:r w:rsidRPr="002740EA">
        <w:rPr>
          <w:rFonts w:cs="Arial"/>
          <w:szCs w:val="24"/>
        </w:rPr>
        <w:t xml:space="preserve">los documentos normativos presentados por la UQROO no </w:t>
      </w:r>
      <w:r w:rsidRPr="002740EA">
        <w:rPr>
          <w:rFonts w:eastAsia="Calibri" w:cs="Arial"/>
          <w:szCs w:val="24"/>
          <w:lang w:val="es-ES_tradnl"/>
        </w:rPr>
        <w:t xml:space="preserve">incluyen el enfoque de Presupuesto basado en Resultados, a </w:t>
      </w:r>
      <w:r w:rsidRPr="002740EA">
        <w:rPr>
          <w:rFonts w:eastAsia="Calibri" w:cs="Arial"/>
          <w:bCs/>
          <w:szCs w:val="24"/>
          <w:lang w:val="es-ES_tradnl"/>
        </w:rPr>
        <w:t>excepción d</w:t>
      </w:r>
      <w:r w:rsidRPr="002740EA">
        <w:rPr>
          <w:rFonts w:cs="Arial"/>
          <w:bCs/>
          <w:szCs w:val="24"/>
        </w:rPr>
        <w:t>el Manual de Organización</w:t>
      </w:r>
      <w:r w:rsidRPr="002740EA">
        <w:rPr>
          <w:rFonts w:cs="Arial"/>
          <w:szCs w:val="24"/>
        </w:rPr>
        <w:t xml:space="preserve">, el cual además de dicho enfoque, contiene elementos que hacen referencia al Programa Operativo Anual. </w:t>
      </w:r>
    </w:p>
    <w:p w14:paraId="20C3A8FD" w14:textId="77777777" w:rsidR="00C035A8" w:rsidRPr="002740EA" w:rsidRDefault="00C035A8" w:rsidP="000C6B37">
      <w:pPr>
        <w:spacing w:after="0" w:line="276" w:lineRule="auto"/>
        <w:jc w:val="both"/>
        <w:rPr>
          <w:rFonts w:cs="Arial"/>
          <w:szCs w:val="24"/>
        </w:rPr>
      </w:pPr>
    </w:p>
    <w:p w14:paraId="507ADD1A" w14:textId="1BAED220" w:rsidR="00084529" w:rsidRPr="002740EA" w:rsidRDefault="00084529" w:rsidP="000C6B37">
      <w:pPr>
        <w:spacing w:after="0" w:line="276" w:lineRule="auto"/>
        <w:jc w:val="both"/>
        <w:rPr>
          <w:rFonts w:eastAsia="Times New Roman" w:cs="Arial"/>
          <w:color w:val="000000" w:themeColor="text1"/>
          <w:szCs w:val="24"/>
          <w:lang w:eastAsia="es-MX"/>
        </w:rPr>
      </w:pPr>
      <w:r w:rsidRPr="002740EA">
        <w:rPr>
          <w:rFonts w:cs="Arial"/>
          <w:szCs w:val="24"/>
        </w:rPr>
        <w:t xml:space="preserve">Por su parte, durante la visita e inspección realizada a las instalaciones de la Universidad de Quintana Roo, el </w:t>
      </w:r>
      <w:r w:rsidR="002558A0" w:rsidRPr="002740EA">
        <w:rPr>
          <w:rFonts w:eastAsia="Times New Roman" w:cs="Arial"/>
          <w:color w:val="000000" w:themeColor="text1"/>
          <w:szCs w:val="24"/>
          <w:lang w:eastAsia="es-MX"/>
        </w:rPr>
        <w:t>Director General de Planeación</w:t>
      </w:r>
      <w:r w:rsidRPr="002740EA">
        <w:rPr>
          <w:rFonts w:eastAsia="Times New Roman" w:cs="Arial"/>
          <w:color w:val="000000" w:themeColor="text1"/>
          <w:szCs w:val="24"/>
          <w:lang w:eastAsia="es-MX"/>
        </w:rPr>
        <w:t xml:space="preserve"> manifestó que</w:t>
      </w:r>
      <w:r w:rsidR="002558A0" w:rsidRPr="002740EA">
        <w:rPr>
          <w:rFonts w:eastAsia="Times New Roman" w:cs="Arial"/>
          <w:color w:val="000000" w:themeColor="text1"/>
          <w:szCs w:val="24"/>
          <w:lang w:eastAsia="es-MX"/>
        </w:rPr>
        <w:t>,</w:t>
      </w:r>
      <w:r w:rsidRPr="002740EA">
        <w:rPr>
          <w:rFonts w:eastAsia="Times New Roman" w:cs="Arial"/>
          <w:color w:val="000000" w:themeColor="text1"/>
          <w:szCs w:val="24"/>
          <w:lang w:eastAsia="es-MX"/>
        </w:rPr>
        <w:t xml:space="preserve"> el </w:t>
      </w:r>
      <w:r w:rsidRPr="002740EA">
        <w:rPr>
          <w:rFonts w:eastAsia="Times New Roman" w:cs="Arial"/>
          <w:color w:val="000000" w:themeColor="text1"/>
          <w:szCs w:val="24"/>
          <w:lang w:eastAsia="es-MX"/>
        </w:rPr>
        <w:lastRenderedPageBreak/>
        <w:t>marco normativo de la UQROO se encuentra en proceso de revisión, ya que dichos documentos normativos no contienen el enfoque de PbR; sin embargo, indicó que cuentan con un documento denominado “</w:t>
      </w:r>
      <w:r w:rsidRPr="002740EA">
        <w:rPr>
          <w:rFonts w:eastAsia="Times New Roman" w:cs="Arial"/>
          <w:i/>
          <w:color w:val="000000" w:themeColor="text1"/>
          <w:szCs w:val="24"/>
          <w:lang w:eastAsia="es-MX"/>
        </w:rPr>
        <w:t>Criterios para la integración de metas de indicadores de la Matriz de indicadores para resultados</w:t>
      </w:r>
      <w:r w:rsidRPr="002740EA">
        <w:rPr>
          <w:rFonts w:eastAsia="Times New Roman" w:cs="Arial"/>
          <w:color w:val="000000" w:themeColor="text1"/>
          <w:szCs w:val="24"/>
          <w:lang w:eastAsia="es-MX"/>
        </w:rPr>
        <w:t>”, así como un procedimiento establecido para la elaboración de las M</w:t>
      </w:r>
      <w:r w:rsidR="00B37ACD" w:rsidRPr="002740EA">
        <w:rPr>
          <w:rFonts w:eastAsia="Times New Roman" w:cs="Arial"/>
          <w:color w:val="000000" w:themeColor="text1"/>
          <w:szCs w:val="24"/>
          <w:lang w:eastAsia="es-MX"/>
        </w:rPr>
        <w:t>IR, ambos de elaboración propia,</w:t>
      </w:r>
      <w:r w:rsidRPr="002740EA">
        <w:rPr>
          <w:rFonts w:eastAsia="Times New Roman" w:cs="Arial"/>
          <w:color w:val="000000" w:themeColor="text1"/>
          <w:szCs w:val="24"/>
          <w:lang w:eastAsia="es-MX"/>
        </w:rPr>
        <w:t xml:space="preserve"> </w:t>
      </w:r>
      <w:r w:rsidR="00B37ACD" w:rsidRPr="002740EA">
        <w:rPr>
          <w:rFonts w:eastAsia="Times New Roman" w:cs="Arial"/>
          <w:color w:val="000000" w:themeColor="text1"/>
          <w:szCs w:val="24"/>
          <w:lang w:eastAsia="es-MX"/>
        </w:rPr>
        <w:t>l</w:t>
      </w:r>
      <w:r w:rsidRPr="002740EA">
        <w:rPr>
          <w:rFonts w:eastAsia="Times New Roman" w:cs="Arial"/>
          <w:color w:val="000000" w:themeColor="text1"/>
          <w:szCs w:val="24"/>
          <w:lang w:eastAsia="es-MX"/>
        </w:rPr>
        <w:t>os cuales guían al personal encargado de elaborar las MIR. Sin embargo, estos aún no se encuentran oficialmente autorizados, no obstante, ya están incluidos en los documentos en revisión.</w:t>
      </w:r>
    </w:p>
    <w:p w14:paraId="30E39346" w14:textId="77777777" w:rsidR="00E909B1" w:rsidRPr="002740EA" w:rsidRDefault="00E909B1" w:rsidP="000C6B37">
      <w:pPr>
        <w:spacing w:after="0" w:line="276" w:lineRule="auto"/>
        <w:jc w:val="both"/>
        <w:rPr>
          <w:rFonts w:eastAsia="Times New Roman" w:cs="Arial"/>
          <w:color w:val="000000" w:themeColor="text1"/>
          <w:szCs w:val="24"/>
          <w:lang w:eastAsia="es-MX"/>
        </w:rPr>
      </w:pPr>
    </w:p>
    <w:p w14:paraId="396CDFF8" w14:textId="77777777" w:rsidR="00062DF5" w:rsidRPr="002740EA" w:rsidRDefault="00062DF5" w:rsidP="000C6B37">
      <w:pPr>
        <w:spacing w:after="0"/>
        <w:jc w:val="both"/>
        <w:rPr>
          <w:rFonts w:cs="Arial"/>
          <w:szCs w:val="24"/>
        </w:rPr>
      </w:pPr>
      <w:r w:rsidRPr="002740EA">
        <w:rPr>
          <w:rFonts w:cs="Arial"/>
          <w:szCs w:val="24"/>
        </w:rPr>
        <w:t>Derivado del análisis anterior se determinaron las siguientes observaciones:</w:t>
      </w:r>
    </w:p>
    <w:p w14:paraId="1E36D110" w14:textId="77777777" w:rsidR="00062DF5" w:rsidRPr="002740EA" w:rsidRDefault="00062DF5" w:rsidP="000C6B37">
      <w:pPr>
        <w:spacing w:after="0"/>
        <w:jc w:val="both"/>
        <w:rPr>
          <w:rFonts w:cs="Arial"/>
          <w:b/>
          <w:szCs w:val="24"/>
        </w:rPr>
      </w:pPr>
    </w:p>
    <w:p w14:paraId="554C53BC" w14:textId="77777777" w:rsidR="00062DF5" w:rsidRPr="002740EA" w:rsidRDefault="00062DF5" w:rsidP="000C6B37">
      <w:pPr>
        <w:pStyle w:val="Prrafodelista"/>
        <w:numPr>
          <w:ilvl w:val="0"/>
          <w:numId w:val="5"/>
        </w:numPr>
        <w:spacing w:after="0"/>
        <w:jc w:val="both"/>
        <w:rPr>
          <w:rFonts w:cs="Arial"/>
          <w:szCs w:val="24"/>
        </w:rPr>
      </w:pPr>
      <w:r w:rsidRPr="002740EA">
        <w:rPr>
          <w:rFonts w:eastAsia="Times New Roman" w:cs="Arial"/>
          <w:szCs w:val="24"/>
          <w:lang w:eastAsia="es-ES"/>
        </w:rPr>
        <w:t xml:space="preserve">La Universidad de Quintana Roo </w:t>
      </w:r>
      <w:r w:rsidRPr="002740EA">
        <w:rPr>
          <w:rFonts w:eastAsia="Times New Roman" w:cs="Arial"/>
          <w:szCs w:val="18"/>
          <w:lang w:eastAsia="es-ES"/>
        </w:rPr>
        <w:t>presentó debilidad en la actualización y homologación de su Estructura Orgánica, Manual de Organización y Manual de Procedimientos.</w:t>
      </w:r>
    </w:p>
    <w:p w14:paraId="06F1B7DD" w14:textId="77777777" w:rsidR="00084529" w:rsidRPr="002740EA" w:rsidRDefault="00084529" w:rsidP="000C6B37">
      <w:pPr>
        <w:spacing w:after="0"/>
        <w:jc w:val="both"/>
        <w:rPr>
          <w:rFonts w:cs="Arial"/>
          <w:szCs w:val="24"/>
        </w:rPr>
      </w:pPr>
    </w:p>
    <w:p w14:paraId="022750A9" w14:textId="0276C4F0" w:rsidR="00084529" w:rsidRPr="002740EA" w:rsidRDefault="00084529" w:rsidP="000C6B37">
      <w:pPr>
        <w:pStyle w:val="Prrafodelista"/>
        <w:numPr>
          <w:ilvl w:val="0"/>
          <w:numId w:val="5"/>
        </w:numPr>
        <w:spacing w:after="0"/>
        <w:jc w:val="both"/>
        <w:rPr>
          <w:rFonts w:eastAsia="Times New Roman" w:cs="Arial"/>
          <w:szCs w:val="18"/>
          <w:lang w:eastAsia="es-ES"/>
        </w:rPr>
      </w:pPr>
      <w:r w:rsidRPr="002740EA">
        <w:rPr>
          <w:rFonts w:eastAsia="Times New Roman" w:cs="Arial"/>
          <w:szCs w:val="18"/>
          <w:lang w:eastAsia="es-ES"/>
        </w:rPr>
        <w:t>La Universidad de Quintana Roo presentó debilidad ante la falta de inclusión del enfoque de Presupuesto basado en Resultados (PbR) en su marco normativo.</w:t>
      </w:r>
    </w:p>
    <w:p w14:paraId="573C17DD" w14:textId="77777777" w:rsidR="00464C7F" w:rsidRPr="002740EA" w:rsidRDefault="00464C7F" w:rsidP="00464C7F">
      <w:pPr>
        <w:pStyle w:val="Prrafodelista"/>
        <w:rPr>
          <w:rFonts w:eastAsia="Times New Roman" w:cs="Arial"/>
          <w:szCs w:val="18"/>
          <w:lang w:eastAsia="es-ES"/>
        </w:rPr>
      </w:pPr>
    </w:p>
    <w:p w14:paraId="4528B0AB" w14:textId="77777777" w:rsidR="00464C7F" w:rsidRPr="002740EA" w:rsidRDefault="00464C7F" w:rsidP="00464C7F">
      <w:pPr>
        <w:pStyle w:val="Prrafodelista"/>
        <w:spacing w:after="0"/>
        <w:jc w:val="both"/>
        <w:rPr>
          <w:rFonts w:cs="Arial"/>
          <w:szCs w:val="24"/>
        </w:rPr>
      </w:pPr>
    </w:p>
    <w:p w14:paraId="450E5D39" w14:textId="6CEA3EC0" w:rsidR="00464C7F" w:rsidRPr="002740EA" w:rsidRDefault="00464C7F" w:rsidP="00464C7F">
      <w:pPr>
        <w:spacing w:after="0"/>
        <w:jc w:val="both"/>
        <w:rPr>
          <w:rFonts w:eastAsia="Times New Roman" w:cs="Arial"/>
          <w:szCs w:val="24"/>
          <w:lang w:eastAsia="es-ES"/>
        </w:rPr>
      </w:pPr>
      <w:r w:rsidRPr="002740EA">
        <w:rPr>
          <w:rFonts w:eastAsia="Times New Roman" w:cs="Arial"/>
          <w:b/>
          <w:szCs w:val="24"/>
          <w:lang w:eastAsia="es-ES"/>
        </w:rPr>
        <w:t xml:space="preserve">Acción Promovida:   </w:t>
      </w:r>
      <w:r w:rsidR="007B2942" w:rsidRPr="002740EA">
        <w:rPr>
          <w:rFonts w:eastAsia="Times New Roman" w:cs="Arial"/>
          <w:szCs w:val="24"/>
          <w:lang w:eastAsia="es-ES"/>
        </w:rPr>
        <w:t>Recomendación</w:t>
      </w:r>
      <w:r w:rsidR="00FB2A66">
        <w:rPr>
          <w:rFonts w:eastAsia="Times New Roman" w:cs="Arial"/>
          <w:szCs w:val="24"/>
          <w:lang w:eastAsia="es-ES"/>
        </w:rPr>
        <w:t xml:space="preserve"> de </w:t>
      </w:r>
      <w:r w:rsidRPr="002740EA">
        <w:rPr>
          <w:rFonts w:eastAsia="Times New Roman" w:cs="Arial"/>
          <w:szCs w:val="24"/>
          <w:lang w:eastAsia="es-ES"/>
        </w:rPr>
        <w:t>Desempeño</w:t>
      </w:r>
    </w:p>
    <w:p w14:paraId="531B357D" w14:textId="77777777" w:rsidR="00464C7F" w:rsidRPr="002740EA" w:rsidRDefault="00464C7F" w:rsidP="00464C7F">
      <w:pPr>
        <w:spacing w:after="0"/>
        <w:jc w:val="both"/>
        <w:rPr>
          <w:rFonts w:eastAsia="Times New Roman" w:cs="Arial"/>
          <w:szCs w:val="24"/>
          <w:lang w:eastAsia="es-ES"/>
        </w:rPr>
      </w:pPr>
    </w:p>
    <w:p w14:paraId="55DFD7D2" w14:textId="77777777" w:rsidR="00464C7F" w:rsidRPr="002740EA" w:rsidRDefault="00464C7F" w:rsidP="00464C7F">
      <w:pPr>
        <w:spacing w:after="0"/>
        <w:jc w:val="both"/>
        <w:rPr>
          <w:rFonts w:eastAsia="Times New Roman" w:cs="Arial"/>
          <w:szCs w:val="24"/>
          <w:lang w:eastAsia="es-ES"/>
        </w:rPr>
      </w:pPr>
      <w:r w:rsidRPr="002740EA">
        <w:rPr>
          <w:rFonts w:eastAsia="Times New Roman" w:cs="Arial"/>
          <w:szCs w:val="24"/>
          <w:lang w:eastAsia="es-ES"/>
        </w:rPr>
        <w:t xml:space="preserve">La Auditoría Superior del Estado de Quintana Roo recomienda a la </w:t>
      </w:r>
      <w:r w:rsidRPr="002740EA">
        <w:rPr>
          <w:rFonts w:eastAsia="Times New Roman" w:cs="Arial"/>
          <w:bCs/>
          <w:szCs w:val="24"/>
          <w:lang w:eastAsia="es-ES"/>
        </w:rPr>
        <w:t>Universidad de Quintana Roo</w:t>
      </w:r>
      <w:r w:rsidRPr="002740EA">
        <w:rPr>
          <w:rFonts w:eastAsia="Times New Roman" w:cs="Arial"/>
          <w:szCs w:val="24"/>
          <w:lang w:eastAsia="es-ES"/>
        </w:rPr>
        <w:t xml:space="preserve"> lo siguiente:</w:t>
      </w:r>
    </w:p>
    <w:p w14:paraId="07678436" w14:textId="0F8C3B3F" w:rsidR="00464C7F" w:rsidRPr="002740EA" w:rsidRDefault="00464C7F" w:rsidP="00464C7F">
      <w:pPr>
        <w:pStyle w:val="Prrafodelista"/>
        <w:spacing w:after="0"/>
        <w:jc w:val="both"/>
        <w:rPr>
          <w:rFonts w:eastAsia="Times New Roman" w:cs="Arial"/>
          <w:szCs w:val="20"/>
          <w:lang w:eastAsia="es-ES"/>
        </w:rPr>
      </w:pPr>
    </w:p>
    <w:p w14:paraId="11C99A1C" w14:textId="5BA80CFE" w:rsidR="00F27BC3" w:rsidRPr="002740EA" w:rsidRDefault="00536110" w:rsidP="004E3B7A">
      <w:pPr>
        <w:spacing w:after="0"/>
        <w:rPr>
          <w:rFonts w:eastAsia="Times New Roman" w:cs="Arial"/>
          <w:b/>
          <w:szCs w:val="20"/>
          <w:lang w:eastAsia="es-ES"/>
        </w:rPr>
      </w:pPr>
      <w:r>
        <w:rPr>
          <w:rFonts w:eastAsia="Times New Roman" w:cs="Arial"/>
          <w:b/>
          <w:szCs w:val="20"/>
          <w:lang w:eastAsia="es-ES"/>
        </w:rPr>
        <w:t>Para la observación 1</w:t>
      </w:r>
    </w:p>
    <w:p w14:paraId="71C4CDBA" w14:textId="77777777" w:rsidR="004E3B7A" w:rsidRPr="002740EA" w:rsidRDefault="004E3B7A" w:rsidP="004E3B7A">
      <w:pPr>
        <w:spacing w:after="0"/>
        <w:rPr>
          <w:rFonts w:eastAsia="Times New Roman" w:cs="Arial"/>
          <w:b/>
          <w:szCs w:val="20"/>
          <w:lang w:eastAsia="es-ES"/>
        </w:rPr>
      </w:pPr>
    </w:p>
    <w:p w14:paraId="0931D9A0" w14:textId="36D7755A" w:rsidR="00C7475F" w:rsidRPr="002740EA" w:rsidRDefault="00536110" w:rsidP="004E3B7A">
      <w:pPr>
        <w:spacing w:after="0"/>
        <w:jc w:val="both"/>
        <w:rPr>
          <w:rFonts w:eastAsia="Times New Roman" w:cs="Arial"/>
          <w:szCs w:val="24"/>
          <w:lang w:eastAsia="es-ES"/>
        </w:rPr>
      </w:pPr>
      <w:r>
        <w:rPr>
          <w:rFonts w:cs="Arial"/>
          <w:szCs w:val="24"/>
        </w:rPr>
        <w:t>Actualizar y h</w:t>
      </w:r>
      <w:r w:rsidR="00464C7F" w:rsidRPr="002740EA">
        <w:rPr>
          <w:rFonts w:cs="Arial"/>
          <w:szCs w:val="24"/>
        </w:rPr>
        <w:t>omologar su Estructura Orgánica, Manual de Organización y Manual de Procedimientos</w:t>
      </w:r>
      <w:r w:rsidR="007B2942" w:rsidRPr="002740EA">
        <w:rPr>
          <w:rFonts w:cs="Arial"/>
          <w:szCs w:val="24"/>
        </w:rPr>
        <w:t>.</w:t>
      </w:r>
    </w:p>
    <w:p w14:paraId="6576B06D" w14:textId="77777777" w:rsidR="004E3B7A" w:rsidRPr="002740EA" w:rsidRDefault="004E3B7A" w:rsidP="004E3B7A">
      <w:pPr>
        <w:pStyle w:val="Prrafodelista"/>
        <w:spacing w:after="0"/>
        <w:jc w:val="both"/>
        <w:rPr>
          <w:rFonts w:eastAsia="Times New Roman" w:cs="Arial"/>
          <w:szCs w:val="20"/>
          <w:lang w:eastAsia="es-ES"/>
        </w:rPr>
      </w:pPr>
    </w:p>
    <w:p w14:paraId="155B3086" w14:textId="27102679" w:rsidR="004E3B7A" w:rsidRPr="002740EA" w:rsidRDefault="00536110" w:rsidP="004E3B7A">
      <w:pPr>
        <w:spacing w:after="0"/>
        <w:rPr>
          <w:rFonts w:eastAsia="Times New Roman" w:cs="Arial"/>
          <w:b/>
          <w:szCs w:val="20"/>
          <w:lang w:eastAsia="es-ES"/>
        </w:rPr>
      </w:pPr>
      <w:r>
        <w:rPr>
          <w:rFonts w:eastAsia="Times New Roman" w:cs="Arial"/>
          <w:b/>
          <w:szCs w:val="20"/>
          <w:lang w:eastAsia="es-ES"/>
        </w:rPr>
        <w:t>Para la observación 2</w:t>
      </w:r>
    </w:p>
    <w:p w14:paraId="71D13459" w14:textId="77777777" w:rsidR="007B2942" w:rsidRPr="002740EA" w:rsidRDefault="007B2942" w:rsidP="007B2942">
      <w:pPr>
        <w:pStyle w:val="Prrafodelista"/>
        <w:spacing w:after="0"/>
        <w:jc w:val="both"/>
        <w:rPr>
          <w:rFonts w:eastAsia="Times New Roman" w:cs="Arial"/>
          <w:szCs w:val="24"/>
          <w:lang w:eastAsia="es-ES"/>
        </w:rPr>
      </w:pPr>
    </w:p>
    <w:p w14:paraId="3D5A7782" w14:textId="7F0E0381" w:rsidR="006360FB" w:rsidRPr="002740EA" w:rsidRDefault="00536110" w:rsidP="004E3B7A">
      <w:pPr>
        <w:spacing w:after="0"/>
        <w:jc w:val="both"/>
        <w:rPr>
          <w:rFonts w:cs="Arial"/>
          <w:szCs w:val="24"/>
        </w:rPr>
      </w:pPr>
      <w:r>
        <w:t>Incluir en su marco normativo</w:t>
      </w:r>
      <w:r w:rsidR="00E4548D" w:rsidRPr="002740EA">
        <w:t xml:space="preserve"> el enfoque de Presupuesto basado en Resultados.</w:t>
      </w:r>
      <w:r w:rsidR="00464C7F" w:rsidRPr="002740EA">
        <w:rPr>
          <w:rFonts w:cs="Arial"/>
          <w:szCs w:val="24"/>
        </w:rPr>
        <w:t xml:space="preserve"> </w:t>
      </w:r>
    </w:p>
    <w:p w14:paraId="291EC684" w14:textId="01CDBBAE" w:rsidR="00464C7F" w:rsidRPr="002740EA" w:rsidRDefault="00464C7F" w:rsidP="00464C7F">
      <w:pPr>
        <w:spacing w:after="0"/>
        <w:jc w:val="both"/>
        <w:rPr>
          <w:rFonts w:cs="Arial"/>
          <w:szCs w:val="24"/>
        </w:rPr>
      </w:pPr>
    </w:p>
    <w:p w14:paraId="4CA5A580" w14:textId="626D0701" w:rsidR="00464C7F" w:rsidRPr="002740EA" w:rsidRDefault="00464C7F" w:rsidP="00464C7F">
      <w:pPr>
        <w:spacing w:after="0"/>
        <w:jc w:val="both"/>
        <w:rPr>
          <w:rFonts w:cs="Arial"/>
          <w:szCs w:val="24"/>
        </w:rPr>
      </w:pPr>
    </w:p>
    <w:p w14:paraId="5A03C0CE" w14:textId="77777777" w:rsidR="00182439" w:rsidRPr="002740EA" w:rsidRDefault="00182439" w:rsidP="00434FD4">
      <w:pPr>
        <w:pStyle w:val="Prrafodelista"/>
        <w:autoSpaceDE w:val="0"/>
        <w:autoSpaceDN w:val="0"/>
        <w:adjustRightInd w:val="0"/>
        <w:spacing w:after="0"/>
        <w:rPr>
          <w:rFonts w:cs="Arial"/>
          <w:b/>
          <w:color w:val="000000" w:themeColor="text1"/>
          <w:szCs w:val="24"/>
        </w:rPr>
      </w:pPr>
    </w:p>
    <w:p w14:paraId="591AA13F" w14:textId="4E77837A" w:rsidR="00434FD4" w:rsidRPr="002740EA" w:rsidRDefault="007E101C" w:rsidP="007E101C">
      <w:pPr>
        <w:pStyle w:val="Prrafodelista"/>
        <w:numPr>
          <w:ilvl w:val="1"/>
          <w:numId w:val="23"/>
        </w:numPr>
        <w:autoSpaceDE w:val="0"/>
        <w:autoSpaceDN w:val="0"/>
        <w:adjustRightInd w:val="0"/>
        <w:spacing w:after="0"/>
        <w:rPr>
          <w:rFonts w:cs="Arial"/>
          <w:b/>
          <w:color w:val="000000" w:themeColor="text1"/>
          <w:szCs w:val="24"/>
        </w:rPr>
      </w:pPr>
      <w:r w:rsidRPr="002740EA">
        <w:rPr>
          <w:rFonts w:cs="Arial"/>
          <w:b/>
          <w:color w:val="000000" w:themeColor="text1"/>
          <w:szCs w:val="24"/>
        </w:rPr>
        <w:lastRenderedPageBreak/>
        <w:t xml:space="preserve"> </w:t>
      </w:r>
      <w:r w:rsidR="00434FD4" w:rsidRPr="002740EA">
        <w:rPr>
          <w:rFonts w:cs="Arial"/>
          <w:b/>
          <w:color w:val="000000" w:themeColor="text1"/>
          <w:szCs w:val="24"/>
        </w:rPr>
        <w:t>Política de Integridad</w:t>
      </w:r>
    </w:p>
    <w:p w14:paraId="6DA8C88C" w14:textId="127259A3" w:rsidR="00434FD4" w:rsidRPr="002740EA" w:rsidRDefault="00434FD4" w:rsidP="00434FD4">
      <w:pPr>
        <w:pStyle w:val="Prrafodelista"/>
        <w:autoSpaceDE w:val="0"/>
        <w:autoSpaceDN w:val="0"/>
        <w:adjustRightInd w:val="0"/>
        <w:spacing w:after="0"/>
        <w:rPr>
          <w:rFonts w:cs="Arial"/>
          <w:b/>
          <w:color w:val="000000" w:themeColor="text1"/>
          <w:szCs w:val="24"/>
        </w:rPr>
      </w:pPr>
    </w:p>
    <w:p w14:paraId="3724061A" w14:textId="1544AC0A" w:rsidR="00873352" w:rsidRPr="002740EA" w:rsidRDefault="00434FD4" w:rsidP="00536110">
      <w:pPr>
        <w:autoSpaceDE w:val="0"/>
        <w:autoSpaceDN w:val="0"/>
        <w:adjustRightInd w:val="0"/>
        <w:spacing w:after="0"/>
        <w:rPr>
          <w:rFonts w:cs="Arial"/>
          <w:b/>
          <w:color w:val="000000" w:themeColor="text1"/>
          <w:szCs w:val="24"/>
        </w:rPr>
      </w:pPr>
      <w:r w:rsidRPr="002740EA">
        <w:rPr>
          <w:rFonts w:cs="Arial"/>
          <w:b/>
          <w:color w:val="000000" w:themeColor="text1"/>
          <w:szCs w:val="24"/>
        </w:rPr>
        <w:t>Con observaciones</w:t>
      </w:r>
    </w:p>
    <w:p w14:paraId="7095DD5B" w14:textId="77777777" w:rsidR="00182439" w:rsidRPr="002740EA" w:rsidRDefault="00182439" w:rsidP="00182439">
      <w:pPr>
        <w:autoSpaceDE w:val="0"/>
        <w:autoSpaceDN w:val="0"/>
        <w:adjustRightInd w:val="0"/>
        <w:spacing w:after="0"/>
        <w:rPr>
          <w:rFonts w:cs="Arial"/>
          <w:b/>
          <w:color w:val="000000" w:themeColor="text1"/>
          <w:szCs w:val="24"/>
        </w:rPr>
      </w:pPr>
    </w:p>
    <w:p w14:paraId="1A0542D8" w14:textId="4C87DE16" w:rsidR="007D3729" w:rsidRPr="002740EA" w:rsidRDefault="007D3729" w:rsidP="000C6B37">
      <w:pPr>
        <w:autoSpaceDE w:val="0"/>
        <w:autoSpaceDN w:val="0"/>
        <w:adjustRightInd w:val="0"/>
        <w:spacing w:after="0" w:line="276" w:lineRule="auto"/>
        <w:jc w:val="both"/>
        <w:rPr>
          <w:rFonts w:cs="Arial"/>
          <w:szCs w:val="24"/>
        </w:rPr>
      </w:pPr>
      <w:r w:rsidRPr="002740EA">
        <w:rPr>
          <w:rFonts w:cs="Arial"/>
          <w:szCs w:val="24"/>
        </w:rPr>
        <w:t>El servicio público en el Estado se regirá por los principios rectores de legalidad, objetividad, profesionalismo, honradez, lealtad, imparcialidad, eficiencia, eficacia, equidad, transparencia, economía, integridad y competencia por mérito. Los Entes públicos están obligados a crear y mantener condiciones estructurales y normativas que permitan el adecuado funcionamiento del Estado en su conjunto, y la actuación ética y responsable de cada servidor público</w:t>
      </w:r>
      <w:r w:rsidRPr="002740EA">
        <w:rPr>
          <w:rStyle w:val="Refdenotaalpie"/>
          <w:rFonts w:cs="Arial"/>
          <w:szCs w:val="24"/>
        </w:rPr>
        <w:footnoteReference w:id="15"/>
      </w:r>
      <w:r w:rsidRPr="002740EA">
        <w:rPr>
          <w:rFonts w:cs="Arial"/>
          <w:szCs w:val="24"/>
        </w:rPr>
        <w:t>.</w:t>
      </w:r>
    </w:p>
    <w:p w14:paraId="135FCAEF" w14:textId="77777777" w:rsidR="00CF36D3" w:rsidRPr="002740EA" w:rsidRDefault="00CF36D3" w:rsidP="000C6B37">
      <w:pPr>
        <w:autoSpaceDE w:val="0"/>
        <w:autoSpaceDN w:val="0"/>
        <w:adjustRightInd w:val="0"/>
        <w:spacing w:after="0" w:line="276" w:lineRule="auto"/>
        <w:jc w:val="both"/>
        <w:rPr>
          <w:rFonts w:cs="Arial"/>
          <w:szCs w:val="24"/>
        </w:rPr>
      </w:pPr>
    </w:p>
    <w:p w14:paraId="56E21B87" w14:textId="07605400" w:rsidR="007D3729" w:rsidRPr="002740EA" w:rsidRDefault="007D3729" w:rsidP="000C6B37">
      <w:pPr>
        <w:autoSpaceDE w:val="0"/>
        <w:autoSpaceDN w:val="0"/>
        <w:adjustRightInd w:val="0"/>
        <w:spacing w:after="0" w:line="276" w:lineRule="auto"/>
        <w:jc w:val="both"/>
        <w:rPr>
          <w:rFonts w:cs="Arial"/>
          <w:szCs w:val="24"/>
        </w:rPr>
      </w:pPr>
      <w:r w:rsidRPr="002740EA">
        <w:rPr>
          <w:rFonts w:cs="Arial"/>
          <w:szCs w:val="24"/>
        </w:rPr>
        <w:t>Los Servidores Públicos deberán observar el código de ética que al efecto sea emitido por las Secretarías o los Órganos Internos de Control, conforme a los lineamientos que emita el Sistema Nacional Anticorrupción, para que en su actuación impere una conducta digna que responda a las necesidades de la sociedad y que oriente su desempeño. Así mismo, deberá hacerse del conocimiento de los Servidores Públicos de la dependencia o entidad de que se trate, así como darle la máxima publicidad.</w:t>
      </w:r>
      <w:r w:rsidRPr="002740EA">
        <w:rPr>
          <w:rFonts w:cs="Arial"/>
          <w:szCs w:val="24"/>
          <w:vertAlign w:val="superscript"/>
        </w:rPr>
        <w:footnoteReference w:id="16"/>
      </w:r>
    </w:p>
    <w:p w14:paraId="15833156" w14:textId="77777777" w:rsidR="0043525E" w:rsidRPr="002740EA" w:rsidRDefault="0043525E" w:rsidP="000C6B37">
      <w:pPr>
        <w:autoSpaceDE w:val="0"/>
        <w:autoSpaceDN w:val="0"/>
        <w:adjustRightInd w:val="0"/>
        <w:spacing w:after="0" w:line="276" w:lineRule="auto"/>
        <w:jc w:val="both"/>
        <w:rPr>
          <w:rFonts w:cs="Arial"/>
          <w:szCs w:val="24"/>
        </w:rPr>
      </w:pPr>
    </w:p>
    <w:p w14:paraId="3B46F9B0" w14:textId="77777777" w:rsidR="007D3729" w:rsidRPr="002740EA" w:rsidRDefault="007D3729" w:rsidP="000C6B37">
      <w:pPr>
        <w:spacing w:after="0" w:line="276" w:lineRule="auto"/>
        <w:jc w:val="both"/>
        <w:rPr>
          <w:rFonts w:cs="Arial"/>
          <w:szCs w:val="24"/>
        </w:rPr>
      </w:pPr>
      <w:r w:rsidRPr="002740EA">
        <w:rPr>
          <w:rFonts w:cs="Arial"/>
          <w:szCs w:val="24"/>
        </w:rPr>
        <w:t>El Código de Conducta es el instrumento emitido por el Titular de la Institución a propuesta de su Comité de Ética y de Prevención de Conflicto de Interés, para regular la conducta que se espera de los servidores públicos, a fin de contribuir al cumplimiento de objetivos y metas de forma eficiente y eficaz. El Código de Ética es el Instrumento que enuncia los principios y valores considerados como fundamentales para regular el comportamiento y desempeño de los servidores públicos dentro de la Administración Pública del Estado</w:t>
      </w:r>
      <w:r w:rsidRPr="002740EA">
        <w:rPr>
          <w:rStyle w:val="Refdenotaalpie"/>
          <w:rFonts w:cs="Arial"/>
          <w:szCs w:val="24"/>
        </w:rPr>
        <w:footnoteReference w:id="17"/>
      </w:r>
      <w:r w:rsidRPr="002740EA">
        <w:rPr>
          <w:rFonts w:cs="Arial"/>
          <w:szCs w:val="24"/>
        </w:rPr>
        <w:t>.</w:t>
      </w:r>
    </w:p>
    <w:p w14:paraId="2CE5A124" w14:textId="77777777" w:rsidR="007D3729" w:rsidRPr="002740EA" w:rsidRDefault="007D3729" w:rsidP="000C6B37">
      <w:pPr>
        <w:spacing w:after="0" w:line="276" w:lineRule="auto"/>
        <w:jc w:val="both"/>
        <w:rPr>
          <w:rFonts w:cs="Arial"/>
          <w:szCs w:val="24"/>
        </w:rPr>
      </w:pPr>
    </w:p>
    <w:p w14:paraId="0063B182" w14:textId="3B50135F" w:rsidR="007D3729" w:rsidRDefault="007D3729" w:rsidP="00AB306E">
      <w:pPr>
        <w:autoSpaceDE w:val="0"/>
        <w:autoSpaceDN w:val="0"/>
        <w:adjustRightInd w:val="0"/>
        <w:spacing w:after="0" w:line="276" w:lineRule="auto"/>
        <w:jc w:val="both"/>
        <w:rPr>
          <w:rFonts w:cs="Arial"/>
          <w:szCs w:val="24"/>
        </w:rPr>
      </w:pPr>
      <w:r w:rsidRPr="002740EA">
        <w:rPr>
          <w:rFonts w:cs="Arial"/>
          <w:szCs w:val="24"/>
        </w:rPr>
        <w:t xml:space="preserve">Cada Institución emitirá su Código de Conducta como un documento en el que se establezcan de manera formal las reglas y el comportamiento que se espera de los servidores públicos, así como las conductas no permitidas, basándose en los </w:t>
      </w:r>
      <w:r w:rsidRPr="002740EA">
        <w:rPr>
          <w:rFonts w:cs="Arial"/>
          <w:szCs w:val="24"/>
        </w:rPr>
        <w:lastRenderedPageBreak/>
        <w:t>principios, valores y reglas de integridad contenidas en el Código de Ética y las Reglas de Integridad emitidas por la Secretaría</w:t>
      </w:r>
      <w:r w:rsidRPr="002740EA">
        <w:rPr>
          <w:rStyle w:val="Refdenotaalpie"/>
          <w:rFonts w:cs="Arial"/>
          <w:szCs w:val="24"/>
        </w:rPr>
        <w:footnoteReference w:id="18"/>
      </w:r>
      <w:r w:rsidRPr="002740EA">
        <w:rPr>
          <w:rFonts w:cs="Arial"/>
          <w:szCs w:val="24"/>
        </w:rPr>
        <w:t xml:space="preserve"> </w:t>
      </w:r>
      <w:r w:rsidRPr="002740EA">
        <w:rPr>
          <w:rStyle w:val="Refdenotaalpie"/>
          <w:rFonts w:cs="Arial"/>
          <w:szCs w:val="24"/>
        </w:rPr>
        <w:footnoteReference w:id="19"/>
      </w:r>
      <w:r w:rsidRPr="002740EA">
        <w:rPr>
          <w:rFonts w:cs="Arial"/>
          <w:szCs w:val="24"/>
        </w:rPr>
        <w:t>.</w:t>
      </w:r>
    </w:p>
    <w:p w14:paraId="0A03FA48" w14:textId="77777777" w:rsidR="00536110" w:rsidRPr="002740EA" w:rsidRDefault="00536110" w:rsidP="00AB306E">
      <w:pPr>
        <w:autoSpaceDE w:val="0"/>
        <w:autoSpaceDN w:val="0"/>
        <w:adjustRightInd w:val="0"/>
        <w:spacing w:after="0" w:line="276" w:lineRule="auto"/>
        <w:jc w:val="both"/>
        <w:rPr>
          <w:rFonts w:cs="Arial"/>
          <w:szCs w:val="24"/>
        </w:rPr>
      </w:pPr>
    </w:p>
    <w:p w14:paraId="30F91896" w14:textId="5808187C" w:rsidR="007D3729" w:rsidRDefault="007D3729" w:rsidP="00AB306E">
      <w:pPr>
        <w:spacing w:after="0" w:line="276" w:lineRule="auto"/>
        <w:jc w:val="both"/>
        <w:rPr>
          <w:rFonts w:cs="Arial"/>
          <w:szCs w:val="24"/>
        </w:rPr>
      </w:pPr>
      <w:r w:rsidRPr="002740EA">
        <w:rPr>
          <w:rFonts w:cs="Arial"/>
          <w:szCs w:val="24"/>
        </w:rPr>
        <w:t>Es responsabilidad del Titular de la Institución, dentro del Sistema de Control, aprobar el Código de Conducta de la Institución a su cargo, y en el caso de las Entidades de la Administración Pública Paraestatal presentarlo al Órgano de Gobierno para su aprobación; así como emitir y difundir la publicación del Código de Conducta de la Institución</w:t>
      </w:r>
      <w:r w:rsidR="00546220" w:rsidRPr="002740EA">
        <w:rPr>
          <w:rStyle w:val="Refdenotaalpie"/>
          <w:rFonts w:cs="Arial"/>
          <w:szCs w:val="24"/>
        </w:rPr>
        <w:footnoteReference w:id="20"/>
      </w:r>
      <w:r w:rsidRPr="002740EA">
        <w:rPr>
          <w:rFonts w:cs="Arial"/>
          <w:szCs w:val="24"/>
        </w:rPr>
        <w:t>.</w:t>
      </w:r>
    </w:p>
    <w:p w14:paraId="49A03100" w14:textId="77777777" w:rsidR="00536110" w:rsidRPr="002740EA" w:rsidRDefault="00536110" w:rsidP="00AB306E">
      <w:pPr>
        <w:spacing w:after="0" w:line="276" w:lineRule="auto"/>
        <w:jc w:val="both"/>
        <w:rPr>
          <w:rFonts w:cs="Arial"/>
          <w:szCs w:val="24"/>
        </w:rPr>
      </w:pPr>
    </w:p>
    <w:p w14:paraId="760EE174" w14:textId="7ADA4BF5" w:rsidR="007D3729" w:rsidRDefault="007D3729" w:rsidP="00536110">
      <w:pPr>
        <w:spacing w:after="0" w:line="276" w:lineRule="auto"/>
        <w:jc w:val="both"/>
        <w:rPr>
          <w:rFonts w:cs="Arial"/>
          <w:szCs w:val="24"/>
        </w:rPr>
      </w:pPr>
      <w:r w:rsidRPr="002740EA">
        <w:rPr>
          <w:rFonts w:cs="Arial"/>
          <w:szCs w:val="24"/>
        </w:rPr>
        <w:t>Será obligación de las Dependencias y Entidades de la Administración Pública del Poder Ejecutivo del estado, proporcionar el Código de Ética, a todo el personal, a través de medios físicos o electrónicos y, de acuerdo con las políticas de austeridad, a fin de que éstos tomen conocimientos de su contenido y, posterior a su estudio, suscriban una carta compromiso de alinear, el desempeño de su empleo, cargo o comisión, a lo previsto en este documento</w:t>
      </w:r>
      <w:r w:rsidRPr="002740EA">
        <w:rPr>
          <w:rStyle w:val="Refdenotaalpie"/>
          <w:rFonts w:cs="Arial"/>
          <w:szCs w:val="24"/>
        </w:rPr>
        <w:footnoteReference w:id="21"/>
      </w:r>
      <w:r w:rsidRPr="002740EA">
        <w:rPr>
          <w:rFonts w:cs="Arial"/>
          <w:szCs w:val="24"/>
        </w:rPr>
        <w:t>.</w:t>
      </w:r>
    </w:p>
    <w:p w14:paraId="23A0F353" w14:textId="77777777" w:rsidR="00536110" w:rsidRPr="002740EA" w:rsidRDefault="00536110" w:rsidP="00AB306E">
      <w:pPr>
        <w:spacing w:before="240" w:after="0" w:line="276" w:lineRule="auto"/>
        <w:jc w:val="both"/>
        <w:rPr>
          <w:rFonts w:cs="Arial"/>
          <w:szCs w:val="24"/>
        </w:rPr>
      </w:pPr>
    </w:p>
    <w:p w14:paraId="48F91F34" w14:textId="76B2FE46" w:rsidR="00410C19" w:rsidRPr="002740EA" w:rsidRDefault="007D3729" w:rsidP="00AB306E">
      <w:pPr>
        <w:spacing w:after="0" w:line="276" w:lineRule="auto"/>
        <w:jc w:val="both"/>
        <w:rPr>
          <w:rFonts w:eastAsia="Times New Roman" w:cs="Arial"/>
          <w:iCs/>
          <w:color w:val="000000" w:themeColor="text1"/>
          <w:szCs w:val="24"/>
          <w:lang w:eastAsia="es-MX"/>
        </w:rPr>
      </w:pPr>
      <w:r w:rsidRPr="002740EA">
        <w:rPr>
          <w:rFonts w:cs="Arial"/>
          <w:szCs w:val="24"/>
        </w:rPr>
        <w:t>Al respecto, la</w:t>
      </w:r>
      <w:r w:rsidRPr="002740EA">
        <w:rPr>
          <w:rFonts w:eastAsia="Calibri" w:cs="Arial"/>
          <w:bCs/>
          <w:color w:val="000000" w:themeColor="text1"/>
          <w:szCs w:val="24"/>
        </w:rPr>
        <w:t xml:space="preserve"> </w:t>
      </w:r>
      <w:r w:rsidRPr="002740EA">
        <w:rPr>
          <w:rFonts w:cs="Arial"/>
          <w:bCs/>
          <w:szCs w:val="24"/>
          <w:lang w:val="es-ES"/>
        </w:rPr>
        <w:t>Auditoría</w:t>
      </w:r>
      <w:r w:rsidRPr="002740EA">
        <w:rPr>
          <w:rFonts w:cs="Arial"/>
          <w:szCs w:val="24"/>
        </w:rPr>
        <w:t xml:space="preserve"> Superior del Estado de Quintana Roo </w:t>
      </w:r>
      <w:r w:rsidRPr="002740EA">
        <w:rPr>
          <w:rFonts w:eastAsia="Calibri" w:cs="Arial"/>
          <w:szCs w:val="24"/>
          <w:lang w:val="es-ES_tradnl"/>
        </w:rPr>
        <w:t xml:space="preserve">verificó el establecimiento y difusión de una política de integridad (Código de Ética y Código de Conducta) por parte de la Universidad de Quintana Roo durante el ejercicio 2020, ante lo cual, </w:t>
      </w:r>
      <w:r w:rsidRPr="002740EA">
        <w:rPr>
          <w:rFonts w:eastAsia="Times New Roman" w:cs="Arial"/>
          <w:color w:val="000000" w:themeColor="text1"/>
          <w:szCs w:val="24"/>
          <w:lang w:eastAsia="es-MX"/>
        </w:rPr>
        <w:t xml:space="preserve">durante la visita e inspección realizada al domicilio de la Universidad de Quintana Roo, el Jefe del Departamento de Planeación y Programación, indicó que la </w:t>
      </w:r>
      <w:r w:rsidRPr="002740EA">
        <w:rPr>
          <w:rFonts w:eastAsia="Times New Roman" w:cs="Arial"/>
          <w:iCs/>
          <w:color w:val="000000" w:themeColor="text1"/>
          <w:szCs w:val="24"/>
          <w:lang w:eastAsia="es-MX"/>
        </w:rPr>
        <w:t>UQROO no cuenta con una Política de Integridad Propia, manifestando que los códigos de ética y de conducta que ha difundido a su personal, son los que ha publicado la Secretaría de la Contraloría del Estado de Quintana Roo mediante Acuerdo</w:t>
      </w:r>
      <w:r w:rsidRPr="002740EA">
        <w:rPr>
          <w:rStyle w:val="Refdenotaalpie"/>
          <w:rFonts w:cs="Arial"/>
          <w:i/>
          <w:sz w:val="18"/>
          <w:szCs w:val="18"/>
        </w:rPr>
        <w:footnoteReference w:id="22"/>
      </w:r>
      <w:r w:rsidRPr="002740EA">
        <w:rPr>
          <w:rFonts w:eastAsia="Times New Roman" w:cs="Arial"/>
          <w:iCs/>
          <w:color w:val="000000" w:themeColor="text1"/>
          <w:szCs w:val="24"/>
          <w:lang w:eastAsia="es-MX"/>
        </w:rPr>
        <w:t xml:space="preserve">. </w:t>
      </w:r>
    </w:p>
    <w:p w14:paraId="68C338F0" w14:textId="77777777" w:rsidR="00B3525E" w:rsidRPr="002740EA" w:rsidRDefault="00B3525E" w:rsidP="000C6B37">
      <w:pPr>
        <w:spacing w:after="0" w:line="276" w:lineRule="auto"/>
        <w:jc w:val="both"/>
        <w:rPr>
          <w:rFonts w:eastAsia="Times New Roman" w:cs="Arial"/>
          <w:iCs/>
          <w:color w:val="000000" w:themeColor="text1"/>
          <w:szCs w:val="24"/>
          <w:lang w:eastAsia="es-MX"/>
        </w:rPr>
      </w:pPr>
    </w:p>
    <w:p w14:paraId="05AED6F5" w14:textId="0FDE933D" w:rsidR="007D3729" w:rsidRPr="002740EA" w:rsidRDefault="007D3729" w:rsidP="000C6B37">
      <w:pPr>
        <w:spacing w:after="0" w:line="276" w:lineRule="auto"/>
        <w:jc w:val="both"/>
        <w:rPr>
          <w:rFonts w:eastAsia="Times New Roman" w:cs="Arial"/>
          <w:color w:val="000000" w:themeColor="text1"/>
          <w:szCs w:val="24"/>
          <w:lang w:eastAsia="es-MX"/>
        </w:rPr>
      </w:pPr>
      <w:r w:rsidRPr="002740EA">
        <w:rPr>
          <w:rFonts w:eastAsia="Times New Roman" w:cs="Arial"/>
          <w:iCs/>
          <w:color w:val="000000" w:themeColor="text1"/>
          <w:szCs w:val="24"/>
          <w:lang w:eastAsia="es-MX"/>
        </w:rPr>
        <w:lastRenderedPageBreak/>
        <w:t>No obstante,</w:t>
      </w:r>
      <w:r w:rsidR="004948B6" w:rsidRPr="002740EA">
        <w:rPr>
          <w:rFonts w:eastAsia="Times New Roman" w:cs="Arial"/>
          <w:iCs/>
          <w:color w:val="000000" w:themeColor="text1"/>
          <w:szCs w:val="24"/>
          <w:lang w:eastAsia="es-MX"/>
        </w:rPr>
        <w:t xml:space="preserve"> se verificó que </w:t>
      </w:r>
      <w:r w:rsidR="00F97E2F" w:rsidRPr="002740EA">
        <w:rPr>
          <w:rFonts w:eastAsia="Times New Roman" w:cs="Arial"/>
          <w:iCs/>
          <w:color w:val="000000" w:themeColor="text1"/>
          <w:szCs w:val="24"/>
          <w:lang w:eastAsia="es-MX"/>
        </w:rPr>
        <w:t>l</w:t>
      </w:r>
      <w:r w:rsidR="00471189" w:rsidRPr="002740EA">
        <w:rPr>
          <w:rFonts w:eastAsia="Times New Roman" w:cs="Arial"/>
          <w:iCs/>
          <w:color w:val="000000" w:themeColor="text1"/>
          <w:szCs w:val="24"/>
          <w:lang w:eastAsia="es-MX"/>
        </w:rPr>
        <w:t>a UQROO cuenta</w:t>
      </w:r>
      <w:r w:rsidRPr="002740EA">
        <w:rPr>
          <w:rFonts w:eastAsia="Times New Roman" w:cs="Arial"/>
          <w:iCs/>
          <w:color w:val="000000" w:themeColor="text1"/>
          <w:szCs w:val="24"/>
          <w:lang w:eastAsia="es-MX"/>
        </w:rPr>
        <w:t xml:space="preserve"> con un proyecto de elaboración</w:t>
      </w:r>
      <w:r w:rsidR="00087F8B" w:rsidRPr="002740EA">
        <w:rPr>
          <w:rFonts w:eastAsia="Times New Roman" w:cs="Arial"/>
          <w:iCs/>
          <w:color w:val="000000" w:themeColor="text1"/>
          <w:szCs w:val="24"/>
          <w:lang w:eastAsia="es-MX"/>
        </w:rPr>
        <w:t xml:space="preserve"> de sus propios códigos</w:t>
      </w:r>
      <w:r w:rsidRPr="002740EA">
        <w:rPr>
          <w:rFonts w:eastAsia="Times New Roman" w:cs="Arial"/>
          <w:iCs/>
          <w:color w:val="000000" w:themeColor="text1"/>
          <w:szCs w:val="24"/>
          <w:lang w:eastAsia="es-MX"/>
        </w:rPr>
        <w:t xml:space="preserve"> de conducta</w:t>
      </w:r>
      <w:r w:rsidR="00087F8B" w:rsidRPr="002740EA">
        <w:rPr>
          <w:rFonts w:eastAsia="Times New Roman" w:cs="Arial"/>
          <w:iCs/>
          <w:color w:val="000000" w:themeColor="text1"/>
          <w:szCs w:val="24"/>
          <w:lang w:eastAsia="es-MX"/>
        </w:rPr>
        <w:t xml:space="preserve"> y de ética</w:t>
      </w:r>
      <w:r w:rsidRPr="002740EA">
        <w:rPr>
          <w:rFonts w:eastAsia="Times New Roman" w:cs="Arial"/>
          <w:iCs/>
          <w:color w:val="000000" w:themeColor="text1"/>
          <w:szCs w:val="24"/>
          <w:lang w:eastAsia="es-MX"/>
        </w:rPr>
        <w:t xml:space="preserve">, </w:t>
      </w:r>
      <w:r w:rsidR="004C7CA9" w:rsidRPr="002740EA">
        <w:rPr>
          <w:rFonts w:eastAsia="Times New Roman" w:cs="Arial"/>
          <w:iCs/>
          <w:color w:val="000000" w:themeColor="text1"/>
          <w:szCs w:val="24"/>
          <w:lang w:eastAsia="es-MX"/>
        </w:rPr>
        <w:t xml:space="preserve">al respecto estos </w:t>
      </w:r>
      <w:r w:rsidRPr="002740EA">
        <w:rPr>
          <w:rFonts w:eastAsia="Times New Roman" w:cs="Arial"/>
          <w:iCs/>
          <w:color w:val="000000" w:themeColor="text1"/>
          <w:szCs w:val="24"/>
          <w:lang w:eastAsia="es-MX"/>
        </w:rPr>
        <w:t>aún se encuentra</w:t>
      </w:r>
      <w:r w:rsidR="00514CB4" w:rsidRPr="002740EA">
        <w:rPr>
          <w:rFonts w:eastAsia="Times New Roman" w:cs="Arial"/>
          <w:iCs/>
          <w:color w:val="000000" w:themeColor="text1"/>
          <w:szCs w:val="24"/>
          <w:lang w:eastAsia="es-MX"/>
        </w:rPr>
        <w:t>n</w:t>
      </w:r>
      <w:r w:rsidRPr="002740EA">
        <w:rPr>
          <w:rFonts w:eastAsia="Times New Roman" w:cs="Arial"/>
          <w:iCs/>
          <w:color w:val="000000" w:themeColor="text1"/>
          <w:szCs w:val="24"/>
          <w:lang w:eastAsia="es-MX"/>
        </w:rPr>
        <w:t xml:space="preserve"> en proceso de revisión.</w:t>
      </w:r>
      <w:r w:rsidRPr="002740EA">
        <w:rPr>
          <w:rFonts w:eastAsia="Times New Roman" w:cs="Arial"/>
          <w:color w:val="000000" w:themeColor="text1"/>
          <w:szCs w:val="24"/>
          <w:lang w:eastAsia="es-MX"/>
        </w:rPr>
        <w:t xml:space="preserve"> </w:t>
      </w:r>
    </w:p>
    <w:p w14:paraId="798DFD32" w14:textId="77777777" w:rsidR="002A3EE6" w:rsidRPr="002740EA" w:rsidRDefault="002A3EE6" w:rsidP="000C6B37">
      <w:pPr>
        <w:spacing w:after="0" w:line="276" w:lineRule="auto"/>
        <w:jc w:val="both"/>
        <w:rPr>
          <w:rFonts w:eastAsia="Times New Roman" w:cs="Arial"/>
          <w:b/>
          <w:color w:val="000000" w:themeColor="text1"/>
          <w:szCs w:val="24"/>
          <w:lang w:eastAsia="es-MX"/>
        </w:rPr>
      </w:pPr>
    </w:p>
    <w:p w14:paraId="0540F1CD" w14:textId="112B54BE" w:rsidR="007D3729" w:rsidRPr="002740EA" w:rsidRDefault="007D3729" w:rsidP="000C6B37">
      <w:pPr>
        <w:spacing w:after="0" w:line="276" w:lineRule="auto"/>
        <w:jc w:val="both"/>
        <w:rPr>
          <w:rFonts w:eastAsia="Times New Roman" w:cs="Arial"/>
          <w:color w:val="000000" w:themeColor="text1"/>
          <w:szCs w:val="24"/>
          <w:lang w:eastAsia="es-MX"/>
        </w:rPr>
      </w:pPr>
      <w:r w:rsidRPr="002740EA">
        <w:rPr>
          <w:rFonts w:eastAsia="Times New Roman" w:cs="Arial"/>
          <w:color w:val="000000" w:themeColor="text1"/>
          <w:szCs w:val="24"/>
          <w:lang w:eastAsia="es-MX"/>
        </w:rPr>
        <w:t xml:space="preserve">Asimismo, </w:t>
      </w:r>
      <w:r w:rsidR="003815E4" w:rsidRPr="002740EA">
        <w:rPr>
          <w:rFonts w:eastAsia="Times New Roman" w:cs="Arial"/>
          <w:color w:val="000000" w:themeColor="text1"/>
          <w:szCs w:val="24"/>
          <w:lang w:eastAsia="es-MX"/>
        </w:rPr>
        <w:t>se verific</w:t>
      </w:r>
      <w:r w:rsidR="00AE46B3" w:rsidRPr="002740EA">
        <w:rPr>
          <w:rFonts w:eastAsia="Times New Roman" w:cs="Arial"/>
          <w:color w:val="000000" w:themeColor="text1"/>
          <w:szCs w:val="24"/>
          <w:lang w:eastAsia="es-MX"/>
        </w:rPr>
        <w:t>ó que</w:t>
      </w:r>
      <w:r w:rsidR="003815E4" w:rsidRPr="002740EA">
        <w:rPr>
          <w:rFonts w:eastAsia="Times New Roman" w:cs="Arial"/>
          <w:color w:val="000000" w:themeColor="text1"/>
          <w:szCs w:val="24"/>
          <w:lang w:eastAsia="es-MX"/>
        </w:rPr>
        <w:t xml:space="preserve"> durante el </w:t>
      </w:r>
      <w:r w:rsidRPr="002740EA">
        <w:rPr>
          <w:rFonts w:eastAsia="Times New Roman" w:cs="Arial"/>
          <w:color w:val="000000" w:themeColor="text1"/>
          <w:szCs w:val="24"/>
          <w:lang w:eastAsia="es-MX"/>
        </w:rPr>
        <w:t>Ejercicio Fiscal 2020, la UQROO efectuó diversas actividades para la difusión de una política de integridad</w:t>
      </w:r>
      <w:r w:rsidRPr="002740EA">
        <w:rPr>
          <w:rFonts w:cs="Arial"/>
          <w:szCs w:val="24"/>
        </w:rPr>
        <w:t xml:space="preserve">. </w:t>
      </w:r>
      <w:r w:rsidRPr="002740EA">
        <w:rPr>
          <w:rFonts w:eastAsia="Times New Roman" w:cs="Arial"/>
          <w:color w:val="000000" w:themeColor="text1"/>
          <w:szCs w:val="24"/>
          <w:lang w:eastAsia="es-MX"/>
        </w:rPr>
        <w:t>Estas actividades se ilustran mediante la figura 2.</w:t>
      </w:r>
    </w:p>
    <w:p w14:paraId="2788F26E" w14:textId="5A3CD397" w:rsidR="007D3729" w:rsidRPr="002740EA" w:rsidRDefault="007D3729" w:rsidP="000C6B37">
      <w:pPr>
        <w:spacing w:after="0" w:line="276" w:lineRule="auto"/>
        <w:jc w:val="both"/>
        <w:rPr>
          <w:rFonts w:eastAsia="Times New Roman" w:cs="Arial"/>
          <w:color w:val="000000" w:themeColor="text1"/>
          <w:szCs w:val="24"/>
          <w:lang w:eastAsia="es-MX"/>
        </w:rPr>
      </w:pPr>
    </w:p>
    <w:p w14:paraId="6A8E2297" w14:textId="77777777" w:rsidR="00FC56C7" w:rsidRPr="002740EA" w:rsidRDefault="00FC56C7" w:rsidP="000C6B37">
      <w:pPr>
        <w:spacing w:after="0" w:line="276" w:lineRule="auto"/>
        <w:jc w:val="both"/>
        <w:rPr>
          <w:rFonts w:eastAsia="Times New Roman" w:cs="Arial"/>
          <w:color w:val="000000" w:themeColor="text1"/>
          <w:szCs w:val="24"/>
          <w:lang w:eastAsia="es-MX"/>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D3729" w:rsidRPr="002740EA" w14:paraId="028A6E2F" w14:textId="77777777" w:rsidTr="001213D4">
        <w:tc>
          <w:tcPr>
            <w:tcW w:w="5000" w:type="pct"/>
          </w:tcPr>
          <w:p w14:paraId="4BC93F33" w14:textId="77777777" w:rsidR="007D3729" w:rsidRPr="002740EA" w:rsidRDefault="007D3729" w:rsidP="000C6B37">
            <w:pPr>
              <w:spacing w:line="360" w:lineRule="auto"/>
              <w:ind w:left="708" w:hanging="708"/>
              <w:jc w:val="center"/>
              <w:rPr>
                <w:rFonts w:eastAsia="Times New Roman" w:cs="Arial"/>
                <w:b/>
                <w:color w:val="000000" w:themeColor="text1"/>
                <w:szCs w:val="18"/>
              </w:rPr>
            </w:pPr>
            <w:r w:rsidRPr="002740EA">
              <w:rPr>
                <w:rFonts w:eastAsia="Times New Roman" w:cs="Arial"/>
                <w:b/>
                <w:color w:val="000000" w:themeColor="text1"/>
                <w:sz w:val="20"/>
                <w:szCs w:val="14"/>
              </w:rPr>
              <w:t>Figura 2. Acciones realizadas por la UQROO, para difundir una Política de Integridad.</w:t>
            </w:r>
          </w:p>
        </w:tc>
      </w:tr>
      <w:tr w:rsidR="007D3729" w:rsidRPr="002740EA" w14:paraId="228820FD" w14:textId="77777777" w:rsidTr="001213D4">
        <w:tc>
          <w:tcPr>
            <w:tcW w:w="5000" w:type="pct"/>
          </w:tcPr>
          <w:p w14:paraId="13B1AEB5" w14:textId="77777777" w:rsidR="007D3729" w:rsidRPr="002740EA" w:rsidRDefault="007D3729" w:rsidP="000C6B37">
            <w:pPr>
              <w:spacing w:line="360" w:lineRule="auto"/>
              <w:jc w:val="center"/>
              <w:rPr>
                <w:rFonts w:eastAsia="Times New Roman" w:cs="Arial"/>
                <w:noProof/>
                <w:color w:val="000000" w:themeColor="text1"/>
                <w:sz w:val="18"/>
                <w:szCs w:val="18"/>
              </w:rPr>
            </w:pPr>
            <w:r w:rsidRPr="002740EA">
              <w:rPr>
                <w:rFonts w:eastAsia="Times New Roman" w:cs="Arial"/>
                <w:noProof/>
                <w:color w:val="000000" w:themeColor="text1"/>
                <w:sz w:val="18"/>
                <w:szCs w:val="18"/>
              </w:rPr>
              <w:drawing>
                <wp:inline distT="0" distB="0" distL="0" distR="0" wp14:anchorId="20708B90" wp14:editId="3DE8E3BC">
                  <wp:extent cx="5405283" cy="2711302"/>
                  <wp:effectExtent l="0" t="0" r="508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699" b="7403"/>
                          <a:stretch/>
                        </pic:blipFill>
                        <pic:spPr bwMode="auto">
                          <a:xfrm>
                            <a:off x="0" y="0"/>
                            <a:ext cx="5414025" cy="2715687"/>
                          </a:xfrm>
                          <a:prstGeom prst="rect">
                            <a:avLst/>
                          </a:prstGeom>
                          <a:ln>
                            <a:noFill/>
                          </a:ln>
                          <a:extLst>
                            <a:ext uri="{53640926-AAD7-44D8-BBD7-CCE9431645EC}">
                              <a14:shadowObscured xmlns:a14="http://schemas.microsoft.com/office/drawing/2010/main"/>
                            </a:ext>
                          </a:extLst>
                        </pic:spPr>
                      </pic:pic>
                    </a:graphicData>
                  </a:graphic>
                </wp:inline>
              </w:drawing>
            </w:r>
          </w:p>
        </w:tc>
      </w:tr>
      <w:tr w:rsidR="007D3729" w:rsidRPr="002740EA" w14:paraId="7C1CF2D5" w14:textId="77777777" w:rsidTr="001213D4">
        <w:tc>
          <w:tcPr>
            <w:tcW w:w="5000" w:type="pct"/>
          </w:tcPr>
          <w:p w14:paraId="5B663C1C" w14:textId="77777777" w:rsidR="007D3729" w:rsidRPr="00536110" w:rsidRDefault="007D3729" w:rsidP="000C6B37">
            <w:pPr>
              <w:spacing w:line="360" w:lineRule="auto"/>
              <w:jc w:val="center"/>
              <w:rPr>
                <w:rFonts w:eastAsia="Times New Roman" w:cs="Arial"/>
                <w:color w:val="000000" w:themeColor="text1"/>
                <w:sz w:val="16"/>
                <w:szCs w:val="18"/>
              </w:rPr>
            </w:pPr>
            <w:r w:rsidRPr="00536110">
              <w:rPr>
                <w:rFonts w:eastAsia="Times New Roman" w:cs="Arial"/>
                <w:color w:val="000000" w:themeColor="text1"/>
                <w:sz w:val="16"/>
                <w:szCs w:val="18"/>
              </w:rPr>
              <w:t>Fuente: elaborado por la ASEQROO, con base en información proporcionada por la UQROO.</w:t>
            </w:r>
          </w:p>
        </w:tc>
      </w:tr>
    </w:tbl>
    <w:p w14:paraId="494667DA" w14:textId="77777777" w:rsidR="00FC56C7" w:rsidRPr="002740EA" w:rsidRDefault="00FC56C7" w:rsidP="000C6B37">
      <w:pPr>
        <w:spacing w:after="0" w:line="276" w:lineRule="auto"/>
        <w:jc w:val="both"/>
        <w:rPr>
          <w:rFonts w:eastAsia="Times New Roman" w:cs="Arial"/>
          <w:color w:val="000000" w:themeColor="text1"/>
          <w:szCs w:val="24"/>
          <w:lang w:eastAsia="es-MX"/>
        </w:rPr>
      </w:pPr>
    </w:p>
    <w:p w14:paraId="53459B22" w14:textId="77777777" w:rsidR="00FC56C7" w:rsidRPr="002740EA" w:rsidRDefault="00FC56C7" w:rsidP="000C6B37">
      <w:pPr>
        <w:spacing w:after="0" w:line="276" w:lineRule="auto"/>
        <w:jc w:val="both"/>
        <w:rPr>
          <w:rFonts w:eastAsia="Times New Roman" w:cs="Arial"/>
          <w:color w:val="000000" w:themeColor="text1"/>
          <w:szCs w:val="24"/>
          <w:lang w:eastAsia="es-MX"/>
        </w:rPr>
      </w:pPr>
    </w:p>
    <w:p w14:paraId="7D9CCE76" w14:textId="6AE88209" w:rsidR="007D3729" w:rsidRPr="002740EA" w:rsidRDefault="007D3729" w:rsidP="000C6B37">
      <w:pPr>
        <w:spacing w:after="0" w:line="276" w:lineRule="auto"/>
        <w:jc w:val="both"/>
        <w:rPr>
          <w:rFonts w:eastAsia="Times New Roman" w:cs="Arial"/>
          <w:color w:val="000000" w:themeColor="text1"/>
          <w:szCs w:val="24"/>
          <w:lang w:eastAsia="es-MX"/>
        </w:rPr>
      </w:pPr>
      <w:r w:rsidRPr="002740EA">
        <w:rPr>
          <w:rFonts w:eastAsia="Times New Roman" w:cs="Arial"/>
          <w:color w:val="000000" w:themeColor="text1"/>
          <w:szCs w:val="24"/>
          <w:lang w:eastAsia="es-MX"/>
        </w:rPr>
        <w:t>Como evidencia de lo antes señalado, la UQROO proporcionó los siguientes documentos:</w:t>
      </w:r>
    </w:p>
    <w:p w14:paraId="74D1720D" w14:textId="77777777" w:rsidR="00FC56C7" w:rsidRPr="002740EA" w:rsidRDefault="00FC56C7" w:rsidP="000C6B37">
      <w:pPr>
        <w:spacing w:after="0" w:line="276" w:lineRule="auto"/>
        <w:jc w:val="both"/>
        <w:rPr>
          <w:rFonts w:eastAsia="Times New Roman" w:cs="Arial"/>
          <w:color w:val="000000" w:themeColor="text1"/>
          <w:szCs w:val="24"/>
          <w:lang w:eastAsia="es-MX"/>
        </w:rPr>
      </w:pPr>
    </w:p>
    <w:p w14:paraId="03A97317" w14:textId="77777777" w:rsidR="007D3729" w:rsidRPr="002740EA" w:rsidRDefault="007D3729" w:rsidP="000C6B37">
      <w:pPr>
        <w:pStyle w:val="Prrafodelista"/>
        <w:numPr>
          <w:ilvl w:val="0"/>
          <w:numId w:val="7"/>
        </w:numPr>
        <w:spacing w:after="0"/>
        <w:jc w:val="both"/>
        <w:rPr>
          <w:rFonts w:eastAsia="Times New Roman" w:cs="Arial"/>
          <w:color w:val="000000" w:themeColor="text1"/>
          <w:szCs w:val="24"/>
          <w:lang w:eastAsia="es-MX"/>
        </w:rPr>
      </w:pPr>
      <w:r w:rsidRPr="002740EA">
        <w:rPr>
          <w:rFonts w:cs="Arial"/>
          <w:szCs w:val="24"/>
        </w:rPr>
        <w:t>Borradores de los Códigos de Ética y Conducta (los cuales están en revisión).</w:t>
      </w:r>
    </w:p>
    <w:p w14:paraId="16B0F454" w14:textId="77777777" w:rsidR="007D3729" w:rsidRPr="002740EA" w:rsidRDefault="007D3729" w:rsidP="000C6B37">
      <w:pPr>
        <w:pStyle w:val="Prrafodelista"/>
        <w:numPr>
          <w:ilvl w:val="0"/>
          <w:numId w:val="7"/>
        </w:numPr>
        <w:spacing w:after="0"/>
        <w:jc w:val="both"/>
        <w:rPr>
          <w:rFonts w:eastAsia="Times New Roman" w:cs="Arial"/>
          <w:color w:val="000000" w:themeColor="text1"/>
          <w:szCs w:val="24"/>
          <w:lang w:eastAsia="es-MX"/>
        </w:rPr>
      </w:pPr>
      <w:r w:rsidRPr="002740EA">
        <w:rPr>
          <w:rFonts w:eastAsia="Times New Roman" w:cs="Arial"/>
          <w:color w:val="000000" w:themeColor="text1"/>
          <w:szCs w:val="24"/>
          <w:lang w:eastAsia="es-MX"/>
        </w:rPr>
        <w:t>Banners de difusión de valores en la Universidad de Quintana Roo.</w:t>
      </w:r>
    </w:p>
    <w:p w14:paraId="1D99EC1F" w14:textId="77777777" w:rsidR="007D3729" w:rsidRPr="002740EA" w:rsidRDefault="007D3729" w:rsidP="000C6B37">
      <w:pPr>
        <w:pStyle w:val="Prrafodelista"/>
        <w:numPr>
          <w:ilvl w:val="0"/>
          <w:numId w:val="7"/>
        </w:numPr>
        <w:spacing w:after="0"/>
        <w:jc w:val="both"/>
        <w:rPr>
          <w:rFonts w:eastAsia="Times New Roman" w:cs="Arial"/>
          <w:color w:val="000000" w:themeColor="text1"/>
          <w:szCs w:val="24"/>
          <w:lang w:eastAsia="es-MX"/>
        </w:rPr>
      </w:pPr>
      <w:r w:rsidRPr="002740EA">
        <w:rPr>
          <w:rFonts w:eastAsia="Times New Roman" w:cs="Arial"/>
          <w:color w:val="000000" w:themeColor="text1"/>
          <w:szCs w:val="24"/>
          <w:lang w:eastAsia="es-MX"/>
        </w:rPr>
        <w:t>Carta Compromiso.</w:t>
      </w:r>
    </w:p>
    <w:p w14:paraId="421E668A" w14:textId="19862BA5" w:rsidR="00FC56C7" w:rsidRPr="002740EA" w:rsidRDefault="00FC56C7" w:rsidP="000C6B37">
      <w:pPr>
        <w:spacing w:after="0" w:line="276" w:lineRule="auto"/>
        <w:jc w:val="both"/>
        <w:rPr>
          <w:rFonts w:eastAsia="Times New Roman" w:cs="Arial"/>
          <w:color w:val="000000" w:themeColor="text1"/>
          <w:szCs w:val="24"/>
          <w:lang w:eastAsia="es-MX"/>
        </w:rPr>
      </w:pPr>
    </w:p>
    <w:p w14:paraId="7A069809" w14:textId="276E00B8" w:rsidR="007D3729" w:rsidRPr="002740EA" w:rsidRDefault="007D3729" w:rsidP="000C6B37">
      <w:pPr>
        <w:spacing w:after="0" w:line="276" w:lineRule="auto"/>
        <w:jc w:val="both"/>
        <w:rPr>
          <w:rFonts w:cs="Arial"/>
          <w:szCs w:val="24"/>
        </w:rPr>
      </w:pPr>
      <w:r w:rsidRPr="002740EA">
        <w:rPr>
          <w:rFonts w:eastAsia="Times New Roman" w:cs="Arial"/>
          <w:color w:val="000000" w:themeColor="text1"/>
          <w:szCs w:val="24"/>
          <w:lang w:eastAsia="es-MX"/>
        </w:rPr>
        <w:lastRenderedPageBreak/>
        <w:t>Posteriormente, c</w:t>
      </w:r>
      <w:r w:rsidRPr="002740EA">
        <w:rPr>
          <w:rFonts w:cs="Arial"/>
          <w:szCs w:val="24"/>
        </w:rPr>
        <w:t xml:space="preserve">on la finalidad de verificar la correcta difusión y comprobar que los códigos de conducta y de ética, y las reglas de integridad, son de conocimiento del personal de la Universidad, se aplicó una encuesta en línea a través del enlace: </w:t>
      </w:r>
      <w:hyperlink r:id="rId10" w:tgtFrame="_blank" w:history="1">
        <w:r w:rsidRPr="002740EA">
          <w:rPr>
            <w:rStyle w:val="Hipervnculo"/>
            <w:rFonts w:cs="Arial"/>
            <w:bCs/>
            <w:color w:val="auto"/>
            <w:szCs w:val="24"/>
            <w:u w:val="none"/>
            <w:shd w:val="clear" w:color="auto" w:fill="FFFFFF"/>
          </w:rPr>
          <w:t>https://forms.gle/iMjrP3xpJic1ah4M7</w:t>
        </w:r>
      </w:hyperlink>
      <w:r w:rsidRPr="002740EA">
        <w:rPr>
          <w:rFonts w:cs="Arial"/>
          <w:bCs/>
          <w:szCs w:val="24"/>
          <w:shd w:val="clear" w:color="auto" w:fill="FFFFFF"/>
        </w:rPr>
        <w:t>. La</w:t>
      </w:r>
      <w:r w:rsidRPr="002740EA">
        <w:rPr>
          <w:rFonts w:eastAsia="Times New Roman" w:cs="Arial"/>
          <w:color w:val="000000" w:themeColor="text1"/>
          <w:szCs w:val="24"/>
          <w:lang w:eastAsia="es-MX"/>
        </w:rPr>
        <w:t xml:space="preserve"> encuesta fue dirigida a 314 servidores públicos, pertenecientes al área administrativa de la Universidad de Quintana Roo, obtenie</w:t>
      </w:r>
      <w:r w:rsidR="00EF5D85" w:rsidRPr="002740EA">
        <w:rPr>
          <w:rFonts w:eastAsia="Times New Roman" w:cs="Arial"/>
          <w:color w:val="000000" w:themeColor="text1"/>
          <w:szCs w:val="24"/>
          <w:lang w:eastAsia="es-MX"/>
        </w:rPr>
        <w:t xml:space="preserve">ndo 200 respuestas, </w:t>
      </w:r>
      <w:r w:rsidRPr="002740EA">
        <w:rPr>
          <w:rFonts w:eastAsia="Times New Roman" w:cs="Arial"/>
          <w:color w:val="000000" w:themeColor="text1"/>
          <w:szCs w:val="24"/>
          <w:lang w:eastAsia="es-MX"/>
        </w:rPr>
        <w:t>que representan el 63.6 %</w:t>
      </w:r>
      <w:r w:rsidR="00EF5D85" w:rsidRPr="002740EA">
        <w:rPr>
          <w:rFonts w:eastAsia="Times New Roman" w:cs="Arial"/>
          <w:color w:val="000000" w:themeColor="text1"/>
          <w:szCs w:val="24"/>
          <w:lang w:eastAsia="es-MX"/>
        </w:rPr>
        <w:t xml:space="preserve"> de la poblaci</w:t>
      </w:r>
      <w:r w:rsidR="00C04DB6" w:rsidRPr="002740EA">
        <w:rPr>
          <w:rFonts w:eastAsia="Times New Roman" w:cs="Arial"/>
          <w:color w:val="000000" w:themeColor="text1"/>
          <w:szCs w:val="24"/>
          <w:lang w:eastAsia="es-MX"/>
        </w:rPr>
        <w:t>ón muestreada</w:t>
      </w:r>
      <w:r w:rsidRPr="002740EA">
        <w:rPr>
          <w:rFonts w:eastAsia="Times New Roman" w:cs="Arial"/>
          <w:color w:val="000000" w:themeColor="text1"/>
          <w:szCs w:val="24"/>
          <w:lang w:eastAsia="es-MX"/>
        </w:rPr>
        <w:t xml:space="preserve">. </w:t>
      </w:r>
      <w:r w:rsidRPr="002740EA">
        <w:rPr>
          <w:rFonts w:cs="Arial"/>
          <w:szCs w:val="24"/>
        </w:rPr>
        <w:t>A continuación, se presentan los resultados de la Encuesta de Cumplimiento de Política de Integridad.</w:t>
      </w:r>
    </w:p>
    <w:p w14:paraId="164CF079" w14:textId="77777777" w:rsidR="0058408A" w:rsidRPr="002740EA" w:rsidRDefault="0058408A" w:rsidP="000C6B37">
      <w:pPr>
        <w:spacing w:after="0" w:line="276" w:lineRule="auto"/>
        <w:jc w:val="both"/>
        <w:rPr>
          <w:rFonts w:cs="Arial"/>
          <w:szCs w:val="24"/>
        </w:rPr>
      </w:pPr>
    </w:p>
    <w:p w14:paraId="22CBC4EB" w14:textId="12180047" w:rsidR="007D3729" w:rsidRPr="002740EA" w:rsidRDefault="007D3729" w:rsidP="000C6B37">
      <w:pPr>
        <w:spacing w:after="0" w:line="276" w:lineRule="auto"/>
        <w:jc w:val="both"/>
        <w:rPr>
          <w:rFonts w:cs="Arial"/>
          <w:szCs w:val="24"/>
        </w:rPr>
      </w:pPr>
      <w:r w:rsidRPr="002740EA">
        <w:rPr>
          <w:rFonts w:cs="Arial"/>
          <w:szCs w:val="24"/>
        </w:rPr>
        <w:t>Con relación al conocimiento de los Códigos de Ética, de Conducta y Reglas de Integridad por parte de los servidores públicos, se constató lo siguiente:</w:t>
      </w:r>
    </w:p>
    <w:p w14:paraId="3DCF5DCA" w14:textId="48FC8FB4" w:rsidR="00CB1FE2" w:rsidRPr="002740EA" w:rsidRDefault="00CB1FE2" w:rsidP="000C6B37">
      <w:pPr>
        <w:spacing w:after="0" w:line="276" w:lineRule="auto"/>
        <w:jc w:val="both"/>
        <w:rPr>
          <w:rFonts w:cs="Arial"/>
          <w:szCs w:val="2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D3729" w:rsidRPr="002740EA" w14:paraId="04360E9D" w14:textId="77777777" w:rsidTr="00EA1F30">
        <w:tc>
          <w:tcPr>
            <w:tcW w:w="5000" w:type="pct"/>
            <w:shd w:val="clear" w:color="auto" w:fill="DEEAF6" w:themeFill="accent1" w:themeFillTint="33"/>
            <w:vAlign w:val="center"/>
          </w:tcPr>
          <w:p w14:paraId="11870777" w14:textId="77777777" w:rsidR="007D3729" w:rsidRPr="002740EA" w:rsidRDefault="007D3729" w:rsidP="000C6B37">
            <w:pPr>
              <w:spacing w:line="276" w:lineRule="auto"/>
              <w:jc w:val="center"/>
              <w:rPr>
                <w:rFonts w:eastAsia="Times New Roman" w:cs="Arial"/>
                <w:color w:val="000000" w:themeColor="text1"/>
                <w:szCs w:val="24"/>
              </w:rPr>
            </w:pPr>
            <w:r w:rsidRPr="002740EA">
              <w:rPr>
                <w:rFonts w:eastAsia="Times New Roman" w:cs="Arial"/>
                <w:color w:val="000000" w:themeColor="text1"/>
                <w:shd w:val="clear" w:color="auto" w:fill="DEEAF6" w:themeFill="accent1" w:themeFillTint="33"/>
              </w:rPr>
              <w:t>Figura 3. “Resultados de la encuesta de difusión de política de integridad</w:t>
            </w:r>
            <w:r w:rsidRPr="002740EA">
              <w:rPr>
                <w:rFonts w:eastAsia="Times New Roman" w:cs="Arial"/>
                <w:color w:val="000000" w:themeColor="text1"/>
                <w:szCs w:val="24"/>
              </w:rPr>
              <w:t>”.</w:t>
            </w:r>
          </w:p>
        </w:tc>
      </w:tr>
      <w:tr w:rsidR="007D3729" w:rsidRPr="002740EA" w14:paraId="048AB85A" w14:textId="77777777" w:rsidTr="00EA1F30">
        <w:tc>
          <w:tcPr>
            <w:tcW w:w="5000" w:type="pct"/>
            <w:vAlign w:val="center"/>
          </w:tcPr>
          <w:p w14:paraId="28DB6139" w14:textId="77777777" w:rsidR="007D3729" w:rsidRPr="002740EA" w:rsidRDefault="007D3729" w:rsidP="000C6B37">
            <w:pPr>
              <w:spacing w:line="276" w:lineRule="auto"/>
              <w:jc w:val="center"/>
              <w:rPr>
                <w:noProof/>
                <w:sz w:val="18"/>
                <w:szCs w:val="18"/>
              </w:rPr>
            </w:pPr>
          </w:p>
          <w:p w14:paraId="032D866D" w14:textId="77777777" w:rsidR="007D3729" w:rsidRPr="002740EA" w:rsidRDefault="007D3729" w:rsidP="004126C6">
            <w:pPr>
              <w:spacing w:line="276" w:lineRule="auto"/>
              <w:jc w:val="center"/>
              <w:rPr>
                <w:rFonts w:eastAsia="Times New Roman" w:cs="Arial"/>
                <w:color w:val="000000" w:themeColor="text1"/>
                <w:sz w:val="18"/>
                <w:szCs w:val="18"/>
              </w:rPr>
            </w:pPr>
            <w:r w:rsidRPr="002740EA">
              <w:rPr>
                <w:noProof/>
                <w:sz w:val="18"/>
                <w:szCs w:val="18"/>
              </w:rPr>
              <w:drawing>
                <wp:inline distT="0" distB="0" distL="0" distR="0" wp14:anchorId="52F6B01A" wp14:editId="5BEB19C0">
                  <wp:extent cx="5690870" cy="3313216"/>
                  <wp:effectExtent l="0" t="0" r="5080"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860" t="21890" r="3330" b="12035"/>
                          <a:stretch/>
                        </pic:blipFill>
                        <pic:spPr bwMode="auto">
                          <a:xfrm>
                            <a:off x="0" y="0"/>
                            <a:ext cx="5694206" cy="3315158"/>
                          </a:xfrm>
                          <a:prstGeom prst="rect">
                            <a:avLst/>
                          </a:prstGeom>
                          <a:ln>
                            <a:noFill/>
                          </a:ln>
                          <a:extLst>
                            <a:ext uri="{53640926-AAD7-44D8-BBD7-CCE9431645EC}">
                              <a14:shadowObscured xmlns:a14="http://schemas.microsoft.com/office/drawing/2010/main"/>
                            </a:ext>
                          </a:extLst>
                        </pic:spPr>
                      </pic:pic>
                    </a:graphicData>
                  </a:graphic>
                </wp:inline>
              </w:drawing>
            </w:r>
          </w:p>
        </w:tc>
      </w:tr>
      <w:tr w:rsidR="007D3729" w:rsidRPr="002740EA" w14:paraId="18C170EE" w14:textId="77777777" w:rsidTr="00EA1F30">
        <w:trPr>
          <w:trHeight w:val="645"/>
        </w:trPr>
        <w:tc>
          <w:tcPr>
            <w:tcW w:w="5000" w:type="pct"/>
            <w:vAlign w:val="center"/>
          </w:tcPr>
          <w:p w14:paraId="58CF0360" w14:textId="77777777" w:rsidR="007D3729" w:rsidRPr="002740EA" w:rsidRDefault="007D3729" w:rsidP="000C6B37">
            <w:pPr>
              <w:spacing w:line="276" w:lineRule="auto"/>
              <w:jc w:val="center"/>
              <w:rPr>
                <w:rFonts w:eastAsia="Times New Roman" w:cs="Arial"/>
                <w:color w:val="000000" w:themeColor="text1"/>
                <w:sz w:val="18"/>
                <w:szCs w:val="18"/>
              </w:rPr>
            </w:pPr>
            <w:r w:rsidRPr="00536110">
              <w:rPr>
                <w:rFonts w:eastAsia="Times New Roman" w:cs="Arial"/>
                <w:color w:val="000000" w:themeColor="text1"/>
                <w:sz w:val="16"/>
                <w:szCs w:val="18"/>
              </w:rPr>
              <w:t>Fuente: Elaborado por la ASEQROO, con base en la encuesta de difusión de política de integridad.</w:t>
            </w:r>
          </w:p>
        </w:tc>
      </w:tr>
    </w:tbl>
    <w:p w14:paraId="0DEC0F58" w14:textId="77777777" w:rsidR="00FC56C7" w:rsidRPr="002740EA" w:rsidRDefault="00FC56C7" w:rsidP="000C6B37">
      <w:pPr>
        <w:spacing w:after="0" w:line="276" w:lineRule="auto"/>
        <w:jc w:val="both"/>
        <w:rPr>
          <w:rFonts w:cs="Arial"/>
        </w:rPr>
      </w:pPr>
    </w:p>
    <w:p w14:paraId="501616B4" w14:textId="4AA3EDF1" w:rsidR="007D3729" w:rsidRPr="002740EA" w:rsidRDefault="007D3729" w:rsidP="000C6B37">
      <w:pPr>
        <w:spacing w:after="0" w:line="276" w:lineRule="auto"/>
        <w:jc w:val="both"/>
        <w:rPr>
          <w:rFonts w:cs="Arial"/>
          <w:bCs/>
        </w:rPr>
      </w:pPr>
      <w:r w:rsidRPr="002740EA">
        <w:rPr>
          <w:rFonts w:cs="Arial"/>
        </w:rPr>
        <w:t>Respecto a la a</w:t>
      </w:r>
      <w:r w:rsidRPr="002740EA">
        <w:rPr>
          <w:rFonts w:cs="Arial"/>
          <w:bCs/>
        </w:rPr>
        <w:t>preciación del cumplimiento de la Política de Integridad de la UQROO</w:t>
      </w:r>
      <w:r w:rsidR="00445C64" w:rsidRPr="002740EA">
        <w:rPr>
          <w:rFonts w:cs="Arial"/>
          <w:bCs/>
        </w:rPr>
        <w:t>,</w:t>
      </w:r>
      <w:r w:rsidRPr="002740EA">
        <w:rPr>
          <w:rFonts w:cs="Arial"/>
          <w:bCs/>
        </w:rPr>
        <w:t xml:space="preserve"> se tiene lo siguiente:</w:t>
      </w:r>
    </w:p>
    <w:p w14:paraId="1CB62E66" w14:textId="1E99536A" w:rsidR="002E1824" w:rsidRPr="002740EA" w:rsidRDefault="002E1824" w:rsidP="000C6B37">
      <w:pPr>
        <w:spacing w:after="0" w:line="276" w:lineRule="auto"/>
        <w:jc w:val="both"/>
        <w:rPr>
          <w:rFonts w:cs="Arial"/>
        </w:rPr>
      </w:pPr>
    </w:p>
    <w:p w14:paraId="6BB3A476" w14:textId="37F4F8D2" w:rsidR="00FC56C7" w:rsidRPr="002740EA" w:rsidRDefault="00FC56C7" w:rsidP="000C6B37">
      <w:pPr>
        <w:spacing w:after="0" w:line="276" w:lineRule="auto"/>
        <w:jc w:val="both"/>
        <w:rPr>
          <w:rFonts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28"/>
      </w:tblGrid>
      <w:tr w:rsidR="007D3729" w:rsidRPr="002740EA" w14:paraId="7BAE1384" w14:textId="77777777" w:rsidTr="001213D4">
        <w:trPr>
          <w:jc w:val="center"/>
        </w:trPr>
        <w:tc>
          <w:tcPr>
            <w:tcW w:w="8828" w:type="dxa"/>
            <w:shd w:val="clear" w:color="auto" w:fill="FFFFFF" w:themeFill="background1"/>
          </w:tcPr>
          <w:p w14:paraId="7A71D2BA" w14:textId="77777777" w:rsidR="007D3729" w:rsidRPr="002740EA" w:rsidRDefault="007D3729" w:rsidP="000C6B37">
            <w:pPr>
              <w:spacing w:line="276" w:lineRule="auto"/>
              <w:jc w:val="both"/>
              <w:rPr>
                <w:rFonts w:eastAsia="Times New Roman" w:cs="Arial"/>
                <w:color w:val="000000" w:themeColor="text1"/>
                <w:sz w:val="18"/>
                <w:szCs w:val="18"/>
              </w:rPr>
            </w:pPr>
            <w:r w:rsidRPr="002740EA">
              <w:rPr>
                <w:rFonts w:eastAsia="Times New Roman" w:cs="Arial"/>
                <w:b/>
                <w:color w:val="000000" w:themeColor="text1"/>
                <w:szCs w:val="18"/>
              </w:rPr>
              <w:t>Figura 4</w:t>
            </w:r>
            <w:r w:rsidRPr="002740EA">
              <w:rPr>
                <w:rFonts w:eastAsia="Times New Roman" w:cs="Arial"/>
                <w:color w:val="000000" w:themeColor="text1"/>
                <w:sz w:val="18"/>
                <w:szCs w:val="18"/>
              </w:rPr>
              <w:t>.</w:t>
            </w:r>
            <w:r w:rsidRPr="002740EA">
              <w:rPr>
                <w:rFonts w:cs="Arial"/>
                <w:b/>
                <w:bCs/>
              </w:rPr>
              <w:t xml:space="preserve"> ¿Considera que la UQROO propicia en sus colaboradores el cumplimiento de los valores institucionales contenidos en los Códigos de Ética y de Conducta?</w:t>
            </w:r>
          </w:p>
        </w:tc>
      </w:tr>
      <w:tr w:rsidR="007D3729" w:rsidRPr="002740EA" w14:paraId="1F796DA0" w14:textId="77777777" w:rsidTr="001213D4">
        <w:tblPrEx>
          <w:tblCellMar>
            <w:left w:w="70" w:type="dxa"/>
            <w:right w:w="70" w:type="dxa"/>
          </w:tblCellMar>
        </w:tblPrEx>
        <w:trPr>
          <w:jc w:val="center"/>
        </w:trPr>
        <w:tc>
          <w:tcPr>
            <w:tcW w:w="8828" w:type="dxa"/>
            <w:shd w:val="clear" w:color="auto" w:fill="FFFFFF" w:themeFill="background1"/>
          </w:tcPr>
          <w:p w14:paraId="602FA929" w14:textId="77777777" w:rsidR="007D3729" w:rsidRPr="002740EA" w:rsidRDefault="007D3729" w:rsidP="000C6B37">
            <w:pPr>
              <w:jc w:val="both"/>
              <w:rPr>
                <w:rFonts w:eastAsia="Times New Roman" w:cs="Arial"/>
                <w:color w:val="000000" w:themeColor="text1"/>
                <w:sz w:val="18"/>
                <w:szCs w:val="18"/>
              </w:rPr>
            </w:pPr>
            <w:r w:rsidRPr="002740EA">
              <w:rPr>
                <w:noProof/>
              </w:rPr>
              <w:drawing>
                <wp:inline distT="0" distB="0" distL="0" distR="0" wp14:anchorId="0385AE66" wp14:editId="31E1CE38">
                  <wp:extent cx="5605145" cy="2078182"/>
                  <wp:effectExtent l="0" t="0" r="14605" b="1778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D3729" w:rsidRPr="002740EA" w14:paraId="1C58410E" w14:textId="77777777" w:rsidTr="001213D4">
        <w:trPr>
          <w:jc w:val="center"/>
        </w:trPr>
        <w:tc>
          <w:tcPr>
            <w:tcW w:w="8828" w:type="dxa"/>
            <w:shd w:val="clear" w:color="auto" w:fill="FFFFFF" w:themeFill="background1"/>
          </w:tcPr>
          <w:p w14:paraId="1AFE142B" w14:textId="77777777" w:rsidR="00517D55" w:rsidRPr="002740EA" w:rsidRDefault="00517D55" w:rsidP="000C6B37">
            <w:pPr>
              <w:jc w:val="center"/>
              <w:rPr>
                <w:rFonts w:eastAsia="Times New Roman" w:cs="Arial"/>
                <w:color w:val="000000" w:themeColor="text1"/>
                <w:sz w:val="18"/>
                <w:szCs w:val="18"/>
              </w:rPr>
            </w:pPr>
          </w:p>
          <w:p w14:paraId="106F63E7" w14:textId="1C2A39F4" w:rsidR="007D3729" w:rsidRPr="002740EA" w:rsidRDefault="007D3729" w:rsidP="000C6B37">
            <w:pPr>
              <w:jc w:val="center"/>
              <w:rPr>
                <w:rFonts w:eastAsia="Times New Roman" w:cs="Arial"/>
                <w:color w:val="000000" w:themeColor="text1"/>
                <w:sz w:val="18"/>
                <w:szCs w:val="18"/>
              </w:rPr>
            </w:pPr>
            <w:r w:rsidRPr="002740EA">
              <w:rPr>
                <w:rFonts w:eastAsia="Times New Roman" w:cs="Arial"/>
                <w:color w:val="000000" w:themeColor="text1"/>
                <w:sz w:val="18"/>
                <w:szCs w:val="18"/>
              </w:rPr>
              <w:t>Fuente: elaborado por la ASEQROO, con base en los resultados de la encuesta aplicada.</w:t>
            </w:r>
          </w:p>
        </w:tc>
      </w:tr>
    </w:tbl>
    <w:p w14:paraId="465C1057" w14:textId="77777777" w:rsidR="0083283B" w:rsidRPr="002740EA" w:rsidRDefault="0083283B" w:rsidP="000C6B37">
      <w:pPr>
        <w:spacing w:after="0" w:line="276" w:lineRule="auto"/>
        <w:jc w:val="both"/>
        <w:rPr>
          <w:rFonts w:eastAsia="Times New Roman" w:cs="Arial"/>
          <w:szCs w:val="24"/>
          <w:lang w:eastAsia="es-ES"/>
        </w:rPr>
      </w:pPr>
    </w:p>
    <w:p w14:paraId="09FE6BE5" w14:textId="42CD3ABD" w:rsidR="007D3729" w:rsidRPr="002740EA" w:rsidRDefault="007D3729" w:rsidP="000C6B37">
      <w:pPr>
        <w:spacing w:after="0" w:line="276" w:lineRule="auto"/>
        <w:jc w:val="both"/>
        <w:rPr>
          <w:rFonts w:eastAsia="Times New Roman" w:cs="Arial"/>
          <w:szCs w:val="24"/>
          <w:lang w:eastAsia="es-ES"/>
        </w:rPr>
      </w:pPr>
      <w:r w:rsidRPr="002740EA">
        <w:rPr>
          <w:rFonts w:eastAsia="Times New Roman" w:cs="Arial"/>
          <w:szCs w:val="24"/>
          <w:lang w:eastAsia="es-ES"/>
        </w:rPr>
        <w:t xml:space="preserve">Es importante señalar que el resultado de la encuesta es persuasiva más no concluyente; no obstante, nos permite medir parámetros con respecto a la política de integridad. </w:t>
      </w:r>
    </w:p>
    <w:p w14:paraId="5653459E" w14:textId="77777777" w:rsidR="00641B14" w:rsidRPr="002740EA" w:rsidRDefault="00641B14" w:rsidP="000C6B37">
      <w:pPr>
        <w:spacing w:after="0" w:line="276" w:lineRule="auto"/>
        <w:jc w:val="both"/>
        <w:rPr>
          <w:rFonts w:eastAsia="Times New Roman" w:cs="Arial"/>
          <w:szCs w:val="24"/>
          <w:lang w:eastAsia="es-ES"/>
        </w:rPr>
      </w:pPr>
    </w:p>
    <w:p w14:paraId="64323103" w14:textId="5EC1054F" w:rsidR="00EF267E" w:rsidRPr="002740EA" w:rsidRDefault="00EF267E" w:rsidP="000C6B37">
      <w:pPr>
        <w:spacing w:after="0"/>
        <w:jc w:val="both"/>
        <w:rPr>
          <w:rFonts w:cs="Arial"/>
          <w:szCs w:val="24"/>
        </w:rPr>
      </w:pPr>
      <w:r w:rsidRPr="002740EA">
        <w:rPr>
          <w:rFonts w:cs="Arial"/>
          <w:szCs w:val="24"/>
        </w:rPr>
        <w:t>Derivado de</w:t>
      </w:r>
      <w:r w:rsidR="00925FCF" w:rsidRPr="002740EA">
        <w:rPr>
          <w:rFonts w:cs="Arial"/>
          <w:szCs w:val="24"/>
        </w:rPr>
        <w:t>l análisis anterior se determinaron las siguientes observaciones</w:t>
      </w:r>
      <w:r w:rsidRPr="002740EA">
        <w:rPr>
          <w:rFonts w:cs="Arial"/>
          <w:szCs w:val="24"/>
        </w:rPr>
        <w:t>:</w:t>
      </w:r>
    </w:p>
    <w:p w14:paraId="6B653425" w14:textId="77777777" w:rsidR="00925FCF" w:rsidRPr="002740EA" w:rsidRDefault="00925FCF" w:rsidP="000C6B37">
      <w:pPr>
        <w:spacing w:after="0"/>
        <w:jc w:val="both"/>
        <w:rPr>
          <w:rFonts w:cs="Arial"/>
          <w:b/>
          <w:szCs w:val="24"/>
        </w:rPr>
      </w:pPr>
    </w:p>
    <w:p w14:paraId="147AC5D4" w14:textId="02659549" w:rsidR="007D3729" w:rsidRPr="002740EA" w:rsidRDefault="00925FCF" w:rsidP="00574971">
      <w:pPr>
        <w:pStyle w:val="Prrafodelista"/>
        <w:numPr>
          <w:ilvl w:val="0"/>
          <w:numId w:val="5"/>
        </w:numPr>
        <w:spacing w:after="0"/>
        <w:jc w:val="both"/>
        <w:rPr>
          <w:rFonts w:cs="Arial"/>
          <w:color w:val="000000"/>
        </w:rPr>
      </w:pPr>
      <w:r w:rsidRPr="002740EA">
        <w:rPr>
          <w:rFonts w:eastAsia="Times New Roman" w:cs="Arial"/>
          <w:color w:val="000000" w:themeColor="text1"/>
          <w:szCs w:val="24"/>
          <w:lang w:eastAsia="es-MX"/>
        </w:rPr>
        <w:t xml:space="preserve">La Universidad de Quintana Roo </w:t>
      </w:r>
      <w:r w:rsidRPr="002740EA">
        <w:rPr>
          <w:rFonts w:cs="Arial"/>
          <w:szCs w:val="24"/>
        </w:rPr>
        <w:t xml:space="preserve">presentó debilidad </w:t>
      </w:r>
      <w:r w:rsidRPr="002740EA">
        <w:rPr>
          <w:rFonts w:cs="Arial"/>
          <w:bCs/>
          <w:szCs w:val="24"/>
        </w:rPr>
        <w:t>al no contar con un Código de Conducta propio para normar el actuar de los servidores públicos de la institución.</w:t>
      </w:r>
      <w:r w:rsidR="00574971" w:rsidRPr="002740EA">
        <w:rPr>
          <w:rFonts w:cs="Arial"/>
          <w:color w:val="000000"/>
        </w:rPr>
        <w:t xml:space="preserve"> </w:t>
      </w:r>
    </w:p>
    <w:p w14:paraId="0E1CC29A" w14:textId="77777777" w:rsidR="00850583" w:rsidRPr="002740EA" w:rsidRDefault="00850583" w:rsidP="00850583">
      <w:pPr>
        <w:pStyle w:val="Prrafodelista"/>
        <w:spacing w:after="0"/>
        <w:jc w:val="both"/>
        <w:rPr>
          <w:rFonts w:cs="Arial"/>
          <w:color w:val="000000"/>
        </w:rPr>
      </w:pPr>
    </w:p>
    <w:p w14:paraId="4B03495F" w14:textId="00741C36" w:rsidR="007D3729" w:rsidRPr="002740EA" w:rsidRDefault="007D3729" w:rsidP="000C6B37">
      <w:pPr>
        <w:pStyle w:val="Prrafodelista"/>
        <w:numPr>
          <w:ilvl w:val="0"/>
          <w:numId w:val="5"/>
        </w:numPr>
        <w:spacing w:after="0"/>
        <w:jc w:val="both"/>
        <w:rPr>
          <w:rFonts w:cs="Arial"/>
          <w:color w:val="202124"/>
          <w:spacing w:val="2"/>
          <w:szCs w:val="24"/>
          <w:shd w:val="clear" w:color="auto" w:fill="FFFFFF"/>
        </w:rPr>
      </w:pPr>
      <w:r w:rsidRPr="002740EA">
        <w:rPr>
          <w:rFonts w:cs="Arial"/>
          <w:color w:val="202124"/>
          <w:spacing w:val="2"/>
          <w:szCs w:val="24"/>
          <w:shd w:val="clear" w:color="auto" w:fill="FFFFFF"/>
        </w:rPr>
        <w:t>La Universidad de Quintana Roo presentó debilidad en la difusión de los documentos que forman parte de la política de integridad al personal de la institución.</w:t>
      </w:r>
    </w:p>
    <w:p w14:paraId="026A9337" w14:textId="77777777" w:rsidR="00574971" w:rsidRPr="002740EA" w:rsidRDefault="00574971" w:rsidP="00574971">
      <w:pPr>
        <w:spacing w:after="0" w:line="276" w:lineRule="auto"/>
        <w:jc w:val="both"/>
        <w:rPr>
          <w:rFonts w:eastAsia="Times New Roman" w:cs="Arial"/>
          <w:szCs w:val="24"/>
          <w:lang w:eastAsia="es-ES"/>
        </w:rPr>
      </w:pPr>
    </w:p>
    <w:p w14:paraId="44012320" w14:textId="0080E913" w:rsidR="00270DE9" w:rsidRPr="002740EA" w:rsidRDefault="00574971" w:rsidP="00574971">
      <w:pPr>
        <w:spacing w:after="0" w:line="276" w:lineRule="auto"/>
        <w:jc w:val="both"/>
        <w:rPr>
          <w:rFonts w:eastAsia="Times New Roman" w:cs="Arial"/>
          <w:szCs w:val="24"/>
          <w:lang w:eastAsia="es-ES"/>
        </w:rPr>
      </w:pPr>
      <w:r w:rsidRPr="002740EA">
        <w:rPr>
          <w:rFonts w:eastAsia="Times New Roman" w:cs="Arial"/>
          <w:b/>
          <w:szCs w:val="24"/>
          <w:lang w:eastAsia="es-ES"/>
        </w:rPr>
        <w:t>Acción Promovida:</w:t>
      </w:r>
      <w:r w:rsidR="00FB2A66">
        <w:rPr>
          <w:rFonts w:eastAsia="Times New Roman" w:cs="Arial"/>
          <w:szCs w:val="24"/>
          <w:lang w:eastAsia="es-ES"/>
        </w:rPr>
        <w:t xml:space="preserve">   Recomendación de</w:t>
      </w:r>
      <w:r w:rsidRPr="002740EA">
        <w:rPr>
          <w:rFonts w:eastAsia="Times New Roman" w:cs="Arial"/>
          <w:szCs w:val="24"/>
          <w:lang w:eastAsia="es-ES"/>
        </w:rPr>
        <w:t xml:space="preserve"> Desempeño</w:t>
      </w:r>
    </w:p>
    <w:p w14:paraId="10589E23" w14:textId="77777777" w:rsidR="00574971" w:rsidRPr="002740EA" w:rsidRDefault="00574971" w:rsidP="00574971">
      <w:pPr>
        <w:spacing w:after="0" w:line="276" w:lineRule="auto"/>
        <w:jc w:val="both"/>
        <w:rPr>
          <w:rFonts w:eastAsia="Times New Roman" w:cs="Arial"/>
          <w:b/>
          <w:szCs w:val="24"/>
          <w:lang w:eastAsia="es-ES"/>
        </w:rPr>
      </w:pPr>
    </w:p>
    <w:p w14:paraId="4860B5F4" w14:textId="1ADFC211" w:rsidR="00B102D1" w:rsidRPr="00536110" w:rsidRDefault="00270DE9" w:rsidP="00536110">
      <w:pPr>
        <w:spacing w:after="0" w:line="276" w:lineRule="auto"/>
        <w:jc w:val="both"/>
        <w:rPr>
          <w:rFonts w:eastAsia="Times New Roman" w:cs="Arial"/>
          <w:szCs w:val="24"/>
          <w:lang w:eastAsia="es-ES"/>
        </w:rPr>
      </w:pPr>
      <w:r w:rsidRPr="002740EA">
        <w:rPr>
          <w:rFonts w:eastAsia="Times New Roman" w:cs="Arial"/>
          <w:szCs w:val="24"/>
          <w:lang w:eastAsia="es-ES"/>
        </w:rPr>
        <w:t>La Auditoría Superior del Estado de Quintana Roo recomienda a la Universidad de Quintana Roo lo siguiente:</w:t>
      </w:r>
    </w:p>
    <w:p w14:paraId="2A6D6EEF" w14:textId="4FB301A2" w:rsidR="00D00AF9" w:rsidRDefault="00D00AF9" w:rsidP="00D00AF9">
      <w:pPr>
        <w:spacing w:after="0"/>
        <w:rPr>
          <w:rFonts w:eastAsia="Times New Roman" w:cs="Arial"/>
          <w:b/>
          <w:szCs w:val="20"/>
          <w:lang w:eastAsia="es-ES"/>
        </w:rPr>
      </w:pPr>
      <w:r w:rsidRPr="002740EA">
        <w:rPr>
          <w:rFonts w:eastAsia="Times New Roman" w:cs="Arial"/>
          <w:b/>
          <w:szCs w:val="20"/>
          <w:lang w:eastAsia="es-ES"/>
        </w:rPr>
        <w:lastRenderedPageBreak/>
        <w:t>P</w:t>
      </w:r>
      <w:r w:rsidR="00536110">
        <w:rPr>
          <w:rFonts w:eastAsia="Times New Roman" w:cs="Arial"/>
          <w:b/>
          <w:szCs w:val="20"/>
          <w:lang w:eastAsia="es-ES"/>
        </w:rPr>
        <w:t>ara la observación 3</w:t>
      </w:r>
    </w:p>
    <w:p w14:paraId="76C60BB5" w14:textId="77777777" w:rsidR="00536110" w:rsidRPr="002740EA" w:rsidRDefault="00536110" w:rsidP="00D00AF9">
      <w:pPr>
        <w:spacing w:after="0"/>
        <w:rPr>
          <w:rFonts w:eastAsia="Times New Roman" w:cs="Arial"/>
          <w:b/>
          <w:szCs w:val="20"/>
          <w:lang w:eastAsia="es-ES"/>
        </w:rPr>
      </w:pPr>
    </w:p>
    <w:p w14:paraId="28918EFB" w14:textId="25F6AC70" w:rsidR="00574971" w:rsidRPr="002740EA" w:rsidRDefault="00536110" w:rsidP="001B276F">
      <w:pPr>
        <w:autoSpaceDE w:val="0"/>
        <w:autoSpaceDN w:val="0"/>
        <w:adjustRightInd w:val="0"/>
        <w:spacing w:after="0"/>
        <w:jc w:val="both"/>
        <w:rPr>
          <w:rFonts w:cs="Arial"/>
          <w:bCs/>
          <w:szCs w:val="24"/>
        </w:rPr>
      </w:pPr>
      <w:r>
        <w:rPr>
          <w:rFonts w:cs="Arial"/>
          <w:bCs/>
          <w:szCs w:val="24"/>
        </w:rPr>
        <w:t>Elaborar</w:t>
      </w:r>
      <w:r w:rsidR="00574971" w:rsidRPr="002740EA">
        <w:rPr>
          <w:rFonts w:cs="Arial"/>
          <w:bCs/>
          <w:szCs w:val="24"/>
        </w:rPr>
        <w:t xml:space="preserve"> un Código de Conducta propio para normar el actuar de los servidores públicos de la institución.</w:t>
      </w:r>
    </w:p>
    <w:p w14:paraId="211C697F" w14:textId="77777777" w:rsidR="00BA3485" w:rsidRPr="002740EA" w:rsidRDefault="00BA3485" w:rsidP="001B276F">
      <w:pPr>
        <w:autoSpaceDE w:val="0"/>
        <w:autoSpaceDN w:val="0"/>
        <w:adjustRightInd w:val="0"/>
        <w:spacing w:after="0"/>
        <w:jc w:val="both"/>
        <w:rPr>
          <w:rFonts w:cs="Arial"/>
          <w:spacing w:val="2"/>
          <w:szCs w:val="24"/>
          <w:shd w:val="clear" w:color="auto" w:fill="FFFFFF"/>
        </w:rPr>
      </w:pPr>
    </w:p>
    <w:p w14:paraId="0D16102D" w14:textId="207C0325" w:rsidR="00A75AEA" w:rsidRPr="002740EA" w:rsidRDefault="00A75AEA" w:rsidP="00A75AEA">
      <w:pPr>
        <w:spacing w:after="0"/>
        <w:rPr>
          <w:rFonts w:eastAsia="Times New Roman" w:cs="Arial"/>
          <w:b/>
          <w:szCs w:val="20"/>
          <w:lang w:eastAsia="es-ES"/>
        </w:rPr>
      </w:pPr>
      <w:r w:rsidRPr="002740EA">
        <w:rPr>
          <w:rFonts w:eastAsia="Times New Roman" w:cs="Arial"/>
          <w:b/>
          <w:szCs w:val="20"/>
          <w:lang w:eastAsia="es-ES"/>
        </w:rPr>
        <w:t xml:space="preserve">Para la observación </w:t>
      </w:r>
      <w:r w:rsidR="0011798A" w:rsidRPr="002740EA">
        <w:rPr>
          <w:rFonts w:eastAsia="Times New Roman" w:cs="Arial"/>
          <w:b/>
          <w:szCs w:val="20"/>
          <w:lang w:eastAsia="es-ES"/>
        </w:rPr>
        <w:t>4</w:t>
      </w:r>
    </w:p>
    <w:p w14:paraId="5C9B3A89" w14:textId="77777777" w:rsidR="00574971" w:rsidRPr="002740EA" w:rsidRDefault="00574971" w:rsidP="000C6B37">
      <w:pPr>
        <w:pStyle w:val="Prrafodelista"/>
        <w:autoSpaceDE w:val="0"/>
        <w:autoSpaceDN w:val="0"/>
        <w:adjustRightInd w:val="0"/>
        <w:spacing w:after="0"/>
        <w:jc w:val="both"/>
        <w:rPr>
          <w:rFonts w:cs="Arial"/>
          <w:spacing w:val="2"/>
          <w:szCs w:val="24"/>
          <w:shd w:val="clear" w:color="auto" w:fill="FFFFFF"/>
        </w:rPr>
      </w:pPr>
    </w:p>
    <w:p w14:paraId="18C0AB8D" w14:textId="77777777" w:rsidR="00270DE9" w:rsidRPr="002740EA" w:rsidRDefault="00270DE9" w:rsidP="00A75AEA">
      <w:pPr>
        <w:autoSpaceDE w:val="0"/>
        <w:autoSpaceDN w:val="0"/>
        <w:adjustRightInd w:val="0"/>
        <w:spacing w:after="0"/>
        <w:jc w:val="both"/>
        <w:rPr>
          <w:rFonts w:cs="Arial"/>
          <w:szCs w:val="24"/>
        </w:rPr>
      </w:pPr>
      <w:r w:rsidRPr="002740EA">
        <w:rPr>
          <w:rFonts w:cs="Arial"/>
          <w:spacing w:val="2"/>
          <w:szCs w:val="24"/>
          <w:shd w:val="clear" w:color="auto" w:fill="FFFFFF"/>
        </w:rPr>
        <w:t>Establecer un programa de difusión de los documentos que forman parte de la política de integridad al personal de la institución.</w:t>
      </w:r>
    </w:p>
    <w:p w14:paraId="59B8E0E1" w14:textId="2EFB42CA" w:rsidR="008D1ACF" w:rsidRPr="002740EA" w:rsidRDefault="008D1ACF" w:rsidP="000C6B37">
      <w:pPr>
        <w:autoSpaceDE w:val="0"/>
        <w:autoSpaceDN w:val="0"/>
        <w:adjustRightInd w:val="0"/>
        <w:spacing w:after="0" w:line="276" w:lineRule="auto"/>
        <w:jc w:val="both"/>
        <w:rPr>
          <w:rFonts w:cs="Arial"/>
          <w:szCs w:val="24"/>
        </w:rPr>
      </w:pPr>
    </w:p>
    <w:p w14:paraId="7CDB97CB" w14:textId="777CC687" w:rsidR="00555D9A" w:rsidRPr="002740EA" w:rsidRDefault="00555D9A" w:rsidP="000C6B37">
      <w:pPr>
        <w:autoSpaceDE w:val="0"/>
        <w:autoSpaceDN w:val="0"/>
        <w:adjustRightInd w:val="0"/>
        <w:spacing w:after="0"/>
        <w:jc w:val="both"/>
        <w:rPr>
          <w:rFonts w:cs="Arial"/>
          <w:b/>
          <w:color w:val="000000" w:themeColor="text1"/>
          <w:szCs w:val="24"/>
        </w:rPr>
      </w:pPr>
    </w:p>
    <w:p w14:paraId="789E05D9" w14:textId="70CCA46E" w:rsidR="00615BB3" w:rsidRPr="002740EA" w:rsidRDefault="00615BB3" w:rsidP="00615BB3">
      <w:pPr>
        <w:autoSpaceDE w:val="0"/>
        <w:autoSpaceDN w:val="0"/>
        <w:adjustRightInd w:val="0"/>
        <w:spacing w:after="0" w:line="276" w:lineRule="auto"/>
        <w:jc w:val="both"/>
        <w:rPr>
          <w:rFonts w:cs="Arial"/>
          <w:szCs w:val="24"/>
        </w:rPr>
      </w:pPr>
      <w:r w:rsidRPr="002740EA">
        <w:rPr>
          <w:rFonts w:cs="Arial"/>
          <w:szCs w:val="24"/>
        </w:rPr>
        <w:t>Con motivo de la reunión de trabajo efectuada para la presentación de resultados finales de auditoría y observaciones preliminares</w:t>
      </w:r>
      <w:r w:rsidR="001A0CAA" w:rsidRPr="002740EA">
        <w:rPr>
          <w:rFonts w:cs="Arial"/>
          <w:szCs w:val="24"/>
        </w:rPr>
        <w:t>,</w:t>
      </w:r>
      <w:r w:rsidRPr="002740EA">
        <w:rPr>
          <w:rFonts w:cs="Arial"/>
          <w:szCs w:val="24"/>
        </w:rPr>
        <w:t xml:space="preserve"> la Universidad de Quintana </w:t>
      </w:r>
      <w:r w:rsidR="007F7BD3" w:rsidRPr="002740EA">
        <w:rPr>
          <w:rFonts w:cs="Arial"/>
          <w:szCs w:val="24"/>
        </w:rPr>
        <w:t>Roo estableció</w:t>
      </w:r>
      <w:r w:rsidR="000647F4" w:rsidRPr="002740EA">
        <w:rPr>
          <w:rFonts w:cs="Arial"/>
          <w:szCs w:val="24"/>
        </w:rPr>
        <w:t xml:space="preserve"> como fecha compromiso para la at</w:t>
      </w:r>
      <w:r w:rsidR="00146BF4" w:rsidRPr="002740EA">
        <w:rPr>
          <w:rFonts w:cs="Arial"/>
          <w:szCs w:val="24"/>
        </w:rPr>
        <w:t>ención a</w:t>
      </w:r>
      <w:r w:rsidR="002802FF" w:rsidRPr="002740EA">
        <w:rPr>
          <w:rFonts w:cs="Arial"/>
          <w:szCs w:val="24"/>
        </w:rPr>
        <w:t xml:space="preserve"> las recomendaciones</w:t>
      </w:r>
      <w:r w:rsidR="0088073E" w:rsidRPr="002740EA">
        <w:rPr>
          <w:rFonts w:cs="Arial"/>
          <w:szCs w:val="24"/>
        </w:rPr>
        <w:t xml:space="preserve"> </w:t>
      </w:r>
      <w:r w:rsidR="00146BF4" w:rsidRPr="002740EA">
        <w:rPr>
          <w:rFonts w:cs="Arial"/>
          <w:szCs w:val="24"/>
        </w:rPr>
        <w:t>de</w:t>
      </w:r>
      <w:r w:rsidR="0088073E" w:rsidRPr="002740EA">
        <w:rPr>
          <w:rFonts w:cs="Arial"/>
          <w:szCs w:val="24"/>
        </w:rPr>
        <w:t xml:space="preserve"> las observaciones 1</w:t>
      </w:r>
      <w:r w:rsidR="002802FF" w:rsidRPr="002740EA">
        <w:rPr>
          <w:rFonts w:cs="Arial"/>
          <w:szCs w:val="24"/>
        </w:rPr>
        <w:t xml:space="preserve"> y</w:t>
      </w:r>
      <w:r w:rsidR="000647F4" w:rsidRPr="002740EA">
        <w:rPr>
          <w:rFonts w:cs="Arial"/>
          <w:szCs w:val="24"/>
        </w:rPr>
        <w:t xml:space="preserve"> </w:t>
      </w:r>
      <w:r w:rsidR="00BC1F0E" w:rsidRPr="002740EA">
        <w:rPr>
          <w:rFonts w:cs="Arial"/>
          <w:szCs w:val="24"/>
        </w:rPr>
        <w:t xml:space="preserve">2, </w:t>
      </w:r>
      <w:r w:rsidR="004F4535" w:rsidRPr="002740EA">
        <w:rPr>
          <w:rFonts w:cs="Arial"/>
          <w:szCs w:val="24"/>
        </w:rPr>
        <w:t>el día 15 de diciembre del 2021</w:t>
      </w:r>
      <w:r w:rsidR="002802FF" w:rsidRPr="002740EA">
        <w:rPr>
          <w:rFonts w:cs="Arial"/>
          <w:szCs w:val="24"/>
        </w:rPr>
        <w:t>,</w:t>
      </w:r>
      <w:r w:rsidR="000407E6" w:rsidRPr="002740EA">
        <w:rPr>
          <w:rFonts w:cs="Arial"/>
          <w:szCs w:val="24"/>
        </w:rPr>
        <w:t xml:space="preserve"> y para la at</w:t>
      </w:r>
      <w:r w:rsidR="00045619" w:rsidRPr="002740EA">
        <w:rPr>
          <w:rFonts w:cs="Arial"/>
          <w:szCs w:val="24"/>
        </w:rPr>
        <w:t>ención a</w:t>
      </w:r>
      <w:r w:rsidR="000407E6" w:rsidRPr="002740EA">
        <w:rPr>
          <w:rFonts w:cs="Arial"/>
          <w:szCs w:val="24"/>
        </w:rPr>
        <w:t xml:space="preserve"> las recomendaciones</w:t>
      </w:r>
      <w:r w:rsidR="00045619" w:rsidRPr="002740EA">
        <w:rPr>
          <w:rFonts w:cs="Arial"/>
          <w:szCs w:val="24"/>
        </w:rPr>
        <w:t xml:space="preserve"> de</w:t>
      </w:r>
      <w:r w:rsidR="000407E6" w:rsidRPr="002740EA">
        <w:rPr>
          <w:rFonts w:cs="Arial"/>
          <w:szCs w:val="24"/>
        </w:rPr>
        <w:t xml:space="preserve"> las observaciones </w:t>
      </w:r>
      <w:r w:rsidR="00BC1F0E" w:rsidRPr="002740EA">
        <w:rPr>
          <w:rFonts w:cs="Arial"/>
          <w:szCs w:val="24"/>
        </w:rPr>
        <w:t>3 y 4</w:t>
      </w:r>
      <w:r w:rsidR="002802FF" w:rsidRPr="002740EA">
        <w:rPr>
          <w:rFonts w:cs="Arial"/>
          <w:szCs w:val="24"/>
        </w:rPr>
        <w:t>,</w:t>
      </w:r>
      <w:r w:rsidR="00BC1F0E" w:rsidRPr="002740EA">
        <w:rPr>
          <w:rFonts w:cs="Arial"/>
          <w:szCs w:val="24"/>
        </w:rPr>
        <w:t xml:space="preserve"> </w:t>
      </w:r>
      <w:r w:rsidRPr="002740EA">
        <w:rPr>
          <w:rFonts w:cs="Arial"/>
          <w:szCs w:val="24"/>
        </w:rPr>
        <w:t xml:space="preserve">el día 15 </w:t>
      </w:r>
      <w:r w:rsidR="004F4535" w:rsidRPr="002740EA">
        <w:rPr>
          <w:rFonts w:cs="Arial"/>
          <w:szCs w:val="24"/>
        </w:rPr>
        <w:t>de julio del año 2021.</w:t>
      </w:r>
      <w:r w:rsidR="00F83DD1" w:rsidRPr="002740EA">
        <w:rPr>
          <w:rFonts w:cs="Arial"/>
          <w:szCs w:val="24"/>
        </w:rPr>
        <w:t xml:space="preserve"> Por lo antes expuesto, la </w:t>
      </w:r>
      <w:r w:rsidR="007652BD" w:rsidRPr="002740EA">
        <w:rPr>
          <w:rFonts w:cs="Arial"/>
          <w:szCs w:val="24"/>
        </w:rPr>
        <w:t>atención a</w:t>
      </w:r>
      <w:r w:rsidR="00F83DD1" w:rsidRPr="002740EA">
        <w:rPr>
          <w:rFonts w:cs="Arial"/>
          <w:szCs w:val="24"/>
        </w:rPr>
        <w:t xml:space="preserve"> las recomendaciones de desempeño queda en </w:t>
      </w:r>
      <w:r w:rsidR="00F83DD1" w:rsidRPr="005238FF">
        <w:rPr>
          <w:rFonts w:cs="Arial"/>
          <w:b/>
          <w:szCs w:val="24"/>
        </w:rPr>
        <w:t>seguimiento</w:t>
      </w:r>
      <w:r w:rsidR="00F83DD1" w:rsidRPr="002740EA">
        <w:rPr>
          <w:rFonts w:cs="Arial"/>
          <w:szCs w:val="24"/>
        </w:rPr>
        <w:t>.</w:t>
      </w:r>
    </w:p>
    <w:p w14:paraId="22603898" w14:textId="24E715B2" w:rsidR="003C6970" w:rsidRPr="002740EA" w:rsidRDefault="003C6970" w:rsidP="000C6B37">
      <w:pPr>
        <w:autoSpaceDE w:val="0"/>
        <w:autoSpaceDN w:val="0"/>
        <w:adjustRightInd w:val="0"/>
        <w:spacing w:after="0"/>
        <w:jc w:val="both"/>
        <w:rPr>
          <w:rFonts w:cs="Arial"/>
          <w:b/>
          <w:color w:val="000000" w:themeColor="text1"/>
          <w:szCs w:val="24"/>
        </w:rPr>
      </w:pPr>
    </w:p>
    <w:p w14:paraId="50381226" w14:textId="77777777" w:rsidR="00EA0FEC" w:rsidRPr="002740EA" w:rsidRDefault="00EA0FEC" w:rsidP="000C6B37">
      <w:pPr>
        <w:autoSpaceDE w:val="0"/>
        <w:autoSpaceDN w:val="0"/>
        <w:adjustRightInd w:val="0"/>
        <w:spacing w:after="0"/>
        <w:jc w:val="both"/>
        <w:rPr>
          <w:rFonts w:cs="Arial"/>
          <w:b/>
          <w:color w:val="000000" w:themeColor="text1"/>
          <w:szCs w:val="24"/>
        </w:rPr>
      </w:pPr>
    </w:p>
    <w:p w14:paraId="6BE7124C" w14:textId="18015D33" w:rsidR="00F4710F" w:rsidRPr="002740EA" w:rsidRDefault="00F4710F" w:rsidP="000C6B37">
      <w:pPr>
        <w:autoSpaceDE w:val="0"/>
        <w:autoSpaceDN w:val="0"/>
        <w:adjustRightInd w:val="0"/>
        <w:spacing w:after="0"/>
        <w:jc w:val="both"/>
        <w:rPr>
          <w:rFonts w:cs="Arial"/>
          <w:b/>
          <w:color w:val="000000" w:themeColor="text1"/>
          <w:szCs w:val="24"/>
        </w:rPr>
      </w:pPr>
      <w:r w:rsidRPr="002740EA">
        <w:rPr>
          <w:rFonts w:cs="Arial"/>
          <w:b/>
          <w:color w:val="000000" w:themeColor="text1"/>
          <w:szCs w:val="24"/>
        </w:rPr>
        <w:t>Normatividad re</w:t>
      </w:r>
      <w:r w:rsidR="005238FF">
        <w:rPr>
          <w:rFonts w:cs="Arial"/>
          <w:b/>
          <w:color w:val="000000" w:themeColor="text1"/>
          <w:szCs w:val="24"/>
        </w:rPr>
        <w:t>lacionada con las observaciones</w:t>
      </w:r>
    </w:p>
    <w:p w14:paraId="25883AA7" w14:textId="77777777" w:rsidR="00AC3BFA" w:rsidRPr="002740EA" w:rsidRDefault="00AC3BFA" w:rsidP="000C6B37">
      <w:pPr>
        <w:autoSpaceDE w:val="0"/>
        <w:autoSpaceDN w:val="0"/>
        <w:adjustRightInd w:val="0"/>
        <w:spacing w:after="0"/>
        <w:jc w:val="both"/>
        <w:rPr>
          <w:rFonts w:cs="Arial"/>
          <w:b/>
          <w:color w:val="000000" w:themeColor="text1"/>
          <w:szCs w:val="24"/>
        </w:rPr>
      </w:pPr>
    </w:p>
    <w:p w14:paraId="46B32DE9" w14:textId="7316870A" w:rsidR="00DA5AAB" w:rsidRPr="002740EA" w:rsidRDefault="00F4710F" w:rsidP="000C6B37">
      <w:pPr>
        <w:spacing w:after="0" w:line="276" w:lineRule="auto"/>
        <w:jc w:val="both"/>
        <w:rPr>
          <w:rFonts w:cs="Arial"/>
          <w:sz w:val="22"/>
        </w:rPr>
      </w:pPr>
      <w:r w:rsidRPr="002740EA">
        <w:rPr>
          <w:rFonts w:cs="Arial"/>
          <w:sz w:val="22"/>
        </w:rPr>
        <w:t>L</w:t>
      </w:r>
      <w:r w:rsidRPr="002740EA">
        <w:rPr>
          <w:rFonts w:cs="Arial"/>
          <w:szCs w:val="24"/>
        </w:rPr>
        <w:t>ey General de Responsabilidades Admi</w:t>
      </w:r>
      <w:r w:rsidR="00352039" w:rsidRPr="002740EA">
        <w:rPr>
          <w:rFonts w:cs="Arial"/>
          <w:szCs w:val="24"/>
        </w:rPr>
        <w:t xml:space="preserve">nistrativas </w:t>
      </w:r>
      <w:r w:rsidRPr="002740EA">
        <w:rPr>
          <w:rFonts w:cs="Arial"/>
          <w:szCs w:val="24"/>
        </w:rPr>
        <w:t>artículo</w:t>
      </w:r>
      <w:r w:rsidR="00352039" w:rsidRPr="002740EA">
        <w:rPr>
          <w:rFonts w:cs="Arial"/>
          <w:szCs w:val="24"/>
        </w:rPr>
        <w:t>s:</w:t>
      </w:r>
      <w:r w:rsidR="00DA5AAB" w:rsidRPr="002740EA">
        <w:rPr>
          <w:rFonts w:cs="Arial"/>
          <w:szCs w:val="24"/>
        </w:rPr>
        <w:t xml:space="preserve"> </w:t>
      </w:r>
      <w:r w:rsidR="00352039" w:rsidRPr="002740EA">
        <w:rPr>
          <w:rFonts w:cs="Arial"/>
          <w:szCs w:val="24"/>
        </w:rPr>
        <w:t xml:space="preserve">6, </w:t>
      </w:r>
      <w:r w:rsidRPr="002740EA">
        <w:rPr>
          <w:rFonts w:cs="Arial"/>
          <w:szCs w:val="24"/>
        </w:rPr>
        <w:t>7, fraccio</w:t>
      </w:r>
      <w:r w:rsidR="0033775C" w:rsidRPr="002740EA">
        <w:rPr>
          <w:rFonts w:cs="Arial"/>
          <w:szCs w:val="24"/>
        </w:rPr>
        <w:t>nes I,</w:t>
      </w:r>
      <w:r w:rsidR="00DA5AAB" w:rsidRPr="002740EA">
        <w:rPr>
          <w:rFonts w:cs="Arial"/>
          <w:szCs w:val="24"/>
        </w:rPr>
        <w:t xml:space="preserve"> V y 16.</w:t>
      </w:r>
    </w:p>
    <w:p w14:paraId="0CAE3DCB" w14:textId="77777777" w:rsidR="003424D6" w:rsidRPr="002740EA" w:rsidRDefault="003424D6" w:rsidP="000C6B37">
      <w:pPr>
        <w:pStyle w:val="Textonotapie"/>
        <w:spacing w:line="276" w:lineRule="auto"/>
        <w:jc w:val="both"/>
        <w:rPr>
          <w:rFonts w:ascii="Arial" w:hAnsi="Arial" w:cs="Arial"/>
          <w:sz w:val="24"/>
          <w:szCs w:val="24"/>
        </w:rPr>
      </w:pPr>
      <w:r w:rsidRPr="002740EA">
        <w:rPr>
          <w:rFonts w:ascii="Arial" w:hAnsi="Arial" w:cs="Arial"/>
          <w:sz w:val="24"/>
          <w:szCs w:val="24"/>
        </w:rPr>
        <w:t>Ley del Sistema Anticorrupción del Estado de Quintana Roo artículo 5.</w:t>
      </w:r>
    </w:p>
    <w:p w14:paraId="29F92830" w14:textId="4A4D5513" w:rsidR="00F4710F" w:rsidRPr="002740EA" w:rsidRDefault="00F4710F" w:rsidP="000C6B37">
      <w:pPr>
        <w:spacing w:after="0" w:line="276" w:lineRule="auto"/>
        <w:jc w:val="both"/>
        <w:rPr>
          <w:rFonts w:cs="Arial"/>
          <w:szCs w:val="24"/>
        </w:rPr>
      </w:pPr>
      <w:r w:rsidRPr="002740EA">
        <w:rPr>
          <w:rFonts w:cs="Arial"/>
          <w:szCs w:val="24"/>
        </w:rPr>
        <w:t>Actualización del Plan Estatal de Desarrollo, Eje 3: Gobierno moderno, confiable y cercano a la gente, Programa 17: Gestión y control gubernamental, línea de acción 4, y Programa 19: Planeación y evaluación estratégica, línea de acción 19.</w:t>
      </w:r>
      <w:r w:rsidR="0020074C" w:rsidRPr="002740EA">
        <w:rPr>
          <w:rFonts w:cs="Arial"/>
          <w:szCs w:val="24"/>
        </w:rPr>
        <w:t xml:space="preserve"> </w:t>
      </w:r>
    </w:p>
    <w:p w14:paraId="0619919D" w14:textId="77777777" w:rsidR="009B6276" w:rsidRPr="002740EA" w:rsidRDefault="00103EEF" w:rsidP="000C6B37">
      <w:pPr>
        <w:pStyle w:val="Textonotapie"/>
        <w:spacing w:line="276" w:lineRule="auto"/>
        <w:jc w:val="both"/>
        <w:rPr>
          <w:rFonts w:ascii="Arial" w:hAnsi="Arial" w:cs="Arial"/>
          <w:sz w:val="24"/>
          <w:szCs w:val="24"/>
        </w:rPr>
      </w:pPr>
      <w:r w:rsidRPr="002740EA">
        <w:rPr>
          <w:rFonts w:ascii="Arial" w:hAnsi="Arial" w:cs="Arial"/>
          <w:sz w:val="24"/>
          <w:szCs w:val="24"/>
        </w:rPr>
        <w:t>Acuerdo por el que se emiten las Normas Generales de Control Interno de la Administración Pública Central y Paraestatal del Estado de Quintana Roo artículo 2 f</w:t>
      </w:r>
      <w:r w:rsidR="0020074C" w:rsidRPr="002740EA">
        <w:rPr>
          <w:rFonts w:ascii="Arial" w:hAnsi="Arial" w:cs="Arial"/>
          <w:sz w:val="24"/>
          <w:szCs w:val="24"/>
        </w:rPr>
        <w:t>racción IX y X y 35.</w:t>
      </w:r>
    </w:p>
    <w:p w14:paraId="5A4B4BD9" w14:textId="6BA0779C" w:rsidR="00E316B5" w:rsidRPr="002740EA" w:rsidRDefault="00E316B5" w:rsidP="000C6B37">
      <w:pPr>
        <w:pStyle w:val="Textonotapie"/>
        <w:spacing w:line="276" w:lineRule="auto"/>
        <w:jc w:val="both"/>
        <w:rPr>
          <w:rFonts w:ascii="Arial" w:hAnsi="Arial" w:cs="Arial"/>
          <w:sz w:val="24"/>
          <w:szCs w:val="24"/>
        </w:rPr>
      </w:pPr>
      <w:r w:rsidRPr="002740EA">
        <w:rPr>
          <w:rFonts w:ascii="Arial" w:hAnsi="Arial" w:cs="Arial"/>
          <w:sz w:val="24"/>
          <w:szCs w:val="24"/>
        </w:rPr>
        <w:t>Acuerdo que tiene por objeto emitir el Código de Ética de las personas servidoras públicas de las dependencias y entidades de la Administración Pública del Poder Ejecutivo artículo 3.</w:t>
      </w:r>
    </w:p>
    <w:p w14:paraId="547D8C73" w14:textId="77777777" w:rsidR="00EB0C85" w:rsidRPr="002740EA" w:rsidRDefault="00EB0C85" w:rsidP="000C6B37">
      <w:pPr>
        <w:spacing w:after="0" w:line="276" w:lineRule="auto"/>
        <w:jc w:val="both"/>
        <w:rPr>
          <w:rFonts w:cs="Arial"/>
          <w:szCs w:val="24"/>
        </w:rPr>
      </w:pPr>
      <w:r w:rsidRPr="002740EA">
        <w:rPr>
          <w:rFonts w:cs="Arial"/>
          <w:bCs/>
          <w:szCs w:val="24"/>
        </w:rPr>
        <w:t>Decreto p</w:t>
      </w:r>
      <w:r w:rsidRPr="002740EA">
        <w:rPr>
          <w:rFonts w:cs="Arial"/>
          <w:szCs w:val="24"/>
        </w:rPr>
        <w:t>or el que se crea la Universidad de Quintana Roo, como un Organismo Descentralizado y de Interés Público y Social del Estado de Quintana Roo, art. 66.</w:t>
      </w:r>
    </w:p>
    <w:p w14:paraId="6F81FD4D" w14:textId="77777777" w:rsidR="00EB0C85" w:rsidRPr="002740EA" w:rsidRDefault="00EB0C85" w:rsidP="000C6B37">
      <w:pPr>
        <w:spacing w:after="0" w:line="276" w:lineRule="auto"/>
        <w:jc w:val="both"/>
        <w:rPr>
          <w:rFonts w:cs="Arial"/>
          <w:szCs w:val="24"/>
        </w:rPr>
      </w:pPr>
      <w:r w:rsidRPr="002740EA">
        <w:rPr>
          <w:rFonts w:cs="Arial"/>
          <w:bCs/>
          <w:szCs w:val="24"/>
        </w:rPr>
        <w:lastRenderedPageBreak/>
        <w:t>Ley Orgánica de la Universidad de Quintana Roo a</w:t>
      </w:r>
      <w:r w:rsidRPr="002740EA">
        <w:rPr>
          <w:rFonts w:cs="Arial"/>
          <w:szCs w:val="24"/>
        </w:rPr>
        <w:t>rtículos 1º,</w:t>
      </w:r>
      <w:r w:rsidRPr="002740EA">
        <w:rPr>
          <w:rFonts w:cs="Arial"/>
          <w:b/>
          <w:bCs/>
          <w:szCs w:val="24"/>
        </w:rPr>
        <w:t xml:space="preserve"> </w:t>
      </w:r>
      <w:r w:rsidRPr="002740EA">
        <w:rPr>
          <w:rFonts w:cs="Arial"/>
          <w:bCs/>
          <w:szCs w:val="24"/>
        </w:rPr>
        <w:t>4º fracción II, 11 fracción VII, y 19 fracci</w:t>
      </w:r>
      <w:r w:rsidRPr="002740EA">
        <w:rPr>
          <w:rFonts w:cs="Arial"/>
          <w:szCs w:val="24"/>
        </w:rPr>
        <w:t>ón I.</w:t>
      </w:r>
    </w:p>
    <w:p w14:paraId="68DF77E5" w14:textId="75E280B2" w:rsidR="00EB0C85" w:rsidRPr="002740EA" w:rsidRDefault="00EB0C85" w:rsidP="000C6B37">
      <w:pPr>
        <w:spacing w:after="0" w:line="276" w:lineRule="auto"/>
        <w:jc w:val="both"/>
        <w:rPr>
          <w:rFonts w:cs="Arial"/>
          <w:szCs w:val="24"/>
        </w:rPr>
      </w:pPr>
      <w:r w:rsidRPr="002740EA">
        <w:rPr>
          <w:rFonts w:cs="Arial"/>
          <w:szCs w:val="24"/>
        </w:rPr>
        <w:t>Reglamento General de la Universidad de Quintana Roo artículo 56, fracción VI.</w:t>
      </w:r>
    </w:p>
    <w:p w14:paraId="0A8A46DF" w14:textId="77777777" w:rsidR="005238FF" w:rsidRDefault="005238FF" w:rsidP="007A5AB1">
      <w:pPr>
        <w:autoSpaceDE w:val="0"/>
        <w:autoSpaceDN w:val="0"/>
        <w:adjustRightInd w:val="0"/>
        <w:spacing w:after="0" w:line="276" w:lineRule="auto"/>
        <w:rPr>
          <w:rFonts w:cs="Arial"/>
          <w:b/>
          <w:bCs/>
          <w:szCs w:val="24"/>
        </w:rPr>
      </w:pPr>
    </w:p>
    <w:p w14:paraId="319E2A63" w14:textId="77777777" w:rsidR="005238FF" w:rsidRDefault="005238FF" w:rsidP="007A5AB1">
      <w:pPr>
        <w:autoSpaceDE w:val="0"/>
        <w:autoSpaceDN w:val="0"/>
        <w:adjustRightInd w:val="0"/>
        <w:spacing w:after="0" w:line="276" w:lineRule="auto"/>
        <w:rPr>
          <w:rFonts w:cs="Arial"/>
          <w:b/>
          <w:bCs/>
          <w:szCs w:val="24"/>
        </w:rPr>
      </w:pPr>
    </w:p>
    <w:p w14:paraId="507315E7" w14:textId="0790F5E1" w:rsidR="007A5AB1" w:rsidRDefault="007A5AB1" w:rsidP="007A5AB1">
      <w:pPr>
        <w:autoSpaceDE w:val="0"/>
        <w:autoSpaceDN w:val="0"/>
        <w:adjustRightInd w:val="0"/>
        <w:spacing w:after="0" w:line="276" w:lineRule="auto"/>
        <w:rPr>
          <w:rFonts w:cs="Arial"/>
          <w:b/>
          <w:bCs/>
          <w:szCs w:val="24"/>
        </w:rPr>
      </w:pPr>
      <w:r w:rsidRPr="002740EA">
        <w:rPr>
          <w:rFonts w:cs="Arial"/>
          <w:b/>
          <w:bCs/>
          <w:szCs w:val="24"/>
        </w:rPr>
        <w:t>Resultado Número 2</w:t>
      </w:r>
    </w:p>
    <w:p w14:paraId="5F356BEA" w14:textId="77777777" w:rsidR="005238FF" w:rsidRPr="002740EA" w:rsidRDefault="005238FF" w:rsidP="007A5AB1">
      <w:pPr>
        <w:autoSpaceDE w:val="0"/>
        <w:autoSpaceDN w:val="0"/>
        <w:adjustRightInd w:val="0"/>
        <w:spacing w:after="0" w:line="276" w:lineRule="auto"/>
        <w:rPr>
          <w:rFonts w:cs="Arial"/>
          <w:b/>
          <w:bCs/>
          <w:szCs w:val="24"/>
        </w:rPr>
      </w:pPr>
    </w:p>
    <w:p w14:paraId="6A1C2FFC" w14:textId="77777777" w:rsidR="007A5AB1" w:rsidRPr="002740EA" w:rsidRDefault="007A5AB1" w:rsidP="007A5AB1">
      <w:pPr>
        <w:autoSpaceDE w:val="0"/>
        <w:autoSpaceDN w:val="0"/>
        <w:adjustRightInd w:val="0"/>
        <w:spacing w:after="0" w:line="276" w:lineRule="auto"/>
        <w:rPr>
          <w:rFonts w:cs="Arial"/>
          <w:b/>
          <w:bCs/>
          <w:szCs w:val="24"/>
        </w:rPr>
      </w:pPr>
      <w:r w:rsidRPr="002740EA">
        <w:rPr>
          <w:rFonts w:cs="Arial"/>
          <w:b/>
          <w:bCs/>
          <w:szCs w:val="24"/>
        </w:rPr>
        <w:t>Eficacia</w:t>
      </w:r>
    </w:p>
    <w:p w14:paraId="5669B40E" w14:textId="77777777" w:rsidR="007A5AB1" w:rsidRPr="002740EA" w:rsidRDefault="007A5AB1" w:rsidP="007A5AB1">
      <w:pPr>
        <w:autoSpaceDE w:val="0"/>
        <w:autoSpaceDN w:val="0"/>
        <w:adjustRightInd w:val="0"/>
        <w:spacing w:after="0" w:line="276" w:lineRule="auto"/>
        <w:rPr>
          <w:rFonts w:cs="Arial"/>
          <w:b/>
          <w:bCs/>
          <w:szCs w:val="24"/>
        </w:rPr>
      </w:pPr>
    </w:p>
    <w:p w14:paraId="302D714D" w14:textId="2808F050" w:rsidR="007A5AB1" w:rsidRPr="002740EA" w:rsidRDefault="007A5AB1" w:rsidP="007959F7">
      <w:pPr>
        <w:pStyle w:val="Prrafodelista"/>
        <w:numPr>
          <w:ilvl w:val="0"/>
          <w:numId w:val="24"/>
        </w:numPr>
        <w:autoSpaceDE w:val="0"/>
        <w:autoSpaceDN w:val="0"/>
        <w:adjustRightInd w:val="0"/>
        <w:spacing w:after="0"/>
        <w:rPr>
          <w:rFonts w:cs="Arial"/>
          <w:b/>
          <w:bCs/>
          <w:szCs w:val="24"/>
        </w:rPr>
      </w:pPr>
      <w:r w:rsidRPr="002740EA">
        <w:rPr>
          <w:rFonts w:cs="Arial"/>
          <w:b/>
          <w:bCs/>
          <w:szCs w:val="24"/>
        </w:rPr>
        <w:t>Matriz de Indicadores para Resultados (MIR)</w:t>
      </w:r>
    </w:p>
    <w:p w14:paraId="5A60663F" w14:textId="77777777" w:rsidR="007A5AB1" w:rsidRPr="002740EA" w:rsidRDefault="007A5AB1" w:rsidP="007A5AB1">
      <w:pPr>
        <w:autoSpaceDE w:val="0"/>
        <w:autoSpaceDN w:val="0"/>
        <w:adjustRightInd w:val="0"/>
        <w:spacing w:after="0" w:line="276" w:lineRule="auto"/>
        <w:rPr>
          <w:rFonts w:cs="Arial"/>
          <w:b/>
          <w:bCs/>
          <w:szCs w:val="24"/>
        </w:rPr>
      </w:pPr>
    </w:p>
    <w:p w14:paraId="3F3F5F78" w14:textId="77777777" w:rsidR="007A5AB1" w:rsidRPr="002740EA" w:rsidRDefault="007A5AB1" w:rsidP="004F0F09">
      <w:pPr>
        <w:autoSpaceDE w:val="0"/>
        <w:autoSpaceDN w:val="0"/>
        <w:adjustRightInd w:val="0"/>
        <w:spacing w:after="0" w:line="276" w:lineRule="auto"/>
        <w:ind w:left="567" w:hanging="567"/>
        <w:rPr>
          <w:rFonts w:cs="Arial"/>
          <w:b/>
          <w:bCs/>
          <w:szCs w:val="24"/>
        </w:rPr>
      </w:pPr>
      <w:r w:rsidRPr="002740EA">
        <w:rPr>
          <w:rFonts w:cs="Arial"/>
          <w:b/>
          <w:bCs/>
          <w:szCs w:val="24"/>
        </w:rPr>
        <w:t xml:space="preserve">      2.1. Evaluación de la MIR</w:t>
      </w:r>
    </w:p>
    <w:p w14:paraId="7D3E5D99" w14:textId="77777777" w:rsidR="007A5AB1" w:rsidRPr="002740EA" w:rsidRDefault="007A5AB1" w:rsidP="007A5AB1">
      <w:pPr>
        <w:autoSpaceDE w:val="0"/>
        <w:autoSpaceDN w:val="0"/>
        <w:adjustRightInd w:val="0"/>
        <w:spacing w:after="0" w:line="276" w:lineRule="auto"/>
        <w:rPr>
          <w:rFonts w:cs="Arial"/>
          <w:b/>
          <w:bCs/>
          <w:szCs w:val="24"/>
        </w:rPr>
      </w:pPr>
    </w:p>
    <w:p w14:paraId="57922554" w14:textId="32312EC7" w:rsidR="007D5DFF" w:rsidRPr="002740EA" w:rsidRDefault="007A5AB1" w:rsidP="005238FF">
      <w:pPr>
        <w:autoSpaceDE w:val="0"/>
        <w:autoSpaceDN w:val="0"/>
        <w:adjustRightInd w:val="0"/>
        <w:spacing w:after="0" w:line="276" w:lineRule="auto"/>
        <w:rPr>
          <w:rFonts w:cs="Arial"/>
          <w:b/>
          <w:bCs/>
          <w:szCs w:val="24"/>
        </w:rPr>
      </w:pPr>
      <w:r w:rsidRPr="002740EA">
        <w:rPr>
          <w:rFonts w:cs="Arial"/>
          <w:b/>
          <w:bCs/>
          <w:szCs w:val="24"/>
        </w:rPr>
        <w:t>Con observación</w:t>
      </w:r>
    </w:p>
    <w:p w14:paraId="552FF2F0" w14:textId="77777777" w:rsidR="000863AF" w:rsidRPr="002740EA" w:rsidRDefault="000863AF" w:rsidP="007A5AB1">
      <w:pPr>
        <w:autoSpaceDE w:val="0"/>
        <w:autoSpaceDN w:val="0"/>
        <w:adjustRightInd w:val="0"/>
        <w:spacing w:after="0" w:line="276" w:lineRule="auto"/>
        <w:rPr>
          <w:rFonts w:cs="Arial"/>
          <w:b/>
          <w:bCs/>
          <w:szCs w:val="24"/>
        </w:rPr>
      </w:pPr>
    </w:p>
    <w:p w14:paraId="479C7314" w14:textId="7EF6A4AE" w:rsidR="00557CB3" w:rsidRPr="002740EA" w:rsidRDefault="00557CB3" w:rsidP="000C6B37">
      <w:pPr>
        <w:spacing w:after="0" w:line="276" w:lineRule="auto"/>
        <w:jc w:val="both"/>
        <w:rPr>
          <w:rFonts w:cs="Arial"/>
          <w:szCs w:val="24"/>
        </w:rPr>
      </w:pPr>
      <w:r w:rsidRPr="002740EA">
        <w:rPr>
          <w:rFonts w:cs="Arial"/>
          <w:szCs w:val="24"/>
        </w:rPr>
        <w:t>Los recursos económicos de que disponga el Estado y los Municipios se administrarán con eficiencia, eficacia, economía, transparencia y honradez para satisfacer los objetivos a los que estén destinados</w:t>
      </w:r>
      <w:r w:rsidRPr="002740EA">
        <w:rPr>
          <w:rStyle w:val="Refdenotaalpie"/>
          <w:rFonts w:cs="Arial"/>
          <w:szCs w:val="24"/>
        </w:rPr>
        <w:footnoteReference w:id="23"/>
      </w:r>
      <w:r w:rsidRPr="002740EA">
        <w:rPr>
          <w:rFonts w:cs="Arial"/>
          <w:szCs w:val="24"/>
        </w:rPr>
        <w:t>.</w:t>
      </w:r>
    </w:p>
    <w:p w14:paraId="5718AB29" w14:textId="77777777" w:rsidR="00426894" w:rsidRPr="002740EA" w:rsidRDefault="00426894" w:rsidP="000C6B37">
      <w:pPr>
        <w:spacing w:after="0" w:line="276" w:lineRule="auto"/>
        <w:jc w:val="both"/>
        <w:rPr>
          <w:rFonts w:cs="Arial"/>
          <w:szCs w:val="24"/>
        </w:rPr>
      </w:pPr>
    </w:p>
    <w:p w14:paraId="57F79C95" w14:textId="488E39D1" w:rsidR="00557CB3" w:rsidRPr="002740EA" w:rsidRDefault="00557CB3" w:rsidP="000C6B37">
      <w:pPr>
        <w:spacing w:after="0" w:line="276" w:lineRule="auto"/>
        <w:jc w:val="both"/>
        <w:rPr>
          <w:rFonts w:cs="Arial"/>
          <w:szCs w:val="24"/>
        </w:rPr>
      </w:pPr>
      <w:r w:rsidRPr="002740EA">
        <w:rPr>
          <w:rFonts w:cs="Arial"/>
          <w:szCs w:val="24"/>
        </w:rPr>
        <w:t>La información presupuestaria y programática que forme parte de la Cuenta Pública deberá relacionarse, con los objetivos y prioridades de la planeación del desarrollo. Asimismo, deberá incluir los</w:t>
      </w:r>
      <w:r w:rsidR="005F0081">
        <w:rPr>
          <w:rFonts w:cs="Arial"/>
          <w:szCs w:val="24"/>
        </w:rPr>
        <w:t xml:space="preserve"> resultados de la evaluación de</w:t>
      </w:r>
      <w:r w:rsidRPr="002740EA">
        <w:rPr>
          <w:rFonts w:cs="Arial"/>
          <w:szCs w:val="24"/>
        </w:rPr>
        <w:t xml:space="preserve"> desempeño. Para ello, deberán utilizar indicadores que permitan determinar el cumplimiento de las metas y objetivos de cada uno de los programas, así como vincular los mismos en la planeación del desarrollo</w:t>
      </w:r>
      <w:r w:rsidRPr="002740EA">
        <w:rPr>
          <w:rStyle w:val="Refdenotaalpie"/>
          <w:rFonts w:cs="Arial"/>
          <w:szCs w:val="24"/>
        </w:rPr>
        <w:footnoteReference w:id="24"/>
      </w:r>
      <w:r w:rsidRPr="002740EA">
        <w:rPr>
          <w:rFonts w:cs="Arial"/>
          <w:szCs w:val="24"/>
        </w:rPr>
        <w:t>.</w:t>
      </w:r>
    </w:p>
    <w:p w14:paraId="02D35AA0" w14:textId="77777777" w:rsidR="00E63445" w:rsidRPr="002740EA" w:rsidRDefault="00E63445" w:rsidP="000C6B37">
      <w:pPr>
        <w:spacing w:after="0" w:line="276" w:lineRule="auto"/>
        <w:jc w:val="both"/>
        <w:rPr>
          <w:rFonts w:cs="Arial"/>
          <w:szCs w:val="24"/>
        </w:rPr>
      </w:pPr>
    </w:p>
    <w:p w14:paraId="4216384F" w14:textId="3672842B" w:rsidR="00034247" w:rsidRPr="002740EA" w:rsidRDefault="00557CB3" w:rsidP="000C6B37">
      <w:pPr>
        <w:autoSpaceDE w:val="0"/>
        <w:autoSpaceDN w:val="0"/>
        <w:adjustRightInd w:val="0"/>
        <w:spacing w:after="0" w:line="276" w:lineRule="auto"/>
        <w:jc w:val="both"/>
        <w:rPr>
          <w:rFonts w:cs="Arial"/>
          <w:szCs w:val="24"/>
        </w:rPr>
      </w:pPr>
      <w:r w:rsidRPr="002740EA">
        <w:rPr>
          <w:rFonts w:cs="Arial"/>
          <w:szCs w:val="24"/>
        </w:rPr>
        <w:t>La MIR es una herramienta que facilita el diseño, la organización y el seguimiento de los programas</w:t>
      </w:r>
      <w:r w:rsidRPr="002740EA">
        <w:rPr>
          <w:rFonts w:cs="Arial"/>
          <w:szCs w:val="24"/>
          <w:vertAlign w:val="superscript"/>
        </w:rPr>
        <w:footnoteReference w:id="25"/>
      </w:r>
      <w:r w:rsidRPr="002740EA">
        <w:rPr>
          <w:rFonts w:cs="Arial"/>
          <w:szCs w:val="24"/>
        </w:rPr>
        <w:t xml:space="preserve">. </w:t>
      </w:r>
    </w:p>
    <w:p w14:paraId="62453D23" w14:textId="77777777" w:rsidR="00426894" w:rsidRPr="002740EA" w:rsidRDefault="00426894" w:rsidP="000C6B37">
      <w:pPr>
        <w:autoSpaceDE w:val="0"/>
        <w:autoSpaceDN w:val="0"/>
        <w:adjustRightInd w:val="0"/>
        <w:spacing w:after="0" w:line="276" w:lineRule="auto"/>
        <w:jc w:val="both"/>
        <w:rPr>
          <w:rFonts w:cs="Arial"/>
          <w:szCs w:val="24"/>
        </w:rPr>
      </w:pPr>
    </w:p>
    <w:p w14:paraId="74ACC036" w14:textId="363B0B16" w:rsidR="00557CB3" w:rsidRPr="002740EA" w:rsidRDefault="00557CB3" w:rsidP="000C6B37">
      <w:pPr>
        <w:autoSpaceDE w:val="0"/>
        <w:autoSpaceDN w:val="0"/>
        <w:adjustRightInd w:val="0"/>
        <w:spacing w:after="0" w:line="276" w:lineRule="auto"/>
        <w:jc w:val="both"/>
        <w:rPr>
          <w:rFonts w:cs="Arial"/>
          <w:szCs w:val="24"/>
          <w:lang w:val="es-ES"/>
        </w:rPr>
      </w:pPr>
      <w:r w:rsidRPr="002740EA">
        <w:rPr>
          <w:rFonts w:cs="Arial"/>
          <w:szCs w:val="24"/>
          <w:lang w:val="es-ES"/>
        </w:rPr>
        <w:t xml:space="preserve">La Matriz de Indicadores para Resultados (MIR) es una herramienta que permite vincular los distintos instrumentos para el diseño, organización, ejecución, </w:t>
      </w:r>
      <w:r w:rsidRPr="002740EA">
        <w:rPr>
          <w:rFonts w:cs="Arial"/>
          <w:szCs w:val="24"/>
          <w:lang w:val="es-ES"/>
        </w:rPr>
        <w:lastRenderedPageBreak/>
        <w:t>seguimiento, evaluación y mejora de los programas, resultado de un proceso de planeación realizado con base en la Metodología de Marco Lógico</w:t>
      </w:r>
      <w:r w:rsidRPr="002740EA">
        <w:rPr>
          <w:rFonts w:cs="Arial"/>
          <w:szCs w:val="24"/>
          <w:vertAlign w:val="superscript"/>
          <w:lang w:val="es-ES"/>
        </w:rPr>
        <w:footnoteReference w:id="26"/>
      </w:r>
      <w:r w:rsidRPr="002740EA">
        <w:rPr>
          <w:rFonts w:cs="Arial"/>
          <w:szCs w:val="24"/>
          <w:lang w:val="es-ES"/>
        </w:rPr>
        <w:t>.</w:t>
      </w:r>
    </w:p>
    <w:p w14:paraId="6574ECB2" w14:textId="77777777" w:rsidR="00553861" w:rsidRPr="002740EA" w:rsidRDefault="00553861" w:rsidP="000C6B37">
      <w:pPr>
        <w:autoSpaceDE w:val="0"/>
        <w:autoSpaceDN w:val="0"/>
        <w:adjustRightInd w:val="0"/>
        <w:spacing w:after="0" w:line="276" w:lineRule="auto"/>
        <w:jc w:val="both"/>
        <w:rPr>
          <w:rFonts w:cs="Arial"/>
          <w:szCs w:val="24"/>
          <w:lang w:val="es-ES"/>
        </w:rPr>
      </w:pPr>
    </w:p>
    <w:p w14:paraId="2256BA99" w14:textId="77777777" w:rsidR="00557CB3" w:rsidRPr="002740EA" w:rsidRDefault="00557CB3" w:rsidP="000C6B37">
      <w:pPr>
        <w:spacing w:after="0" w:line="276" w:lineRule="auto"/>
        <w:jc w:val="both"/>
        <w:rPr>
          <w:rFonts w:cs="Arial"/>
          <w:szCs w:val="24"/>
        </w:rPr>
      </w:pPr>
      <w:r w:rsidRPr="002740EA">
        <w:rPr>
          <w:rFonts w:cs="Arial"/>
          <w:szCs w:val="24"/>
        </w:rPr>
        <w:t>En la MIR, los instrumentos para el monitoreo de los avances en cada objetivo se denominan indicadores y su finalidad es mostrar información relacionada con el desempeño de dicho objetivo</w:t>
      </w:r>
      <w:r w:rsidRPr="002740EA">
        <w:rPr>
          <w:rFonts w:cs="Arial"/>
          <w:szCs w:val="24"/>
          <w:vertAlign w:val="superscript"/>
          <w:lang w:val="es-ES"/>
        </w:rPr>
        <w:footnoteReference w:id="27"/>
      </w:r>
      <w:r w:rsidRPr="002740EA">
        <w:rPr>
          <w:rFonts w:cs="Arial"/>
          <w:szCs w:val="24"/>
        </w:rPr>
        <w:t>.</w:t>
      </w:r>
    </w:p>
    <w:p w14:paraId="09C59946" w14:textId="322F06B0" w:rsidR="00557CB3" w:rsidRPr="002740EA" w:rsidRDefault="00557CB3" w:rsidP="000C6B37">
      <w:pPr>
        <w:spacing w:after="0" w:line="276" w:lineRule="auto"/>
        <w:jc w:val="both"/>
        <w:rPr>
          <w:rFonts w:cs="Arial"/>
          <w:szCs w:val="24"/>
        </w:rPr>
      </w:pPr>
      <w:r w:rsidRPr="002740EA">
        <w:rPr>
          <w:rFonts w:cs="Arial"/>
          <w:szCs w:val="24"/>
        </w:rPr>
        <w:t xml:space="preserve">Para la generación, homologación, actualización y publicación de los indicadores de desempeño de los programas operados por los entes públicos, éstos deberán considerar la Metodología del Marco Lógico a través de la Matriz de Indicadores para Resultados y podrán hacer uso de las Guías </w:t>
      </w:r>
      <w:r w:rsidRPr="002740EA">
        <w:rPr>
          <w:rStyle w:val="Refdenotaalpie"/>
          <w:rFonts w:cs="Arial"/>
          <w:szCs w:val="24"/>
        </w:rPr>
        <w:footnoteReference w:id="28"/>
      </w:r>
      <w:r w:rsidRPr="002740EA">
        <w:rPr>
          <w:rFonts w:cs="Arial"/>
          <w:szCs w:val="24"/>
        </w:rPr>
        <w:t xml:space="preserve"> para la construcción de la MIR y para el diseño de indicadores</w:t>
      </w:r>
      <w:r w:rsidRPr="002740EA">
        <w:rPr>
          <w:rStyle w:val="Refdenotaalpie"/>
          <w:rFonts w:cs="Arial"/>
          <w:szCs w:val="24"/>
        </w:rPr>
        <w:footnoteReference w:id="29"/>
      </w:r>
      <w:r w:rsidRPr="002740EA">
        <w:rPr>
          <w:rFonts w:cs="Arial"/>
          <w:szCs w:val="24"/>
        </w:rPr>
        <w:t>, así como de la Guía emitida por la Secretaría de Finanzas y Planeación del Estado de Quintana Roo, publicadas en su página oficial</w:t>
      </w:r>
      <w:r w:rsidRPr="002740EA">
        <w:rPr>
          <w:rStyle w:val="Refdenotaalpie"/>
          <w:rFonts w:cs="Arial"/>
          <w:szCs w:val="24"/>
        </w:rPr>
        <w:footnoteReference w:id="30"/>
      </w:r>
      <w:r w:rsidRPr="002740EA">
        <w:rPr>
          <w:rFonts w:cs="Arial"/>
          <w:szCs w:val="24"/>
        </w:rPr>
        <w:t>.</w:t>
      </w:r>
    </w:p>
    <w:p w14:paraId="51204F6D" w14:textId="456A264F" w:rsidR="003C5DF7" w:rsidRPr="002740EA" w:rsidRDefault="003C5DF7" w:rsidP="000C6B37">
      <w:pPr>
        <w:spacing w:after="0" w:line="276" w:lineRule="auto"/>
        <w:jc w:val="both"/>
        <w:rPr>
          <w:rFonts w:cs="Arial"/>
          <w:szCs w:val="24"/>
        </w:rPr>
      </w:pPr>
    </w:p>
    <w:p w14:paraId="2C0498C1" w14:textId="10053F37" w:rsidR="00857B52" w:rsidRPr="002740EA" w:rsidRDefault="00557CB3" w:rsidP="000C6B37">
      <w:pPr>
        <w:spacing w:after="0" w:line="276" w:lineRule="auto"/>
        <w:jc w:val="both"/>
        <w:rPr>
          <w:rFonts w:cs="Arial"/>
        </w:rPr>
      </w:pPr>
      <w:r w:rsidRPr="002740EA">
        <w:rPr>
          <w:rFonts w:cs="Arial"/>
        </w:rPr>
        <w:t>De acuerdo con la información Programática Presupuestaria del Presupuesto de Egresos del Estado de Quintana Roo (PE) para el Ejercicio Fiscal 2020, las erogaciones de la Universidad de Quintana Roo fueron por $449,327,342.00 (Cuatrocientos cuarenta y nueve millones trecientos veintisiete mil trecientos cuarenta y dos pesos 00/100 M.N), mismas que le permitieron la operación de los siguientes Programas Presupuestarios:</w:t>
      </w:r>
    </w:p>
    <w:p w14:paraId="3456CF5D" w14:textId="77777777" w:rsidR="00323F25" w:rsidRPr="002740EA" w:rsidRDefault="00323F25" w:rsidP="000C6B37">
      <w:pPr>
        <w:spacing w:after="0" w:line="276" w:lineRule="auto"/>
        <w:jc w:val="both"/>
        <w:rPr>
          <w:rFonts w:cs="Arial"/>
        </w:rPr>
      </w:pPr>
    </w:p>
    <w:p w14:paraId="2BD2E46D" w14:textId="49A5DBDE" w:rsidR="00557CB3" w:rsidRPr="002740EA" w:rsidRDefault="00557CB3" w:rsidP="000C6B37">
      <w:pPr>
        <w:spacing w:after="0" w:line="276" w:lineRule="auto"/>
        <w:jc w:val="center"/>
        <w:rPr>
          <w:rFonts w:cs="Arial"/>
          <w:b/>
          <w:bCs/>
        </w:rPr>
      </w:pPr>
      <w:r w:rsidRPr="002740EA">
        <w:rPr>
          <w:rFonts w:cs="Arial"/>
          <w:b/>
          <w:bCs/>
        </w:rPr>
        <w:t>Tabla 4. Presupuesto asignado a los Programas Presupuestarios</w:t>
      </w:r>
    </w:p>
    <w:p w14:paraId="7AF0BCEC" w14:textId="77777777" w:rsidR="00FB4170" w:rsidRPr="002740EA" w:rsidRDefault="00FB4170" w:rsidP="000C6B37">
      <w:pPr>
        <w:spacing w:after="0" w:line="276" w:lineRule="auto"/>
        <w:jc w:val="center"/>
        <w:rPr>
          <w:rFonts w:cs="Arial"/>
          <w:b/>
          <w:bCs/>
          <w:sz w:val="8"/>
        </w:rPr>
      </w:pPr>
    </w:p>
    <w:tbl>
      <w:tblPr>
        <w:tblStyle w:val="Tablaconcuadrcula"/>
        <w:tblW w:w="5000" w:type="pct"/>
        <w:tblLook w:val="04A0" w:firstRow="1" w:lastRow="0" w:firstColumn="1" w:lastColumn="0" w:noHBand="0" w:noVBand="1"/>
      </w:tblPr>
      <w:tblGrid>
        <w:gridCol w:w="5379"/>
        <w:gridCol w:w="3683"/>
      </w:tblGrid>
      <w:tr w:rsidR="00557CB3" w:rsidRPr="002740EA" w14:paraId="76E5E7AB" w14:textId="77777777" w:rsidTr="00C27724">
        <w:tc>
          <w:tcPr>
            <w:tcW w:w="2968" w:type="pct"/>
            <w:shd w:val="clear" w:color="auto" w:fill="DEEAF6" w:themeFill="accent1" w:themeFillTint="33"/>
          </w:tcPr>
          <w:p w14:paraId="54920229" w14:textId="77777777" w:rsidR="00557CB3" w:rsidRPr="002740EA" w:rsidRDefault="00557CB3" w:rsidP="000C6B37">
            <w:pPr>
              <w:spacing w:line="276" w:lineRule="auto"/>
              <w:rPr>
                <w:rFonts w:cs="Arial"/>
                <w:b/>
                <w:sz w:val="22"/>
                <w:szCs w:val="16"/>
              </w:rPr>
            </w:pPr>
            <w:r w:rsidRPr="002740EA">
              <w:rPr>
                <w:rFonts w:cs="Arial"/>
                <w:b/>
                <w:sz w:val="22"/>
                <w:szCs w:val="16"/>
              </w:rPr>
              <w:t>Programa presupuestario</w:t>
            </w:r>
          </w:p>
        </w:tc>
        <w:tc>
          <w:tcPr>
            <w:tcW w:w="2032" w:type="pct"/>
            <w:shd w:val="clear" w:color="auto" w:fill="DEEAF6" w:themeFill="accent1" w:themeFillTint="33"/>
          </w:tcPr>
          <w:p w14:paraId="0069D390" w14:textId="420456AD" w:rsidR="00557CB3" w:rsidRPr="002740EA" w:rsidRDefault="00557CB3" w:rsidP="000C6B37">
            <w:pPr>
              <w:spacing w:line="276" w:lineRule="auto"/>
              <w:jc w:val="center"/>
              <w:rPr>
                <w:rFonts w:cs="Arial"/>
                <w:b/>
                <w:sz w:val="20"/>
                <w:szCs w:val="16"/>
              </w:rPr>
            </w:pPr>
            <w:r w:rsidRPr="002740EA">
              <w:rPr>
                <w:rFonts w:cs="Arial"/>
                <w:b/>
                <w:sz w:val="20"/>
                <w:szCs w:val="16"/>
              </w:rPr>
              <w:t>Presupuesto asignado</w:t>
            </w:r>
          </w:p>
        </w:tc>
      </w:tr>
      <w:tr w:rsidR="00557CB3" w:rsidRPr="002740EA" w14:paraId="5C8FB965" w14:textId="77777777" w:rsidTr="00C27724">
        <w:tc>
          <w:tcPr>
            <w:tcW w:w="2968" w:type="pct"/>
          </w:tcPr>
          <w:p w14:paraId="6CF57957" w14:textId="77777777" w:rsidR="00557CB3" w:rsidRPr="002740EA" w:rsidRDefault="00557CB3" w:rsidP="000C6B37">
            <w:pPr>
              <w:spacing w:line="276" w:lineRule="auto"/>
              <w:rPr>
                <w:rFonts w:cs="Arial"/>
                <w:sz w:val="22"/>
              </w:rPr>
            </w:pPr>
            <w:r w:rsidRPr="002740EA">
              <w:rPr>
                <w:rFonts w:cs="Arial"/>
                <w:sz w:val="22"/>
              </w:rPr>
              <w:t xml:space="preserve">M001 - Gestión y Apoyo Institucional                                                                </w:t>
            </w:r>
          </w:p>
        </w:tc>
        <w:tc>
          <w:tcPr>
            <w:tcW w:w="2032" w:type="pct"/>
          </w:tcPr>
          <w:p w14:paraId="203CEE53" w14:textId="64B7DB71" w:rsidR="00557CB3" w:rsidRPr="002740EA" w:rsidRDefault="00557CB3" w:rsidP="000C6B37">
            <w:pPr>
              <w:spacing w:line="276" w:lineRule="auto"/>
              <w:jc w:val="center"/>
              <w:rPr>
                <w:rFonts w:cs="Arial"/>
                <w:sz w:val="20"/>
                <w:szCs w:val="16"/>
              </w:rPr>
            </w:pPr>
            <w:r w:rsidRPr="002740EA">
              <w:rPr>
                <w:rFonts w:cs="Arial"/>
                <w:sz w:val="22"/>
                <w:szCs w:val="16"/>
              </w:rPr>
              <w:t>$ 148,000,514</w:t>
            </w:r>
          </w:p>
        </w:tc>
      </w:tr>
      <w:tr w:rsidR="00557CB3" w:rsidRPr="002740EA" w14:paraId="7718D9B7" w14:textId="77777777" w:rsidTr="00C27724">
        <w:trPr>
          <w:trHeight w:val="77"/>
        </w:trPr>
        <w:tc>
          <w:tcPr>
            <w:tcW w:w="2968" w:type="pct"/>
          </w:tcPr>
          <w:p w14:paraId="10C85054" w14:textId="77777777" w:rsidR="00557CB3" w:rsidRPr="002740EA" w:rsidRDefault="00557CB3" w:rsidP="000C6B37">
            <w:pPr>
              <w:spacing w:line="276" w:lineRule="auto"/>
              <w:rPr>
                <w:rFonts w:cs="Arial"/>
                <w:sz w:val="22"/>
              </w:rPr>
            </w:pPr>
            <w:r w:rsidRPr="002740EA">
              <w:rPr>
                <w:rFonts w:cs="Arial"/>
                <w:sz w:val="22"/>
              </w:rPr>
              <w:t xml:space="preserve">E103 - Educación Superior                                                                                </w:t>
            </w:r>
          </w:p>
        </w:tc>
        <w:tc>
          <w:tcPr>
            <w:tcW w:w="2032" w:type="pct"/>
          </w:tcPr>
          <w:p w14:paraId="6FBE6AEC" w14:textId="73DC2120" w:rsidR="00557CB3" w:rsidRPr="002740EA" w:rsidRDefault="00557CB3" w:rsidP="000C6B37">
            <w:pPr>
              <w:spacing w:line="276" w:lineRule="auto"/>
              <w:jc w:val="center"/>
              <w:rPr>
                <w:rFonts w:cs="Arial"/>
                <w:sz w:val="20"/>
                <w:szCs w:val="16"/>
              </w:rPr>
            </w:pPr>
            <w:r w:rsidRPr="002740EA">
              <w:rPr>
                <w:rFonts w:cs="Arial"/>
                <w:sz w:val="22"/>
                <w:szCs w:val="16"/>
              </w:rPr>
              <w:t>$ 301,326,828</w:t>
            </w:r>
          </w:p>
        </w:tc>
      </w:tr>
      <w:tr w:rsidR="00557CB3" w:rsidRPr="002740EA" w14:paraId="59B1FA54" w14:textId="77777777" w:rsidTr="00C27724">
        <w:trPr>
          <w:trHeight w:val="77"/>
        </w:trPr>
        <w:tc>
          <w:tcPr>
            <w:tcW w:w="2968" w:type="pct"/>
          </w:tcPr>
          <w:p w14:paraId="0F653699" w14:textId="6D2A8297" w:rsidR="00557CB3" w:rsidRPr="002740EA" w:rsidRDefault="00557CB3" w:rsidP="000C6B37">
            <w:pPr>
              <w:spacing w:line="276" w:lineRule="auto"/>
              <w:jc w:val="both"/>
              <w:rPr>
                <w:rFonts w:cs="Arial"/>
                <w:sz w:val="20"/>
                <w:szCs w:val="16"/>
              </w:rPr>
            </w:pPr>
            <w:r w:rsidRPr="002740EA">
              <w:rPr>
                <w:rFonts w:cs="Arial"/>
                <w:sz w:val="22"/>
                <w:szCs w:val="16"/>
              </w:rPr>
              <w:t>Total</w:t>
            </w:r>
          </w:p>
        </w:tc>
        <w:tc>
          <w:tcPr>
            <w:tcW w:w="2032" w:type="pct"/>
          </w:tcPr>
          <w:p w14:paraId="38EC3B76" w14:textId="4B0644BB" w:rsidR="00557CB3" w:rsidRPr="002740EA" w:rsidRDefault="00F91B99" w:rsidP="000C6B37">
            <w:pPr>
              <w:spacing w:line="276" w:lineRule="auto"/>
              <w:jc w:val="center"/>
              <w:rPr>
                <w:rFonts w:cs="Arial"/>
                <w:sz w:val="20"/>
                <w:szCs w:val="16"/>
              </w:rPr>
            </w:pPr>
            <w:r w:rsidRPr="002740EA">
              <w:rPr>
                <w:rFonts w:cs="Arial"/>
                <w:sz w:val="22"/>
                <w:szCs w:val="16"/>
              </w:rPr>
              <w:t xml:space="preserve">  </w:t>
            </w:r>
            <w:r w:rsidR="00557CB3" w:rsidRPr="002740EA">
              <w:rPr>
                <w:rFonts w:cs="Arial"/>
                <w:sz w:val="22"/>
                <w:szCs w:val="16"/>
              </w:rPr>
              <w:t>$ 449,327,342</w:t>
            </w:r>
            <w:r w:rsidR="00557CB3" w:rsidRPr="002740EA">
              <w:rPr>
                <w:rStyle w:val="Refdenotaalpie"/>
                <w:rFonts w:cs="Arial"/>
                <w:sz w:val="20"/>
                <w:szCs w:val="16"/>
              </w:rPr>
              <w:footnoteReference w:id="31"/>
            </w:r>
          </w:p>
        </w:tc>
      </w:tr>
    </w:tbl>
    <w:p w14:paraId="3A0C18C6" w14:textId="2F1E7547" w:rsidR="0018392E" w:rsidRPr="002740EA" w:rsidRDefault="00FF413B" w:rsidP="000C6B37">
      <w:pPr>
        <w:spacing w:after="0"/>
        <w:jc w:val="both"/>
        <w:rPr>
          <w:rFonts w:cs="Arial"/>
          <w:sz w:val="16"/>
          <w:szCs w:val="24"/>
        </w:rPr>
      </w:pPr>
      <w:r w:rsidRPr="002740EA">
        <w:rPr>
          <w:rFonts w:cs="Arial"/>
          <w:b/>
          <w:sz w:val="16"/>
          <w:szCs w:val="24"/>
        </w:rPr>
        <w:t xml:space="preserve">Fuente: </w:t>
      </w:r>
      <w:r w:rsidRPr="002740EA">
        <w:rPr>
          <w:rFonts w:cs="Arial"/>
          <w:sz w:val="16"/>
          <w:szCs w:val="24"/>
        </w:rPr>
        <w:t>elaborado por la ASEQROO con base en el Anexo del Presupuesto de Egresos del Gobierno del Estado de Quintana Roo, para el Ejercicio Fiscal 2020.</w:t>
      </w:r>
    </w:p>
    <w:p w14:paraId="3E85FABC" w14:textId="77777777" w:rsidR="00FF413B" w:rsidRPr="002740EA" w:rsidRDefault="00FF413B" w:rsidP="000C6B37">
      <w:pPr>
        <w:spacing w:after="0"/>
        <w:jc w:val="both"/>
        <w:rPr>
          <w:rFonts w:cs="Arial"/>
          <w:b/>
          <w:szCs w:val="24"/>
        </w:rPr>
      </w:pPr>
    </w:p>
    <w:p w14:paraId="59A91A9C" w14:textId="358ADBD3" w:rsidR="000C2C22" w:rsidRPr="002740EA" w:rsidRDefault="00724B05" w:rsidP="000C6B37">
      <w:pPr>
        <w:spacing w:after="0"/>
        <w:jc w:val="both"/>
        <w:rPr>
          <w:rFonts w:cs="Arial"/>
          <w:szCs w:val="24"/>
          <w:lang w:val="es-ES_tradnl"/>
        </w:rPr>
      </w:pPr>
      <w:r w:rsidRPr="002740EA">
        <w:rPr>
          <w:rFonts w:cs="Arial"/>
          <w:szCs w:val="24"/>
          <w:lang w:val="es-ES_tradnl"/>
        </w:rPr>
        <w:t>En este sentido se concluye que para el Ejercicio Fiscal 2020</w:t>
      </w:r>
      <w:r w:rsidR="00AC071E" w:rsidRPr="002740EA">
        <w:rPr>
          <w:rFonts w:cs="Arial"/>
          <w:szCs w:val="24"/>
          <w:lang w:val="es-ES_tradnl"/>
        </w:rPr>
        <w:t>,</w:t>
      </w:r>
      <w:r w:rsidRPr="002740EA">
        <w:rPr>
          <w:rFonts w:cs="Arial"/>
          <w:szCs w:val="24"/>
          <w:lang w:val="es-ES_tradnl"/>
        </w:rPr>
        <w:t xml:space="preserve"> los Programas Presupuestarios que operó </w:t>
      </w:r>
      <w:r w:rsidRPr="002740EA">
        <w:rPr>
          <w:rFonts w:cs="Arial"/>
          <w:szCs w:val="24"/>
        </w:rPr>
        <w:t xml:space="preserve">la Universidad de Quintana Roo </w:t>
      </w:r>
      <w:r w:rsidRPr="002740EA">
        <w:rPr>
          <w:rFonts w:cs="Arial"/>
          <w:szCs w:val="24"/>
          <w:lang w:val="es-ES_tradnl"/>
        </w:rPr>
        <w:t>son E103: Educación Superior y M001: Gestión y Apoyo Institucional.</w:t>
      </w:r>
    </w:p>
    <w:p w14:paraId="5108594C" w14:textId="488C5C53" w:rsidR="00557CB3" w:rsidRDefault="00242A4C" w:rsidP="000C6B37">
      <w:pPr>
        <w:spacing w:after="0" w:line="276" w:lineRule="auto"/>
        <w:jc w:val="both"/>
        <w:rPr>
          <w:rFonts w:cs="Arial"/>
          <w:szCs w:val="24"/>
          <w:lang w:val="es-ES_tradnl"/>
        </w:rPr>
      </w:pPr>
      <w:r w:rsidRPr="002740EA">
        <w:rPr>
          <w:rFonts w:cs="Arial"/>
          <w:szCs w:val="24"/>
          <w:lang w:val="es-ES_tradnl"/>
        </w:rPr>
        <w:lastRenderedPageBreak/>
        <w:t>Por su parte l</w:t>
      </w:r>
      <w:r w:rsidR="00557CB3" w:rsidRPr="002740EA">
        <w:rPr>
          <w:rFonts w:cs="Arial"/>
          <w:szCs w:val="24"/>
          <w:lang w:val="es-ES_tradnl"/>
        </w:rPr>
        <w:t>a Universidad de Quintana Roo presentó 2 Matrices de Indicadores para Resultados correspondientes a los Programas Presupuestarios E103- Educación Superior y M001- Gestión y Apoyo Institucional, de los cuales se analizó el diseño de la MIR y de sus Indicadores, obteniendo lo siguiente:</w:t>
      </w:r>
    </w:p>
    <w:p w14:paraId="4BBEA9A1" w14:textId="77777777" w:rsidR="005238FF" w:rsidRPr="002740EA" w:rsidRDefault="005238FF" w:rsidP="000C6B37">
      <w:pPr>
        <w:spacing w:after="0" w:line="276" w:lineRule="auto"/>
        <w:jc w:val="both"/>
        <w:rPr>
          <w:rFonts w:cs="Arial"/>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6"/>
      </w:tblGrid>
      <w:tr w:rsidR="00682D98" w:rsidRPr="002740EA" w14:paraId="55F08FFA" w14:textId="77777777" w:rsidTr="00684180">
        <w:trPr>
          <w:tblHeader/>
        </w:trPr>
        <w:tc>
          <w:tcPr>
            <w:tcW w:w="8838" w:type="dxa"/>
          </w:tcPr>
          <w:p w14:paraId="6A4E3913" w14:textId="46B2DAC4" w:rsidR="00682D98" w:rsidRPr="002740EA" w:rsidRDefault="0044746C" w:rsidP="000C6B37">
            <w:pPr>
              <w:spacing w:line="276" w:lineRule="auto"/>
              <w:jc w:val="both"/>
              <w:rPr>
                <w:rFonts w:cs="Arial"/>
                <w:b/>
                <w:szCs w:val="24"/>
                <w:lang w:val="es-ES_tradnl"/>
              </w:rPr>
            </w:pPr>
            <w:r w:rsidRPr="002740EA">
              <w:rPr>
                <w:rFonts w:cs="Arial"/>
                <w:b/>
                <w:sz w:val="20"/>
                <w:szCs w:val="24"/>
                <w:lang w:val="es-ES_tradnl"/>
              </w:rPr>
              <w:t>Figura 5. Árbol de problemas de los Programas presupuestarios E103- Educación Superior y M001- Gestión y Apoyo Institucional</w:t>
            </w:r>
          </w:p>
        </w:tc>
      </w:tr>
      <w:tr w:rsidR="00682D98" w:rsidRPr="002740EA" w14:paraId="3AA36657" w14:textId="77777777" w:rsidTr="006F0F8C">
        <w:tc>
          <w:tcPr>
            <w:tcW w:w="8838" w:type="dxa"/>
          </w:tcPr>
          <w:p w14:paraId="08D05040" w14:textId="15DEC5F3" w:rsidR="00682D98" w:rsidRPr="002740EA" w:rsidRDefault="00DF2FCE" w:rsidP="000C6B37">
            <w:pPr>
              <w:spacing w:line="276" w:lineRule="auto"/>
              <w:jc w:val="both"/>
              <w:rPr>
                <w:rFonts w:cs="Arial"/>
                <w:szCs w:val="24"/>
                <w:lang w:val="es-ES_tradnl"/>
              </w:rPr>
            </w:pPr>
            <w:r w:rsidRPr="002740EA">
              <w:rPr>
                <w:noProof/>
              </w:rPr>
              <w:drawing>
                <wp:inline distT="0" distB="0" distL="0" distR="0" wp14:anchorId="1E5CACF5" wp14:editId="1E28BA38">
                  <wp:extent cx="5472298" cy="2434442"/>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125" t="15899" r="14460" b="16310"/>
                          <a:stretch/>
                        </pic:blipFill>
                        <pic:spPr bwMode="auto">
                          <a:xfrm>
                            <a:off x="0" y="0"/>
                            <a:ext cx="5543689" cy="2466201"/>
                          </a:xfrm>
                          <a:prstGeom prst="rect">
                            <a:avLst/>
                          </a:prstGeom>
                          <a:ln>
                            <a:noFill/>
                          </a:ln>
                          <a:extLst>
                            <a:ext uri="{53640926-AAD7-44D8-BBD7-CCE9431645EC}">
                              <a14:shadowObscured xmlns:a14="http://schemas.microsoft.com/office/drawing/2010/main"/>
                            </a:ext>
                          </a:extLst>
                        </pic:spPr>
                      </pic:pic>
                    </a:graphicData>
                  </a:graphic>
                </wp:inline>
              </w:drawing>
            </w:r>
          </w:p>
        </w:tc>
      </w:tr>
      <w:tr w:rsidR="00DF2FCE" w:rsidRPr="002740EA" w14:paraId="21E55E83" w14:textId="77777777" w:rsidTr="006F0F8C">
        <w:tc>
          <w:tcPr>
            <w:tcW w:w="8838" w:type="dxa"/>
          </w:tcPr>
          <w:p w14:paraId="784001E4" w14:textId="77777777" w:rsidR="004C4BCD" w:rsidRPr="002740EA" w:rsidRDefault="004C4BCD" w:rsidP="000C6B37">
            <w:pPr>
              <w:spacing w:line="276" w:lineRule="auto"/>
              <w:jc w:val="both"/>
              <w:rPr>
                <w:noProof/>
              </w:rPr>
            </w:pPr>
          </w:p>
          <w:p w14:paraId="3C584895" w14:textId="2EB887D7" w:rsidR="00DF2FCE" w:rsidRPr="002740EA" w:rsidRDefault="004C4BCD" w:rsidP="000C6B37">
            <w:pPr>
              <w:spacing w:line="276" w:lineRule="auto"/>
              <w:jc w:val="both"/>
              <w:rPr>
                <w:rFonts w:cs="Arial"/>
                <w:szCs w:val="24"/>
                <w:lang w:val="es-ES_tradnl"/>
              </w:rPr>
            </w:pPr>
            <w:r w:rsidRPr="002740EA">
              <w:rPr>
                <w:noProof/>
              </w:rPr>
              <w:drawing>
                <wp:inline distT="0" distB="0" distL="0" distR="0" wp14:anchorId="26409837" wp14:editId="3D96C674">
                  <wp:extent cx="5554489" cy="2196935"/>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5514" t="15301" r="16024" b="26355"/>
                          <a:stretch/>
                        </pic:blipFill>
                        <pic:spPr bwMode="auto">
                          <a:xfrm>
                            <a:off x="0" y="0"/>
                            <a:ext cx="5583411" cy="2208374"/>
                          </a:xfrm>
                          <a:prstGeom prst="rect">
                            <a:avLst/>
                          </a:prstGeom>
                          <a:ln>
                            <a:noFill/>
                          </a:ln>
                          <a:extLst>
                            <a:ext uri="{53640926-AAD7-44D8-BBD7-CCE9431645EC}">
                              <a14:shadowObscured xmlns:a14="http://schemas.microsoft.com/office/drawing/2010/main"/>
                            </a:ext>
                          </a:extLst>
                        </pic:spPr>
                      </pic:pic>
                    </a:graphicData>
                  </a:graphic>
                </wp:inline>
              </w:drawing>
            </w:r>
          </w:p>
        </w:tc>
      </w:tr>
      <w:tr w:rsidR="00DF2FCE" w:rsidRPr="002740EA" w14:paraId="5AC04C20" w14:textId="77777777" w:rsidTr="006F0F8C">
        <w:tc>
          <w:tcPr>
            <w:tcW w:w="8838" w:type="dxa"/>
          </w:tcPr>
          <w:p w14:paraId="1E667C76" w14:textId="1452C7B9" w:rsidR="0061169C" w:rsidRPr="002740EA" w:rsidRDefault="0061169C" w:rsidP="000C6B37">
            <w:pPr>
              <w:ind w:right="233"/>
              <w:jc w:val="both"/>
              <w:rPr>
                <w:rFonts w:cs="Arial"/>
                <w:sz w:val="16"/>
                <w:szCs w:val="16"/>
              </w:rPr>
            </w:pPr>
            <w:r w:rsidRPr="002740EA">
              <w:rPr>
                <w:rFonts w:cs="Arial"/>
                <w:b/>
                <w:sz w:val="16"/>
                <w:szCs w:val="16"/>
              </w:rPr>
              <w:t>Fuente:</w:t>
            </w:r>
            <w:r w:rsidRPr="002740EA">
              <w:rPr>
                <w:rFonts w:cs="Arial"/>
                <w:sz w:val="16"/>
                <w:szCs w:val="16"/>
              </w:rPr>
              <w:t xml:space="preserve"> Elabora</w:t>
            </w:r>
            <w:r w:rsidR="00283281" w:rsidRPr="002740EA">
              <w:rPr>
                <w:rFonts w:cs="Arial"/>
                <w:sz w:val="16"/>
                <w:szCs w:val="16"/>
              </w:rPr>
              <w:t>do por la ASEQROO de acuerdo a l</w:t>
            </w:r>
            <w:r w:rsidRPr="002740EA">
              <w:rPr>
                <w:rFonts w:cs="Arial"/>
                <w:sz w:val="16"/>
                <w:szCs w:val="16"/>
              </w:rPr>
              <w:t>as Matrices de Indicadores para Resultados de los Programas Presupuestarios de la UQROO entregados por el ente.</w:t>
            </w:r>
          </w:p>
          <w:p w14:paraId="77678E05" w14:textId="77777777" w:rsidR="00DF2FCE" w:rsidRPr="002740EA" w:rsidRDefault="00DF2FCE" w:rsidP="000C6B37">
            <w:pPr>
              <w:spacing w:line="276" w:lineRule="auto"/>
              <w:jc w:val="both"/>
              <w:rPr>
                <w:rFonts w:cs="Arial"/>
                <w:szCs w:val="24"/>
                <w:lang w:val="es-ES_tradnl"/>
              </w:rPr>
            </w:pPr>
          </w:p>
        </w:tc>
      </w:tr>
    </w:tbl>
    <w:p w14:paraId="5D6104AF" w14:textId="77777777" w:rsidR="005238FF" w:rsidRDefault="005238FF" w:rsidP="00EE2C60">
      <w:pPr>
        <w:spacing w:after="0"/>
        <w:jc w:val="both"/>
        <w:rPr>
          <w:rFonts w:cs="Arial"/>
          <w:szCs w:val="24"/>
          <w:lang w:val="es-ES_tradnl"/>
        </w:rPr>
      </w:pPr>
    </w:p>
    <w:p w14:paraId="23A0E733" w14:textId="3F4F3996" w:rsidR="00EE2C60" w:rsidRPr="002740EA" w:rsidRDefault="00EE2C60" w:rsidP="00EE2C60">
      <w:pPr>
        <w:spacing w:after="0"/>
        <w:jc w:val="both"/>
        <w:rPr>
          <w:rFonts w:cs="Arial"/>
          <w:bCs/>
          <w:szCs w:val="24"/>
          <w:lang w:eastAsia="es-MX"/>
        </w:rPr>
      </w:pPr>
      <w:r w:rsidRPr="002740EA">
        <w:rPr>
          <w:rFonts w:cs="Arial"/>
          <w:szCs w:val="24"/>
          <w:lang w:val="es-ES_tradnl"/>
        </w:rPr>
        <w:lastRenderedPageBreak/>
        <w:t xml:space="preserve">En este sentido se concluye que la </w:t>
      </w:r>
      <w:r w:rsidRPr="002740EA">
        <w:rPr>
          <w:rFonts w:cs="Arial"/>
          <w:bCs/>
          <w:szCs w:val="24"/>
          <w:lang w:val="es-ES_tradnl"/>
        </w:rPr>
        <w:t>Universidad de Quintana Roo</w:t>
      </w:r>
      <w:r w:rsidRPr="002740EA">
        <w:rPr>
          <w:rFonts w:cs="Arial"/>
          <w:szCs w:val="24"/>
          <w:lang w:val="es-ES_tradnl"/>
        </w:rPr>
        <w:t xml:space="preserve"> presentó </w:t>
      </w:r>
      <w:r w:rsidRPr="002740EA">
        <w:rPr>
          <w:rFonts w:cs="Arial"/>
          <w:bCs/>
          <w:szCs w:val="24"/>
          <w:lang w:eastAsia="es-MX"/>
        </w:rPr>
        <w:t>una Matriz de Indicadores para Resultados por cada prog</w:t>
      </w:r>
      <w:r w:rsidR="003073A2" w:rsidRPr="002740EA">
        <w:rPr>
          <w:rFonts w:cs="Arial"/>
          <w:bCs/>
          <w:szCs w:val="24"/>
          <w:lang w:eastAsia="es-MX"/>
        </w:rPr>
        <w:t>rama presupuestario establecido.</w:t>
      </w:r>
    </w:p>
    <w:p w14:paraId="7A73E9FD" w14:textId="77777777" w:rsidR="00EE2C60" w:rsidRPr="002740EA" w:rsidRDefault="00EE2C60" w:rsidP="000C6B37">
      <w:pPr>
        <w:spacing w:after="0"/>
        <w:jc w:val="both"/>
        <w:rPr>
          <w:rFonts w:cs="Arial"/>
          <w:szCs w:val="24"/>
          <w:lang w:val="es-ES_tradnl"/>
        </w:rPr>
      </w:pPr>
    </w:p>
    <w:p w14:paraId="1F5D3664" w14:textId="5A813E51" w:rsidR="00C50D3A" w:rsidRPr="002740EA" w:rsidRDefault="004E0D22" w:rsidP="000C6B37">
      <w:pPr>
        <w:spacing w:after="0"/>
        <w:jc w:val="both"/>
        <w:rPr>
          <w:rFonts w:cs="Arial"/>
          <w:szCs w:val="24"/>
          <w:lang w:val="es-ES_tradnl"/>
        </w:rPr>
      </w:pPr>
      <w:r w:rsidRPr="002740EA">
        <w:rPr>
          <w:rFonts w:cs="Arial"/>
          <w:szCs w:val="24"/>
          <w:lang w:val="es-ES_tradnl"/>
        </w:rPr>
        <w:t>Por su parte l</w:t>
      </w:r>
      <w:r w:rsidR="00DF2D23" w:rsidRPr="002740EA">
        <w:rPr>
          <w:rFonts w:cs="Arial"/>
          <w:szCs w:val="24"/>
          <w:lang w:val="es-ES_tradnl"/>
        </w:rPr>
        <w:t>a UQROO</w:t>
      </w:r>
      <w:r w:rsidR="00C50D3A" w:rsidRPr="002740EA">
        <w:rPr>
          <w:rFonts w:cs="Arial"/>
          <w:szCs w:val="24"/>
          <w:lang w:val="es-ES_tradnl"/>
        </w:rPr>
        <w:t xml:space="preserve"> hizo entrega de las fichas de cada uno de los indicadores de las MIR. A continuación, se presenta como ejemplo la ficha de indicador del nivel Propósito del programa presupuestario E103 - Educación Superior:</w:t>
      </w:r>
    </w:p>
    <w:p w14:paraId="6753A2FA" w14:textId="706B22F5" w:rsidR="005D7B02" w:rsidRPr="002740EA" w:rsidRDefault="005D7B02" w:rsidP="000C6B37">
      <w:pPr>
        <w:spacing w:after="0"/>
        <w:jc w:val="both"/>
        <w:rPr>
          <w:rFonts w:cs="Arial"/>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6"/>
      </w:tblGrid>
      <w:tr w:rsidR="005D7B02" w:rsidRPr="002740EA" w14:paraId="5B9F67D8" w14:textId="77777777" w:rsidTr="00120F88">
        <w:trPr>
          <w:trHeight w:val="260"/>
        </w:trPr>
        <w:tc>
          <w:tcPr>
            <w:tcW w:w="8886" w:type="dxa"/>
          </w:tcPr>
          <w:p w14:paraId="2D7AD08C" w14:textId="21EECB14" w:rsidR="005D7B02" w:rsidRPr="002740EA" w:rsidRDefault="005D7B02" w:rsidP="000C6B37">
            <w:pPr>
              <w:jc w:val="both"/>
              <w:rPr>
                <w:b/>
                <w:noProof/>
                <w:sz w:val="20"/>
                <w:szCs w:val="20"/>
              </w:rPr>
            </w:pPr>
            <w:r w:rsidRPr="002740EA">
              <w:rPr>
                <w:b/>
                <w:noProof/>
                <w:sz w:val="20"/>
                <w:szCs w:val="20"/>
              </w:rPr>
              <w:t>Figura 6</w:t>
            </w:r>
            <w:r w:rsidR="007C2ACA" w:rsidRPr="002740EA">
              <w:rPr>
                <w:b/>
                <w:noProof/>
                <w:sz w:val="20"/>
                <w:szCs w:val="20"/>
              </w:rPr>
              <w:t>.</w:t>
            </w:r>
            <w:r w:rsidR="00B52B45" w:rsidRPr="002740EA">
              <w:rPr>
                <w:rFonts w:cs="Arial"/>
                <w:b/>
                <w:sz w:val="20"/>
                <w:szCs w:val="20"/>
                <w:lang w:val="es-ES_tradnl"/>
              </w:rPr>
              <w:t xml:space="preserve"> Ficha de indicador, nivel Propósito, del Programa Presupuestario </w:t>
            </w:r>
            <w:r w:rsidR="00B52B45" w:rsidRPr="002740EA">
              <w:rPr>
                <w:rFonts w:cs="Arial"/>
                <w:b/>
                <w:sz w:val="20"/>
                <w:szCs w:val="20"/>
              </w:rPr>
              <w:t>E103 - Educación Superior</w:t>
            </w:r>
          </w:p>
        </w:tc>
      </w:tr>
      <w:tr w:rsidR="000A052B" w:rsidRPr="002740EA" w14:paraId="6E1C8C4E" w14:textId="77777777" w:rsidTr="00120F88">
        <w:tc>
          <w:tcPr>
            <w:tcW w:w="8886" w:type="dxa"/>
          </w:tcPr>
          <w:p w14:paraId="10E9A2F0" w14:textId="5E4C99EF" w:rsidR="000A052B" w:rsidRPr="002740EA" w:rsidRDefault="0085778D" w:rsidP="000C6B37">
            <w:pPr>
              <w:jc w:val="both"/>
              <w:rPr>
                <w:rFonts w:cs="Arial"/>
                <w:szCs w:val="24"/>
                <w:lang w:val="es-ES_tradnl"/>
              </w:rPr>
            </w:pPr>
            <w:r w:rsidRPr="002740EA">
              <w:rPr>
                <w:noProof/>
              </w:rPr>
              <w:drawing>
                <wp:inline distT="0" distB="0" distL="0" distR="0" wp14:anchorId="694A1B6B" wp14:editId="04B0A977">
                  <wp:extent cx="5500928" cy="2121408"/>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9365" t="14490" r="20544" b="32185"/>
                          <a:stretch/>
                        </pic:blipFill>
                        <pic:spPr bwMode="auto">
                          <a:xfrm>
                            <a:off x="0" y="0"/>
                            <a:ext cx="5545464" cy="2138583"/>
                          </a:xfrm>
                          <a:prstGeom prst="rect">
                            <a:avLst/>
                          </a:prstGeom>
                          <a:ln>
                            <a:noFill/>
                          </a:ln>
                          <a:extLst>
                            <a:ext uri="{53640926-AAD7-44D8-BBD7-CCE9431645EC}">
                              <a14:shadowObscured xmlns:a14="http://schemas.microsoft.com/office/drawing/2010/main"/>
                            </a:ext>
                          </a:extLst>
                        </pic:spPr>
                      </pic:pic>
                    </a:graphicData>
                  </a:graphic>
                </wp:inline>
              </w:drawing>
            </w:r>
          </w:p>
        </w:tc>
      </w:tr>
      <w:tr w:rsidR="000A052B" w:rsidRPr="002740EA" w14:paraId="150E6933" w14:textId="77777777" w:rsidTr="00120F88">
        <w:tc>
          <w:tcPr>
            <w:tcW w:w="8886" w:type="dxa"/>
          </w:tcPr>
          <w:p w14:paraId="583F723D" w14:textId="56C8CBE7" w:rsidR="000A052B" w:rsidRPr="002740EA" w:rsidRDefault="0085778D" w:rsidP="000C6B37">
            <w:pPr>
              <w:jc w:val="both"/>
              <w:rPr>
                <w:rFonts w:cs="Arial"/>
                <w:szCs w:val="24"/>
                <w:lang w:val="es-ES_tradnl"/>
              </w:rPr>
            </w:pPr>
            <w:r w:rsidRPr="002740EA">
              <w:rPr>
                <w:rFonts w:cs="Arial"/>
                <w:b/>
                <w:sz w:val="16"/>
                <w:szCs w:val="16"/>
                <w:lang w:val="es-ES_tradnl"/>
              </w:rPr>
              <w:t>Fuente:</w:t>
            </w:r>
            <w:r w:rsidRPr="002740EA">
              <w:rPr>
                <w:rFonts w:cs="Arial"/>
                <w:sz w:val="16"/>
                <w:szCs w:val="16"/>
                <w:lang w:val="es-ES_tradnl"/>
              </w:rPr>
              <w:t xml:space="preserve"> Ficha de indicador, nivel Propósito, del Programa Presupuestario </w:t>
            </w:r>
            <w:r w:rsidRPr="002740EA">
              <w:rPr>
                <w:rFonts w:cs="Arial"/>
                <w:sz w:val="16"/>
                <w:szCs w:val="16"/>
              </w:rPr>
              <w:t>E103 - Educación Superior entregado por la UQROO.</w:t>
            </w:r>
          </w:p>
        </w:tc>
      </w:tr>
    </w:tbl>
    <w:p w14:paraId="07F33948" w14:textId="5AEAAE33" w:rsidR="000A052B" w:rsidRPr="002740EA" w:rsidRDefault="000A052B" w:rsidP="000C6B37">
      <w:pPr>
        <w:spacing w:after="0"/>
        <w:jc w:val="both"/>
        <w:rPr>
          <w:rFonts w:cs="Arial"/>
          <w:szCs w:val="24"/>
          <w:lang w:val="es-ES_tradnl"/>
        </w:rPr>
      </w:pPr>
    </w:p>
    <w:p w14:paraId="7A2E4ACF" w14:textId="1642AFB1" w:rsidR="006F4365" w:rsidRPr="002740EA" w:rsidRDefault="006F4365" w:rsidP="006F4365">
      <w:pPr>
        <w:spacing w:after="0"/>
        <w:jc w:val="both"/>
        <w:rPr>
          <w:rFonts w:cs="Arial"/>
          <w:szCs w:val="24"/>
          <w:lang w:val="es-ES_tradnl"/>
        </w:rPr>
      </w:pPr>
      <w:r w:rsidRPr="002740EA">
        <w:rPr>
          <w:rFonts w:cs="Arial"/>
          <w:szCs w:val="24"/>
          <w:lang w:val="es-ES_tradnl"/>
        </w:rPr>
        <w:t>Al respecto se concluye que la</w:t>
      </w:r>
      <w:r w:rsidRPr="002740EA">
        <w:rPr>
          <w:rFonts w:cs="Arial"/>
          <w:b/>
          <w:szCs w:val="24"/>
          <w:lang w:val="es-ES_tradnl"/>
        </w:rPr>
        <w:t xml:space="preserve"> </w:t>
      </w:r>
      <w:r w:rsidRPr="002740EA">
        <w:rPr>
          <w:rFonts w:cs="Arial"/>
          <w:szCs w:val="24"/>
          <w:lang w:val="es-ES_tradnl"/>
        </w:rPr>
        <w:t>Universidad de Quintana Roo cuenta con la ficha técnica de cada uno de los indicadores establecidos en la Matriz de Indicadores para Resultados.</w:t>
      </w:r>
    </w:p>
    <w:p w14:paraId="7829C5D2" w14:textId="75A48752" w:rsidR="006F4365" w:rsidRPr="002740EA" w:rsidRDefault="006F4365" w:rsidP="000C6B37">
      <w:pPr>
        <w:spacing w:after="0"/>
        <w:jc w:val="both"/>
        <w:rPr>
          <w:rFonts w:cs="Arial"/>
          <w:szCs w:val="24"/>
          <w:lang w:val="es-ES_tradnl"/>
        </w:rPr>
      </w:pPr>
    </w:p>
    <w:p w14:paraId="1933AF30" w14:textId="3D8CFEDB" w:rsidR="008561DB" w:rsidRPr="002740EA" w:rsidRDefault="00BC0FD4" w:rsidP="000C6B37">
      <w:pPr>
        <w:autoSpaceDE w:val="0"/>
        <w:autoSpaceDN w:val="0"/>
        <w:adjustRightInd w:val="0"/>
        <w:spacing w:after="0"/>
        <w:jc w:val="both"/>
        <w:rPr>
          <w:rFonts w:eastAsia="Times New Roman" w:cs="Arial"/>
          <w:bCs/>
          <w:szCs w:val="24"/>
          <w:lang w:eastAsia="es-ES"/>
        </w:rPr>
      </w:pPr>
      <w:r w:rsidRPr="002740EA">
        <w:rPr>
          <w:rFonts w:eastAsia="Times New Roman" w:cs="Arial"/>
          <w:bCs/>
          <w:szCs w:val="24"/>
          <w:lang w:eastAsia="es-ES"/>
        </w:rPr>
        <w:t>P</w:t>
      </w:r>
      <w:r w:rsidR="00871798" w:rsidRPr="002740EA">
        <w:rPr>
          <w:rFonts w:eastAsia="Times New Roman" w:cs="Arial"/>
          <w:bCs/>
          <w:szCs w:val="24"/>
          <w:lang w:eastAsia="es-ES"/>
        </w:rPr>
        <w:t>or consiguiente</w:t>
      </w:r>
      <w:r w:rsidRPr="002740EA">
        <w:rPr>
          <w:rFonts w:eastAsia="Times New Roman" w:cs="Arial"/>
          <w:bCs/>
          <w:szCs w:val="24"/>
          <w:lang w:eastAsia="es-ES"/>
        </w:rPr>
        <w:t>,</w:t>
      </w:r>
      <w:r w:rsidR="00FC7A74" w:rsidRPr="002740EA">
        <w:rPr>
          <w:rFonts w:eastAsia="Times New Roman" w:cs="Arial"/>
          <w:bCs/>
          <w:szCs w:val="24"/>
          <w:lang w:eastAsia="es-ES"/>
        </w:rPr>
        <w:t xml:space="preserve"> s</w:t>
      </w:r>
      <w:r w:rsidR="008561DB" w:rsidRPr="002740EA">
        <w:rPr>
          <w:rFonts w:eastAsia="Times New Roman" w:cs="Arial"/>
          <w:bCs/>
          <w:szCs w:val="24"/>
          <w:lang w:eastAsia="es-ES"/>
        </w:rPr>
        <w:t>e analizó la MIR de los Programas Presupuestarios del Ejercicio Fiscal 2020 de la Universidad de Quintana Roo, obteniendo lo siguiente:</w:t>
      </w:r>
    </w:p>
    <w:p w14:paraId="0E61163D" w14:textId="287B9EE8" w:rsidR="00B429EB" w:rsidRDefault="00B429EB" w:rsidP="000C6B37">
      <w:pPr>
        <w:spacing w:after="0" w:line="276" w:lineRule="auto"/>
        <w:jc w:val="both"/>
        <w:rPr>
          <w:rFonts w:cs="Arial"/>
          <w:b/>
        </w:rPr>
      </w:pPr>
    </w:p>
    <w:p w14:paraId="298BF416" w14:textId="2D060364" w:rsidR="005238FF" w:rsidRDefault="005238FF" w:rsidP="000C6B37">
      <w:pPr>
        <w:spacing w:after="0" w:line="276" w:lineRule="auto"/>
        <w:jc w:val="both"/>
        <w:rPr>
          <w:rFonts w:cs="Arial"/>
          <w:b/>
        </w:rPr>
      </w:pPr>
    </w:p>
    <w:p w14:paraId="5ABCE36D" w14:textId="3D76FED1" w:rsidR="005238FF" w:rsidRDefault="005238FF" w:rsidP="000C6B37">
      <w:pPr>
        <w:spacing w:after="0" w:line="276" w:lineRule="auto"/>
        <w:jc w:val="both"/>
        <w:rPr>
          <w:rFonts w:cs="Arial"/>
          <w:b/>
        </w:rPr>
      </w:pPr>
    </w:p>
    <w:p w14:paraId="191A7404" w14:textId="4FD45DBD" w:rsidR="005238FF" w:rsidRDefault="005238FF" w:rsidP="000C6B37">
      <w:pPr>
        <w:spacing w:after="0" w:line="276" w:lineRule="auto"/>
        <w:jc w:val="both"/>
        <w:rPr>
          <w:rFonts w:cs="Arial"/>
          <w:b/>
        </w:rPr>
      </w:pPr>
    </w:p>
    <w:p w14:paraId="211CE983" w14:textId="19A316D4" w:rsidR="005238FF" w:rsidRDefault="005238FF" w:rsidP="000C6B37">
      <w:pPr>
        <w:spacing w:after="0" w:line="276" w:lineRule="auto"/>
        <w:jc w:val="both"/>
        <w:rPr>
          <w:rFonts w:cs="Arial"/>
          <w:b/>
        </w:rPr>
      </w:pPr>
    </w:p>
    <w:p w14:paraId="20AF7718" w14:textId="0D3562A2" w:rsidR="005238FF" w:rsidRDefault="005238FF" w:rsidP="000C6B37">
      <w:pPr>
        <w:spacing w:after="0" w:line="276" w:lineRule="auto"/>
        <w:jc w:val="both"/>
        <w:rPr>
          <w:rFonts w:cs="Arial"/>
          <w:b/>
        </w:rPr>
      </w:pPr>
    </w:p>
    <w:p w14:paraId="54159E11" w14:textId="5AC27DCF" w:rsidR="005238FF" w:rsidRDefault="005238FF" w:rsidP="000C6B37">
      <w:pPr>
        <w:spacing w:after="0" w:line="276" w:lineRule="auto"/>
        <w:jc w:val="both"/>
        <w:rPr>
          <w:rFonts w:cs="Arial"/>
          <w:b/>
        </w:rPr>
      </w:pPr>
    </w:p>
    <w:p w14:paraId="7261535A" w14:textId="7F6B8D14" w:rsidR="005238FF" w:rsidRDefault="005238FF" w:rsidP="000C6B37">
      <w:pPr>
        <w:spacing w:after="0" w:line="276" w:lineRule="auto"/>
        <w:jc w:val="both"/>
        <w:rPr>
          <w:rFonts w:cs="Arial"/>
          <w:b/>
        </w:rPr>
      </w:pPr>
    </w:p>
    <w:p w14:paraId="5C102908" w14:textId="77777777" w:rsidR="005238FF" w:rsidRPr="002740EA" w:rsidRDefault="005238FF" w:rsidP="000C6B37">
      <w:pPr>
        <w:spacing w:after="0" w:line="276" w:lineRule="auto"/>
        <w:jc w:val="both"/>
        <w:rPr>
          <w:rFonts w:cs="Arial"/>
          <w:b/>
        </w:rPr>
      </w:pPr>
    </w:p>
    <w:tbl>
      <w:tblPr>
        <w:tblW w:w="4995" w:type="pct"/>
        <w:jc w:val="center"/>
        <w:tblLayout w:type="fixed"/>
        <w:tblCellMar>
          <w:left w:w="70" w:type="dxa"/>
          <w:right w:w="70" w:type="dxa"/>
        </w:tblCellMar>
        <w:tblLook w:val="04A0" w:firstRow="1" w:lastRow="0" w:firstColumn="1" w:lastColumn="0" w:noHBand="0" w:noVBand="1"/>
      </w:tblPr>
      <w:tblGrid>
        <w:gridCol w:w="2038"/>
        <w:gridCol w:w="1745"/>
        <w:gridCol w:w="753"/>
        <w:gridCol w:w="645"/>
        <w:gridCol w:w="643"/>
        <w:gridCol w:w="645"/>
        <w:gridCol w:w="643"/>
        <w:gridCol w:w="645"/>
        <w:gridCol w:w="643"/>
        <w:gridCol w:w="663"/>
      </w:tblGrid>
      <w:tr w:rsidR="00CB5DB1" w:rsidRPr="002740EA" w14:paraId="0AE52E5D" w14:textId="77777777" w:rsidTr="005C7735">
        <w:trPr>
          <w:trHeight w:val="294"/>
          <w:jc w:val="center"/>
        </w:trPr>
        <w:tc>
          <w:tcPr>
            <w:tcW w:w="5000" w:type="pct"/>
            <w:gridSpan w:val="10"/>
            <w:tcBorders>
              <w:bottom w:val="single" w:sz="4" w:space="0" w:color="auto"/>
            </w:tcBorders>
            <w:shd w:val="clear" w:color="auto" w:fill="FFFFFF" w:themeFill="background1"/>
          </w:tcPr>
          <w:p w14:paraId="0B34FD46"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lastRenderedPageBreak/>
              <w:t>Tabla 5: Resumen del Análisis de la MIR de los Programas Presupuestarios de la UQROO</w:t>
            </w:r>
          </w:p>
        </w:tc>
      </w:tr>
      <w:tr w:rsidR="00CB5DB1" w:rsidRPr="002740EA" w14:paraId="2E67758B" w14:textId="77777777" w:rsidTr="00A502BA">
        <w:trPr>
          <w:trHeight w:val="294"/>
          <w:jc w:val="center"/>
        </w:trPr>
        <w:tc>
          <w:tcPr>
            <w:tcW w:w="1124" w:type="pct"/>
            <w:vMerge w:val="restart"/>
            <w:tcBorders>
              <w:top w:val="single" w:sz="4" w:space="0" w:color="auto"/>
              <w:left w:val="single" w:sz="8" w:space="0" w:color="auto"/>
              <w:bottom w:val="single" w:sz="8" w:space="0" w:color="auto"/>
              <w:right w:val="single" w:sz="4" w:space="0" w:color="auto"/>
            </w:tcBorders>
            <w:shd w:val="clear" w:color="000000" w:fill="DEEAF6"/>
            <w:vAlign w:val="center"/>
            <w:hideMark/>
          </w:tcPr>
          <w:p w14:paraId="153067A6"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 xml:space="preserve">Programa </w:t>
            </w:r>
          </w:p>
          <w:p w14:paraId="7D05182D"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Presupuestario</w:t>
            </w:r>
          </w:p>
        </w:tc>
        <w:tc>
          <w:tcPr>
            <w:tcW w:w="962" w:type="pct"/>
            <w:vMerge w:val="restart"/>
            <w:tcBorders>
              <w:top w:val="single" w:sz="4" w:space="0" w:color="auto"/>
              <w:left w:val="single" w:sz="4" w:space="0" w:color="auto"/>
              <w:right w:val="single" w:sz="4" w:space="0" w:color="auto"/>
            </w:tcBorders>
            <w:shd w:val="clear" w:color="auto" w:fill="DEEAF6" w:themeFill="accent1" w:themeFillTint="33"/>
          </w:tcPr>
          <w:p w14:paraId="477D847D" w14:textId="77777777" w:rsidR="00CB5DB1" w:rsidRPr="002740EA" w:rsidRDefault="00CB5DB1" w:rsidP="000C6B37">
            <w:pPr>
              <w:spacing w:after="0" w:line="276" w:lineRule="auto"/>
              <w:jc w:val="center"/>
              <w:rPr>
                <w:rFonts w:cs="Arial"/>
                <w:b/>
                <w:bCs/>
                <w:color w:val="000000"/>
                <w:sz w:val="20"/>
                <w:szCs w:val="20"/>
                <w:lang w:eastAsia="es-MX"/>
              </w:rPr>
            </w:pPr>
          </w:p>
          <w:p w14:paraId="355078EA"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 xml:space="preserve">Nivel de la MIR </w:t>
            </w:r>
            <w:r w:rsidRPr="002740EA">
              <w:rPr>
                <w:rFonts w:cs="Arial"/>
                <w:bCs/>
                <w:color w:val="000000"/>
                <w:sz w:val="20"/>
                <w:szCs w:val="20"/>
                <w:lang w:eastAsia="es-MX"/>
              </w:rPr>
              <w:t>(Fin, propósito, componente y actividad)</w:t>
            </w:r>
          </w:p>
        </w:tc>
        <w:tc>
          <w:tcPr>
            <w:tcW w:w="771" w:type="pct"/>
            <w:gridSpan w:val="2"/>
            <w:tcBorders>
              <w:top w:val="single" w:sz="4" w:space="0" w:color="auto"/>
              <w:left w:val="single" w:sz="4" w:space="0" w:color="auto"/>
              <w:bottom w:val="single" w:sz="8" w:space="0" w:color="auto"/>
              <w:right w:val="single" w:sz="8" w:space="0" w:color="auto"/>
            </w:tcBorders>
            <w:shd w:val="clear" w:color="auto" w:fill="DEEAF6" w:themeFill="accent1" w:themeFillTint="33"/>
            <w:vAlign w:val="center"/>
            <w:hideMark/>
          </w:tcPr>
          <w:p w14:paraId="6B3B8A1D"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Resumen narrativo</w:t>
            </w:r>
          </w:p>
        </w:tc>
        <w:tc>
          <w:tcPr>
            <w:tcW w:w="711" w:type="pct"/>
            <w:gridSpan w:val="2"/>
            <w:tcBorders>
              <w:top w:val="single" w:sz="4" w:space="0" w:color="auto"/>
              <w:left w:val="nil"/>
              <w:bottom w:val="single" w:sz="8" w:space="0" w:color="auto"/>
              <w:right w:val="single" w:sz="8" w:space="0" w:color="auto"/>
            </w:tcBorders>
            <w:shd w:val="clear" w:color="auto" w:fill="DEEAF6" w:themeFill="accent1" w:themeFillTint="33"/>
            <w:vAlign w:val="center"/>
            <w:hideMark/>
          </w:tcPr>
          <w:p w14:paraId="662E63F5"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Indicador</w:t>
            </w:r>
          </w:p>
        </w:tc>
        <w:tc>
          <w:tcPr>
            <w:tcW w:w="711" w:type="pct"/>
            <w:gridSpan w:val="2"/>
            <w:tcBorders>
              <w:top w:val="single" w:sz="4" w:space="0" w:color="auto"/>
              <w:left w:val="nil"/>
              <w:bottom w:val="single" w:sz="8" w:space="0" w:color="auto"/>
              <w:right w:val="single" w:sz="8" w:space="0" w:color="auto"/>
            </w:tcBorders>
            <w:shd w:val="clear" w:color="auto" w:fill="DEEAF6" w:themeFill="accent1" w:themeFillTint="33"/>
            <w:vAlign w:val="center"/>
            <w:hideMark/>
          </w:tcPr>
          <w:p w14:paraId="1CBD9DB9"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Medios de verificación</w:t>
            </w:r>
          </w:p>
        </w:tc>
        <w:tc>
          <w:tcPr>
            <w:tcW w:w="720" w:type="pct"/>
            <w:gridSpan w:val="2"/>
            <w:tcBorders>
              <w:top w:val="single" w:sz="4" w:space="0" w:color="auto"/>
              <w:left w:val="nil"/>
              <w:bottom w:val="single" w:sz="8" w:space="0" w:color="auto"/>
              <w:right w:val="single" w:sz="8" w:space="0" w:color="auto"/>
            </w:tcBorders>
            <w:shd w:val="clear" w:color="auto" w:fill="DEEAF6" w:themeFill="accent1" w:themeFillTint="33"/>
            <w:vAlign w:val="center"/>
            <w:hideMark/>
          </w:tcPr>
          <w:p w14:paraId="31589561" w14:textId="77777777" w:rsidR="00CB5DB1" w:rsidRPr="002740EA" w:rsidRDefault="00CB5DB1" w:rsidP="000C6B37">
            <w:pPr>
              <w:spacing w:after="0" w:line="276" w:lineRule="auto"/>
              <w:jc w:val="center"/>
              <w:rPr>
                <w:rFonts w:cs="Arial"/>
                <w:b/>
                <w:bCs/>
                <w:color w:val="000000"/>
                <w:sz w:val="20"/>
                <w:szCs w:val="20"/>
                <w:lang w:eastAsia="es-MX"/>
              </w:rPr>
            </w:pPr>
            <w:r w:rsidRPr="002740EA">
              <w:rPr>
                <w:rFonts w:cs="Arial"/>
                <w:b/>
                <w:bCs/>
                <w:color w:val="000000"/>
                <w:sz w:val="20"/>
                <w:szCs w:val="20"/>
                <w:lang w:eastAsia="es-MX"/>
              </w:rPr>
              <w:t>Supuestos</w:t>
            </w:r>
          </w:p>
        </w:tc>
      </w:tr>
      <w:tr w:rsidR="00CB5DB1" w:rsidRPr="002740EA" w14:paraId="47437095" w14:textId="77777777" w:rsidTr="00AC071E">
        <w:trPr>
          <w:cantSplit/>
          <w:trHeight w:val="1461"/>
          <w:jc w:val="center"/>
        </w:trPr>
        <w:tc>
          <w:tcPr>
            <w:tcW w:w="1124" w:type="pct"/>
            <w:vMerge/>
            <w:tcBorders>
              <w:top w:val="nil"/>
              <w:left w:val="single" w:sz="8" w:space="0" w:color="auto"/>
              <w:bottom w:val="single" w:sz="4" w:space="0" w:color="auto"/>
              <w:right w:val="single" w:sz="4" w:space="0" w:color="auto"/>
            </w:tcBorders>
            <w:vAlign w:val="center"/>
            <w:hideMark/>
          </w:tcPr>
          <w:p w14:paraId="52151E07" w14:textId="77777777" w:rsidR="00CB5DB1" w:rsidRPr="002740EA" w:rsidRDefault="00CB5DB1" w:rsidP="000C6B37">
            <w:pPr>
              <w:spacing w:after="0" w:line="276" w:lineRule="auto"/>
              <w:rPr>
                <w:rFonts w:cs="Arial"/>
                <w:b/>
                <w:bCs/>
                <w:color w:val="000000"/>
                <w:sz w:val="20"/>
                <w:szCs w:val="20"/>
                <w:lang w:eastAsia="es-MX"/>
              </w:rPr>
            </w:pPr>
          </w:p>
        </w:tc>
        <w:tc>
          <w:tcPr>
            <w:tcW w:w="962" w:type="pct"/>
            <w:vMerge/>
            <w:tcBorders>
              <w:left w:val="single" w:sz="4" w:space="0" w:color="auto"/>
              <w:bottom w:val="single" w:sz="4" w:space="0" w:color="auto"/>
              <w:right w:val="single" w:sz="4" w:space="0" w:color="auto"/>
            </w:tcBorders>
            <w:shd w:val="clear" w:color="auto" w:fill="DEEAF6" w:themeFill="accent1" w:themeFillTint="33"/>
          </w:tcPr>
          <w:p w14:paraId="0F2DC5CB" w14:textId="77777777" w:rsidR="00CB5DB1" w:rsidRPr="002740EA" w:rsidRDefault="00CB5DB1" w:rsidP="000C6B37">
            <w:pPr>
              <w:spacing w:after="0" w:line="276" w:lineRule="auto"/>
              <w:jc w:val="center"/>
              <w:rPr>
                <w:rFonts w:cs="Arial"/>
                <w:b/>
                <w:bCs/>
                <w:color w:val="000000"/>
                <w:sz w:val="20"/>
                <w:szCs w:val="20"/>
                <w:lang w:eastAsia="es-MX"/>
              </w:rPr>
            </w:pPr>
          </w:p>
        </w:tc>
        <w:tc>
          <w:tcPr>
            <w:tcW w:w="415" w:type="pct"/>
            <w:tcBorders>
              <w:top w:val="nil"/>
              <w:left w:val="single" w:sz="4" w:space="0" w:color="auto"/>
              <w:bottom w:val="single" w:sz="4" w:space="0" w:color="auto"/>
              <w:right w:val="single" w:sz="8" w:space="0" w:color="auto"/>
            </w:tcBorders>
            <w:shd w:val="clear" w:color="auto" w:fill="DEEAF6" w:themeFill="accent1" w:themeFillTint="33"/>
            <w:textDirection w:val="btLr"/>
            <w:vAlign w:val="center"/>
            <w:hideMark/>
          </w:tcPr>
          <w:p w14:paraId="6A09A8A7"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Adecuado</w:t>
            </w:r>
          </w:p>
        </w:tc>
        <w:tc>
          <w:tcPr>
            <w:tcW w:w="356"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0F97F972"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Área de oportunidad</w:t>
            </w:r>
          </w:p>
        </w:tc>
        <w:tc>
          <w:tcPr>
            <w:tcW w:w="355"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544937AB"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Adecuado</w:t>
            </w:r>
          </w:p>
        </w:tc>
        <w:tc>
          <w:tcPr>
            <w:tcW w:w="356"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17E9903D"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Área de oportunidad</w:t>
            </w:r>
          </w:p>
        </w:tc>
        <w:tc>
          <w:tcPr>
            <w:tcW w:w="355"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764F23F6"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Suficiente</w:t>
            </w:r>
          </w:p>
        </w:tc>
        <w:tc>
          <w:tcPr>
            <w:tcW w:w="356"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55239039"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Área de oportunidad</w:t>
            </w:r>
          </w:p>
        </w:tc>
        <w:tc>
          <w:tcPr>
            <w:tcW w:w="355"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5060BE49"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Adecuado</w:t>
            </w:r>
          </w:p>
        </w:tc>
        <w:tc>
          <w:tcPr>
            <w:tcW w:w="365" w:type="pct"/>
            <w:tcBorders>
              <w:top w:val="nil"/>
              <w:left w:val="nil"/>
              <w:bottom w:val="single" w:sz="4" w:space="0" w:color="auto"/>
              <w:right w:val="single" w:sz="8" w:space="0" w:color="auto"/>
            </w:tcBorders>
            <w:shd w:val="clear" w:color="auto" w:fill="DEEAF6" w:themeFill="accent1" w:themeFillTint="33"/>
            <w:textDirection w:val="btLr"/>
            <w:vAlign w:val="center"/>
            <w:hideMark/>
          </w:tcPr>
          <w:p w14:paraId="2A70DFB8" w14:textId="77777777" w:rsidR="00CB5DB1" w:rsidRPr="002740EA" w:rsidRDefault="00CB5DB1" w:rsidP="000C6B37">
            <w:pPr>
              <w:spacing w:after="0" w:line="276" w:lineRule="auto"/>
              <w:ind w:left="113" w:right="113"/>
              <w:jc w:val="center"/>
              <w:rPr>
                <w:rFonts w:cs="Arial"/>
                <w:b/>
                <w:bCs/>
                <w:color w:val="000000"/>
                <w:sz w:val="20"/>
                <w:szCs w:val="20"/>
                <w:lang w:eastAsia="es-MX"/>
              </w:rPr>
            </w:pPr>
            <w:r w:rsidRPr="002740EA">
              <w:rPr>
                <w:rFonts w:cs="Arial"/>
                <w:b/>
                <w:bCs/>
                <w:color w:val="000000"/>
                <w:sz w:val="20"/>
                <w:szCs w:val="20"/>
                <w:lang w:eastAsia="es-MX"/>
              </w:rPr>
              <w:t>Área de oportunidad</w:t>
            </w:r>
          </w:p>
        </w:tc>
      </w:tr>
      <w:tr w:rsidR="00CB5DB1" w:rsidRPr="002740EA" w14:paraId="621D23E1" w14:textId="77777777" w:rsidTr="00A502BA">
        <w:trPr>
          <w:trHeight w:val="434"/>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2DCB3" w14:textId="77777777" w:rsidR="00CB5DB1" w:rsidRPr="002740EA" w:rsidRDefault="00CB5DB1" w:rsidP="000C6B37">
            <w:pPr>
              <w:spacing w:after="0" w:line="276" w:lineRule="auto"/>
              <w:jc w:val="both"/>
              <w:rPr>
                <w:rFonts w:cs="Arial"/>
                <w:bCs/>
                <w:color w:val="000000"/>
                <w:sz w:val="20"/>
                <w:szCs w:val="20"/>
                <w:lang w:eastAsia="es-MX"/>
              </w:rPr>
            </w:pPr>
            <w:r w:rsidRPr="002740EA">
              <w:rPr>
                <w:rFonts w:cs="Arial"/>
                <w:bCs/>
                <w:color w:val="000000"/>
                <w:sz w:val="20"/>
                <w:szCs w:val="20"/>
                <w:lang w:eastAsia="es-MX"/>
              </w:rPr>
              <w:t>E103 - Educación Superior.</w:t>
            </w:r>
          </w:p>
        </w:tc>
        <w:tc>
          <w:tcPr>
            <w:tcW w:w="962" w:type="pct"/>
            <w:tcBorders>
              <w:top w:val="single" w:sz="4" w:space="0" w:color="auto"/>
              <w:left w:val="nil"/>
              <w:bottom w:val="single" w:sz="4" w:space="0" w:color="auto"/>
              <w:right w:val="single" w:sz="4" w:space="0" w:color="auto"/>
            </w:tcBorders>
            <w:shd w:val="clear" w:color="auto" w:fill="FFFFFF" w:themeFill="background1"/>
            <w:vAlign w:val="center"/>
          </w:tcPr>
          <w:p w14:paraId="7D1966F6" w14:textId="77777777" w:rsidR="00CB5DB1" w:rsidRPr="002740EA" w:rsidRDefault="00CB5DB1" w:rsidP="000C6B37">
            <w:pPr>
              <w:tabs>
                <w:tab w:val="left" w:pos="615"/>
                <w:tab w:val="center" w:pos="867"/>
              </w:tabs>
              <w:spacing w:after="0" w:line="276" w:lineRule="auto"/>
              <w:jc w:val="center"/>
              <w:rPr>
                <w:rFonts w:cs="Arial"/>
                <w:sz w:val="20"/>
                <w:szCs w:val="20"/>
              </w:rPr>
            </w:pPr>
            <w:r w:rsidRPr="002740EA">
              <w:rPr>
                <w:rFonts w:eastAsia="Times New Roman" w:cs="Arial"/>
                <w:bCs/>
                <w:color w:val="000000"/>
                <w:sz w:val="20"/>
                <w:szCs w:val="20"/>
                <w:lang w:eastAsia="es-MX"/>
              </w:rPr>
              <w:t>18</w:t>
            </w:r>
          </w:p>
        </w:tc>
        <w:tc>
          <w:tcPr>
            <w:tcW w:w="415" w:type="pct"/>
            <w:tcBorders>
              <w:top w:val="nil"/>
              <w:left w:val="single" w:sz="4" w:space="0" w:color="auto"/>
              <w:bottom w:val="single" w:sz="8" w:space="0" w:color="auto"/>
              <w:right w:val="single" w:sz="8" w:space="0" w:color="auto"/>
            </w:tcBorders>
            <w:shd w:val="clear" w:color="auto" w:fill="FFFFFF" w:themeFill="background1"/>
            <w:vAlign w:val="center"/>
          </w:tcPr>
          <w:p w14:paraId="528FE474" w14:textId="77777777" w:rsidR="00CB5DB1" w:rsidRPr="002740EA" w:rsidRDefault="00CB5DB1" w:rsidP="000C6B37">
            <w:pPr>
              <w:tabs>
                <w:tab w:val="left" w:pos="615"/>
                <w:tab w:val="center" w:pos="867"/>
              </w:tabs>
              <w:spacing w:after="0" w:line="276" w:lineRule="auto"/>
              <w:jc w:val="center"/>
              <w:rPr>
                <w:rFonts w:cs="Arial"/>
                <w:sz w:val="20"/>
                <w:szCs w:val="20"/>
              </w:rPr>
            </w:pPr>
            <w:r w:rsidRPr="002740EA">
              <w:rPr>
                <w:rFonts w:cs="Arial"/>
                <w:sz w:val="20"/>
                <w:szCs w:val="20"/>
              </w:rPr>
              <w:t>18</w:t>
            </w:r>
          </w:p>
        </w:tc>
        <w:tc>
          <w:tcPr>
            <w:tcW w:w="356" w:type="pct"/>
            <w:tcBorders>
              <w:top w:val="nil"/>
              <w:left w:val="nil"/>
              <w:bottom w:val="single" w:sz="8" w:space="0" w:color="auto"/>
              <w:right w:val="single" w:sz="8" w:space="0" w:color="auto"/>
            </w:tcBorders>
            <w:shd w:val="clear" w:color="auto" w:fill="FFFFFF" w:themeFill="background1"/>
            <w:vAlign w:val="center"/>
          </w:tcPr>
          <w:p w14:paraId="753C0988" w14:textId="77777777" w:rsidR="00CB5DB1" w:rsidRPr="002740EA" w:rsidRDefault="00CB5DB1" w:rsidP="000C6B37">
            <w:pPr>
              <w:spacing w:after="0" w:line="276" w:lineRule="auto"/>
              <w:jc w:val="center"/>
              <w:rPr>
                <w:rFonts w:cs="Arial"/>
                <w:sz w:val="20"/>
                <w:szCs w:val="20"/>
              </w:rPr>
            </w:pPr>
            <w:r w:rsidRPr="002740EA">
              <w:rPr>
                <w:rFonts w:cs="Arial"/>
                <w:sz w:val="20"/>
                <w:szCs w:val="20"/>
              </w:rPr>
              <w:t>0</w:t>
            </w:r>
          </w:p>
        </w:tc>
        <w:tc>
          <w:tcPr>
            <w:tcW w:w="355" w:type="pct"/>
            <w:tcBorders>
              <w:top w:val="nil"/>
              <w:left w:val="nil"/>
              <w:bottom w:val="single" w:sz="8" w:space="0" w:color="auto"/>
              <w:right w:val="single" w:sz="8" w:space="0" w:color="auto"/>
            </w:tcBorders>
            <w:shd w:val="clear" w:color="auto" w:fill="FFFFFF" w:themeFill="background1"/>
            <w:vAlign w:val="center"/>
          </w:tcPr>
          <w:p w14:paraId="1B46ACFB" w14:textId="77777777" w:rsidR="00CB5DB1" w:rsidRPr="002740EA" w:rsidRDefault="00CB5DB1" w:rsidP="000C6B37">
            <w:pPr>
              <w:spacing w:after="0" w:line="276" w:lineRule="auto"/>
              <w:jc w:val="center"/>
              <w:rPr>
                <w:rFonts w:cs="Arial"/>
                <w:sz w:val="20"/>
                <w:szCs w:val="20"/>
              </w:rPr>
            </w:pPr>
            <w:r w:rsidRPr="002740EA">
              <w:rPr>
                <w:rFonts w:cs="Arial"/>
                <w:sz w:val="20"/>
                <w:szCs w:val="20"/>
              </w:rPr>
              <w:t>3</w:t>
            </w:r>
          </w:p>
        </w:tc>
        <w:tc>
          <w:tcPr>
            <w:tcW w:w="356" w:type="pct"/>
            <w:tcBorders>
              <w:top w:val="nil"/>
              <w:left w:val="nil"/>
              <w:bottom w:val="single" w:sz="8" w:space="0" w:color="auto"/>
              <w:right w:val="single" w:sz="8" w:space="0" w:color="auto"/>
            </w:tcBorders>
            <w:shd w:val="clear" w:color="auto" w:fill="FFFFFF" w:themeFill="background1"/>
            <w:vAlign w:val="center"/>
          </w:tcPr>
          <w:p w14:paraId="0166D55B" w14:textId="77777777" w:rsidR="00CB5DB1" w:rsidRPr="002740EA" w:rsidRDefault="00CB5DB1" w:rsidP="000C6B37">
            <w:pPr>
              <w:spacing w:after="0" w:line="276" w:lineRule="auto"/>
              <w:jc w:val="center"/>
              <w:rPr>
                <w:rFonts w:cs="Arial"/>
                <w:sz w:val="20"/>
                <w:szCs w:val="20"/>
              </w:rPr>
            </w:pPr>
            <w:r w:rsidRPr="002740EA">
              <w:rPr>
                <w:rFonts w:cs="Arial"/>
                <w:sz w:val="20"/>
                <w:szCs w:val="20"/>
              </w:rPr>
              <w:t>15</w:t>
            </w:r>
          </w:p>
        </w:tc>
        <w:tc>
          <w:tcPr>
            <w:tcW w:w="355" w:type="pct"/>
            <w:tcBorders>
              <w:top w:val="nil"/>
              <w:left w:val="nil"/>
              <w:bottom w:val="single" w:sz="8" w:space="0" w:color="auto"/>
              <w:right w:val="single" w:sz="8" w:space="0" w:color="auto"/>
            </w:tcBorders>
            <w:shd w:val="clear" w:color="auto" w:fill="FFFFFF" w:themeFill="background1"/>
            <w:vAlign w:val="center"/>
          </w:tcPr>
          <w:p w14:paraId="6113B210" w14:textId="77777777" w:rsidR="00CB5DB1" w:rsidRPr="002740EA" w:rsidRDefault="00CB5DB1" w:rsidP="000C6B37">
            <w:pPr>
              <w:spacing w:after="0" w:line="276" w:lineRule="auto"/>
              <w:jc w:val="center"/>
              <w:rPr>
                <w:rFonts w:cs="Arial"/>
                <w:sz w:val="20"/>
                <w:szCs w:val="20"/>
              </w:rPr>
            </w:pPr>
            <w:r w:rsidRPr="002740EA">
              <w:rPr>
                <w:rFonts w:cs="Arial"/>
                <w:sz w:val="20"/>
                <w:szCs w:val="20"/>
              </w:rPr>
              <w:t>0</w:t>
            </w:r>
          </w:p>
        </w:tc>
        <w:tc>
          <w:tcPr>
            <w:tcW w:w="356" w:type="pct"/>
            <w:tcBorders>
              <w:top w:val="nil"/>
              <w:left w:val="nil"/>
              <w:bottom w:val="single" w:sz="8" w:space="0" w:color="auto"/>
              <w:right w:val="single" w:sz="8" w:space="0" w:color="auto"/>
            </w:tcBorders>
            <w:shd w:val="clear" w:color="auto" w:fill="FFFFFF" w:themeFill="background1"/>
            <w:vAlign w:val="center"/>
          </w:tcPr>
          <w:p w14:paraId="4BA2FDE2" w14:textId="77777777" w:rsidR="00CB5DB1" w:rsidRPr="002740EA" w:rsidRDefault="00CB5DB1" w:rsidP="000C6B37">
            <w:pPr>
              <w:tabs>
                <w:tab w:val="left" w:pos="600"/>
                <w:tab w:val="center" w:pos="675"/>
              </w:tabs>
              <w:spacing w:after="0" w:line="276" w:lineRule="auto"/>
              <w:jc w:val="center"/>
              <w:rPr>
                <w:rFonts w:cs="Arial"/>
                <w:sz w:val="20"/>
                <w:szCs w:val="20"/>
              </w:rPr>
            </w:pPr>
            <w:r w:rsidRPr="002740EA">
              <w:rPr>
                <w:rFonts w:cs="Arial"/>
                <w:sz w:val="20"/>
                <w:szCs w:val="20"/>
              </w:rPr>
              <w:t>18</w:t>
            </w:r>
          </w:p>
        </w:tc>
        <w:tc>
          <w:tcPr>
            <w:tcW w:w="355" w:type="pct"/>
            <w:tcBorders>
              <w:top w:val="nil"/>
              <w:left w:val="nil"/>
              <w:bottom w:val="single" w:sz="8" w:space="0" w:color="auto"/>
              <w:right w:val="single" w:sz="8" w:space="0" w:color="auto"/>
            </w:tcBorders>
            <w:shd w:val="clear" w:color="auto" w:fill="FFFFFF" w:themeFill="background1"/>
            <w:vAlign w:val="center"/>
          </w:tcPr>
          <w:p w14:paraId="46F2A5E3" w14:textId="77777777" w:rsidR="00CB5DB1" w:rsidRPr="002740EA" w:rsidRDefault="00CB5DB1" w:rsidP="000C6B37">
            <w:pPr>
              <w:spacing w:after="0" w:line="276" w:lineRule="auto"/>
              <w:jc w:val="center"/>
              <w:rPr>
                <w:rFonts w:cs="Arial"/>
                <w:sz w:val="20"/>
                <w:szCs w:val="20"/>
              </w:rPr>
            </w:pPr>
            <w:r w:rsidRPr="002740EA">
              <w:rPr>
                <w:rFonts w:cs="Arial"/>
                <w:sz w:val="20"/>
                <w:szCs w:val="20"/>
              </w:rPr>
              <w:t>13</w:t>
            </w:r>
          </w:p>
        </w:tc>
        <w:tc>
          <w:tcPr>
            <w:tcW w:w="365" w:type="pct"/>
            <w:tcBorders>
              <w:top w:val="nil"/>
              <w:left w:val="nil"/>
              <w:bottom w:val="single" w:sz="8" w:space="0" w:color="auto"/>
              <w:right w:val="single" w:sz="8" w:space="0" w:color="auto"/>
            </w:tcBorders>
            <w:shd w:val="clear" w:color="auto" w:fill="FFFFFF" w:themeFill="background1"/>
            <w:vAlign w:val="center"/>
          </w:tcPr>
          <w:p w14:paraId="65D2C6AF" w14:textId="77777777" w:rsidR="00CB5DB1" w:rsidRPr="002740EA" w:rsidRDefault="00CB5DB1" w:rsidP="000C6B37">
            <w:pPr>
              <w:spacing w:after="0" w:line="276" w:lineRule="auto"/>
              <w:jc w:val="center"/>
              <w:rPr>
                <w:rFonts w:cs="Arial"/>
                <w:sz w:val="20"/>
                <w:szCs w:val="20"/>
              </w:rPr>
            </w:pPr>
            <w:r w:rsidRPr="002740EA">
              <w:rPr>
                <w:rFonts w:cs="Arial"/>
                <w:sz w:val="20"/>
                <w:szCs w:val="20"/>
              </w:rPr>
              <w:t>5</w:t>
            </w:r>
          </w:p>
        </w:tc>
      </w:tr>
      <w:tr w:rsidR="00CB5DB1" w:rsidRPr="002740EA" w14:paraId="22DBD282" w14:textId="77777777" w:rsidTr="00A502BA">
        <w:trPr>
          <w:trHeight w:val="294"/>
          <w:jc w:val="center"/>
        </w:trPr>
        <w:tc>
          <w:tcPr>
            <w:tcW w:w="11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655B1" w14:textId="57FE4B32" w:rsidR="00CB5DB1" w:rsidRPr="002740EA" w:rsidRDefault="00CB5DB1" w:rsidP="000C6B37">
            <w:pPr>
              <w:spacing w:after="0" w:line="276" w:lineRule="auto"/>
              <w:jc w:val="both"/>
              <w:rPr>
                <w:rFonts w:cs="Arial"/>
                <w:bCs/>
                <w:color w:val="000000"/>
                <w:sz w:val="20"/>
                <w:szCs w:val="20"/>
                <w:lang w:eastAsia="es-MX"/>
              </w:rPr>
            </w:pPr>
            <w:r w:rsidRPr="002740EA">
              <w:rPr>
                <w:rFonts w:cs="Arial"/>
                <w:bCs/>
                <w:color w:val="000000"/>
                <w:sz w:val="20"/>
                <w:szCs w:val="20"/>
                <w:lang w:eastAsia="es-MX"/>
              </w:rPr>
              <w:t xml:space="preserve">M001 - Gestión y Apoyo </w:t>
            </w:r>
            <w:r w:rsidR="00A502BA" w:rsidRPr="002740EA">
              <w:rPr>
                <w:rFonts w:cs="Arial"/>
                <w:bCs/>
                <w:color w:val="000000"/>
                <w:sz w:val="20"/>
                <w:szCs w:val="20"/>
                <w:lang w:eastAsia="es-MX"/>
              </w:rPr>
              <w:t>institucional</w:t>
            </w:r>
            <w:r w:rsidRPr="002740EA">
              <w:rPr>
                <w:rFonts w:cs="Arial"/>
                <w:bCs/>
                <w:color w:val="000000"/>
                <w:sz w:val="20"/>
                <w:szCs w:val="20"/>
                <w:lang w:eastAsia="es-MX"/>
              </w:rPr>
              <w:t>.</w:t>
            </w:r>
          </w:p>
        </w:tc>
        <w:tc>
          <w:tcPr>
            <w:tcW w:w="96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4230CF"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bCs/>
                <w:color w:val="000000"/>
                <w:sz w:val="20"/>
                <w:szCs w:val="20"/>
                <w:lang w:eastAsia="es-MX"/>
              </w:rPr>
              <w:t>4</w:t>
            </w:r>
          </w:p>
        </w:tc>
        <w:tc>
          <w:tcPr>
            <w:tcW w:w="41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572FF1"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4</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719FA"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0</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C552C"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3</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2C7285"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1</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223C5"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0</w:t>
            </w:r>
          </w:p>
        </w:tc>
        <w:tc>
          <w:tcPr>
            <w:tcW w:w="3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931309"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4</w:t>
            </w:r>
          </w:p>
        </w:tc>
        <w:tc>
          <w:tcPr>
            <w:tcW w:w="35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4E0B45"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2</w:t>
            </w:r>
          </w:p>
        </w:tc>
        <w:tc>
          <w:tcPr>
            <w:tcW w:w="3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34F72" w14:textId="77777777" w:rsidR="00CB5DB1" w:rsidRPr="002740EA" w:rsidRDefault="00CB5DB1" w:rsidP="000C6B37">
            <w:pPr>
              <w:spacing w:after="0" w:line="276" w:lineRule="auto"/>
              <w:jc w:val="center"/>
              <w:rPr>
                <w:rFonts w:cs="Arial"/>
                <w:color w:val="000000"/>
                <w:sz w:val="20"/>
                <w:szCs w:val="20"/>
                <w:lang w:eastAsia="es-MX"/>
              </w:rPr>
            </w:pPr>
            <w:r w:rsidRPr="002740EA">
              <w:rPr>
                <w:rFonts w:eastAsia="Times New Roman" w:cs="Arial"/>
                <w:color w:val="000000"/>
                <w:sz w:val="20"/>
                <w:szCs w:val="20"/>
                <w:lang w:eastAsia="es-MX"/>
              </w:rPr>
              <w:t>2</w:t>
            </w:r>
          </w:p>
        </w:tc>
      </w:tr>
      <w:tr w:rsidR="00CB5DB1" w:rsidRPr="002740EA" w14:paraId="17E6F313" w14:textId="77777777" w:rsidTr="00A502BA">
        <w:trPr>
          <w:trHeight w:val="294"/>
          <w:jc w:val="center"/>
        </w:trPr>
        <w:tc>
          <w:tcPr>
            <w:tcW w:w="11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79612" w14:textId="77777777" w:rsidR="00CB5DB1" w:rsidRPr="002740EA" w:rsidRDefault="00CB5DB1" w:rsidP="000C6B37">
            <w:pPr>
              <w:spacing w:after="0" w:line="276" w:lineRule="auto"/>
              <w:jc w:val="right"/>
              <w:rPr>
                <w:rFonts w:cs="Arial"/>
                <w:b/>
                <w:bCs/>
                <w:color w:val="000000"/>
                <w:sz w:val="20"/>
                <w:szCs w:val="20"/>
                <w:lang w:eastAsia="es-MX"/>
              </w:rPr>
            </w:pPr>
            <w:r w:rsidRPr="002740EA">
              <w:rPr>
                <w:rFonts w:cs="Arial"/>
                <w:b/>
                <w:bCs/>
                <w:color w:val="000000"/>
                <w:sz w:val="20"/>
                <w:szCs w:val="20"/>
                <w:lang w:eastAsia="es-MX"/>
              </w:rPr>
              <w:t>Total</w:t>
            </w:r>
          </w:p>
        </w:tc>
        <w:tc>
          <w:tcPr>
            <w:tcW w:w="9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7B5305F"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22</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0D5B58"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22</w:t>
            </w:r>
          </w:p>
        </w:tc>
        <w:tc>
          <w:tcPr>
            <w:tcW w:w="3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76069A"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0</w:t>
            </w:r>
          </w:p>
        </w:tc>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E80E4C"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6</w:t>
            </w:r>
          </w:p>
        </w:tc>
        <w:tc>
          <w:tcPr>
            <w:tcW w:w="3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7956F9"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16</w:t>
            </w:r>
          </w:p>
        </w:tc>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0A4E5F"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0</w:t>
            </w:r>
          </w:p>
        </w:tc>
        <w:tc>
          <w:tcPr>
            <w:tcW w:w="3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D6A08"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22</w:t>
            </w:r>
          </w:p>
        </w:tc>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896E61"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15</w:t>
            </w:r>
          </w:p>
        </w:tc>
        <w:tc>
          <w:tcPr>
            <w:tcW w:w="3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5C3EEE"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7</w:t>
            </w:r>
          </w:p>
        </w:tc>
      </w:tr>
      <w:tr w:rsidR="00CB5DB1" w:rsidRPr="002740EA" w14:paraId="0C3A3F34" w14:textId="77777777" w:rsidTr="00A502BA">
        <w:trPr>
          <w:trHeight w:val="294"/>
          <w:jc w:val="center"/>
        </w:trPr>
        <w:tc>
          <w:tcPr>
            <w:tcW w:w="112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07E5BD" w14:textId="77777777" w:rsidR="00CB5DB1" w:rsidRPr="002740EA" w:rsidRDefault="00CB5DB1" w:rsidP="000C6B37">
            <w:pPr>
              <w:spacing w:after="0" w:line="276" w:lineRule="auto"/>
              <w:jc w:val="right"/>
              <w:rPr>
                <w:rFonts w:cs="Arial"/>
                <w:b/>
                <w:bCs/>
                <w:color w:val="000000"/>
                <w:sz w:val="20"/>
                <w:szCs w:val="20"/>
                <w:lang w:eastAsia="es-MX"/>
              </w:rPr>
            </w:pPr>
            <w:r w:rsidRPr="002740EA">
              <w:rPr>
                <w:rFonts w:cs="Arial"/>
                <w:b/>
                <w:bCs/>
                <w:color w:val="000000"/>
                <w:sz w:val="20"/>
                <w:szCs w:val="20"/>
                <w:lang w:eastAsia="es-MX"/>
              </w:rPr>
              <w:t>%</w:t>
            </w:r>
          </w:p>
        </w:tc>
        <w:tc>
          <w:tcPr>
            <w:tcW w:w="96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054239"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100</w:t>
            </w:r>
          </w:p>
        </w:tc>
        <w:tc>
          <w:tcPr>
            <w:tcW w:w="41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CA783F"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100</w:t>
            </w:r>
          </w:p>
        </w:tc>
        <w:tc>
          <w:tcPr>
            <w:tcW w:w="3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73E62C"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0</w:t>
            </w:r>
          </w:p>
        </w:tc>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52054C"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27</w:t>
            </w:r>
          </w:p>
        </w:tc>
        <w:tc>
          <w:tcPr>
            <w:tcW w:w="3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A1E9E2"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73</w:t>
            </w:r>
          </w:p>
        </w:tc>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966290"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0</w:t>
            </w:r>
          </w:p>
        </w:tc>
        <w:tc>
          <w:tcPr>
            <w:tcW w:w="35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4FF186"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100</w:t>
            </w:r>
          </w:p>
        </w:tc>
        <w:tc>
          <w:tcPr>
            <w:tcW w:w="3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F178E5"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68</w:t>
            </w:r>
          </w:p>
        </w:tc>
        <w:tc>
          <w:tcPr>
            <w:tcW w:w="3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B7D384" w14:textId="77777777" w:rsidR="00CB5DB1" w:rsidRPr="002740EA" w:rsidRDefault="00CB5DB1" w:rsidP="000C6B37">
            <w:pPr>
              <w:spacing w:after="0" w:line="276" w:lineRule="auto"/>
              <w:jc w:val="center"/>
              <w:rPr>
                <w:rFonts w:cs="Arial"/>
                <w:b/>
                <w:color w:val="000000"/>
                <w:sz w:val="20"/>
                <w:szCs w:val="20"/>
                <w:lang w:eastAsia="es-MX"/>
              </w:rPr>
            </w:pPr>
            <w:r w:rsidRPr="002740EA">
              <w:rPr>
                <w:rFonts w:eastAsia="Times New Roman" w:cs="Arial"/>
                <w:b/>
                <w:color w:val="000000"/>
                <w:sz w:val="20"/>
                <w:szCs w:val="20"/>
                <w:lang w:eastAsia="es-MX"/>
              </w:rPr>
              <w:t>32</w:t>
            </w:r>
          </w:p>
        </w:tc>
      </w:tr>
    </w:tbl>
    <w:p w14:paraId="319775F9" w14:textId="3EB006DD" w:rsidR="00CB5DB1" w:rsidRPr="002740EA" w:rsidRDefault="00CB5DB1" w:rsidP="000C6B37">
      <w:pPr>
        <w:spacing w:after="0" w:line="276" w:lineRule="auto"/>
        <w:ind w:right="49"/>
        <w:jc w:val="both"/>
        <w:rPr>
          <w:rFonts w:cs="Arial"/>
          <w:sz w:val="16"/>
          <w:szCs w:val="16"/>
        </w:rPr>
      </w:pPr>
      <w:r w:rsidRPr="002740EA">
        <w:rPr>
          <w:rFonts w:cs="Arial"/>
          <w:bCs/>
          <w:sz w:val="16"/>
          <w:szCs w:val="16"/>
        </w:rPr>
        <w:t>Fuente:</w:t>
      </w:r>
      <w:r w:rsidRPr="002740EA">
        <w:rPr>
          <w:rFonts w:cs="Arial"/>
          <w:sz w:val="16"/>
          <w:szCs w:val="16"/>
        </w:rPr>
        <w:t xml:space="preserve"> Elaborado por la ASEQROO con base en información obtenida de la Matriz de Indicadores para Result</w:t>
      </w:r>
      <w:r w:rsidR="00F06382" w:rsidRPr="002740EA">
        <w:rPr>
          <w:rFonts w:cs="Arial"/>
          <w:sz w:val="16"/>
          <w:szCs w:val="16"/>
        </w:rPr>
        <w:t>ados, 2020. SIPPRESS 2020. UQROO</w:t>
      </w:r>
      <w:r w:rsidRPr="002740EA">
        <w:rPr>
          <w:rFonts w:cs="Arial"/>
          <w:sz w:val="16"/>
          <w:szCs w:val="16"/>
        </w:rPr>
        <w:t>. Programa Presupuestario: E103.- Educación Superior y M001.- Gestión y Apoyo Institucional.</w:t>
      </w:r>
    </w:p>
    <w:p w14:paraId="7C1D4C03" w14:textId="77777777" w:rsidR="007551DB" w:rsidRPr="002740EA" w:rsidRDefault="007551DB" w:rsidP="000C6B37">
      <w:pPr>
        <w:spacing w:after="0" w:line="276" w:lineRule="auto"/>
        <w:jc w:val="both"/>
        <w:rPr>
          <w:rFonts w:cs="Arial"/>
          <w:b/>
        </w:rPr>
      </w:pPr>
    </w:p>
    <w:p w14:paraId="61EE8875" w14:textId="0A1BBF90" w:rsidR="00557CB3" w:rsidRPr="002740EA" w:rsidRDefault="00557CB3" w:rsidP="000C6B37">
      <w:pPr>
        <w:spacing w:after="0" w:line="276" w:lineRule="auto"/>
        <w:jc w:val="both"/>
        <w:rPr>
          <w:rFonts w:cs="Arial"/>
        </w:rPr>
      </w:pPr>
      <w:r w:rsidRPr="002740EA">
        <w:rPr>
          <w:rFonts w:cs="Arial"/>
        </w:rPr>
        <w:t xml:space="preserve">De acuerdo con el análisis realizado a las MIR de los Programas Presupuestarios </w:t>
      </w:r>
      <w:r w:rsidRPr="002740EA">
        <w:rPr>
          <w:rFonts w:cs="Arial"/>
          <w:b/>
          <w:bCs/>
          <w:color w:val="000000"/>
          <w:lang w:eastAsia="es-MX"/>
        </w:rPr>
        <w:t xml:space="preserve">E103-Educación Superior </w:t>
      </w:r>
      <w:r w:rsidRPr="002740EA">
        <w:rPr>
          <w:rFonts w:cs="Arial"/>
          <w:bCs/>
          <w:color w:val="000000"/>
          <w:lang w:eastAsia="es-MX"/>
        </w:rPr>
        <w:t>y</w:t>
      </w:r>
      <w:r w:rsidRPr="002740EA">
        <w:rPr>
          <w:rFonts w:cs="Arial"/>
          <w:b/>
          <w:bCs/>
          <w:color w:val="000000"/>
          <w:lang w:eastAsia="es-MX"/>
        </w:rPr>
        <w:t xml:space="preserve"> M001-Gestión y Apoyo Institucional </w:t>
      </w:r>
      <w:r w:rsidRPr="002740EA">
        <w:rPr>
          <w:rFonts w:cs="Arial"/>
        </w:rPr>
        <w:t xml:space="preserve">de la UQROO, a continuación, se presenta en la figura </w:t>
      </w:r>
      <w:r w:rsidR="005D7B02" w:rsidRPr="002740EA">
        <w:rPr>
          <w:rFonts w:cs="Arial"/>
        </w:rPr>
        <w:t>7</w:t>
      </w:r>
      <w:r w:rsidRPr="002740EA">
        <w:rPr>
          <w:rFonts w:cs="Arial"/>
        </w:rPr>
        <w:t>, el resultado obtenido:</w:t>
      </w:r>
    </w:p>
    <w:p w14:paraId="74EC8D41" w14:textId="5F2E7152" w:rsidR="00FC1B9A" w:rsidRPr="002740EA" w:rsidRDefault="00FC1B9A" w:rsidP="000C6B37">
      <w:pPr>
        <w:spacing w:after="0" w:line="276" w:lineRule="auto"/>
        <w:jc w:val="center"/>
        <w:rPr>
          <w:rFonts w:cs="Arial"/>
        </w:rPr>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557CB3" w:rsidRPr="002740EA" w14:paraId="6EB97FA1" w14:textId="77777777" w:rsidTr="003421DD">
        <w:trPr>
          <w:trHeight w:val="292"/>
          <w:jc w:val="center"/>
        </w:trPr>
        <w:tc>
          <w:tcPr>
            <w:tcW w:w="5000" w:type="pct"/>
          </w:tcPr>
          <w:p w14:paraId="647A340E" w14:textId="60B3B282" w:rsidR="00E252FD" w:rsidRPr="002740EA" w:rsidRDefault="003421DD" w:rsidP="000C6B37">
            <w:pPr>
              <w:spacing w:line="276" w:lineRule="auto"/>
              <w:jc w:val="center"/>
              <w:rPr>
                <w:rFonts w:cs="Arial"/>
                <w:noProof/>
                <w:sz w:val="16"/>
                <w:szCs w:val="16"/>
              </w:rPr>
            </w:pPr>
            <w:r w:rsidRPr="002740EA">
              <w:rPr>
                <w:noProof/>
              </w:rPr>
              <w:drawing>
                <wp:inline distT="0" distB="0" distL="0" distR="0" wp14:anchorId="68D42115" wp14:editId="2FE9CF25">
                  <wp:extent cx="4906010" cy="2298531"/>
                  <wp:effectExtent l="0" t="0" r="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906010" cy="2298531"/>
                          </a:xfrm>
                          <a:prstGeom prst="rect">
                            <a:avLst/>
                          </a:prstGeom>
                        </pic:spPr>
                      </pic:pic>
                    </a:graphicData>
                  </a:graphic>
                </wp:inline>
              </w:drawing>
            </w:r>
          </w:p>
          <w:p w14:paraId="16F5CCAB" w14:textId="40F98DA1" w:rsidR="00557CB3" w:rsidRPr="002740EA" w:rsidRDefault="00557CB3" w:rsidP="000C6B37">
            <w:pPr>
              <w:spacing w:line="276" w:lineRule="auto"/>
              <w:jc w:val="center"/>
              <w:rPr>
                <w:rFonts w:cs="Arial"/>
                <w:sz w:val="16"/>
                <w:szCs w:val="16"/>
              </w:rPr>
            </w:pPr>
          </w:p>
        </w:tc>
      </w:tr>
      <w:tr w:rsidR="00557CB3" w:rsidRPr="002740EA" w14:paraId="1BD4A59B" w14:textId="77777777" w:rsidTr="003421DD">
        <w:trPr>
          <w:trHeight w:val="609"/>
          <w:jc w:val="center"/>
        </w:trPr>
        <w:tc>
          <w:tcPr>
            <w:tcW w:w="5000" w:type="pct"/>
          </w:tcPr>
          <w:p w14:paraId="477F7B4F" w14:textId="77777777" w:rsidR="00557CB3" w:rsidRPr="002740EA" w:rsidRDefault="00557CB3" w:rsidP="000C6B37">
            <w:pPr>
              <w:spacing w:line="276" w:lineRule="auto"/>
              <w:jc w:val="both"/>
              <w:rPr>
                <w:rFonts w:cs="Arial"/>
                <w:noProof/>
                <w:sz w:val="16"/>
                <w:szCs w:val="20"/>
              </w:rPr>
            </w:pPr>
            <w:r w:rsidRPr="002740EA">
              <w:rPr>
                <w:rFonts w:cs="Arial"/>
                <w:b/>
                <w:sz w:val="16"/>
                <w:szCs w:val="20"/>
              </w:rPr>
              <w:t>Fuente</w:t>
            </w:r>
            <w:r w:rsidRPr="002740EA">
              <w:rPr>
                <w:rFonts w:cs="Arial"/>
                <w:sz w:val="16"/>
                <w:szCs w:val="20"/>
              </w:rPr>
              <w:t>: Elaborado por la Auditoría Superior del Estado de Quintana Roo, con base en las Matrices de Indicadores para Resultados 2020, de los Programas Presupuestarios de la UQROO</w:t>
            </w:r>
            <w:r w:rsidRPr="002740EA">
              <w:rPr>
                <w:rFonts w:cs="Arial"/>
                <w:noProof/>
                <w:sz w:val="16"/>
                <w:szCs w:val="20"/>
              </w:rPr>
              <w:t>.</w:t>
            </w:r>
          </w:p>
          <w:p w14:paraId="5D623694" w14:textId="7E380E09" w:rsidR="00B84B2A" w:rsidRPr="002740EA" w:rsidRDefault="00B84B2A" w:rsidP="000C6B37">
            <w:pPr>
              <w:spacing w:line="276" w:lineRule="auto"/>
              <w:jc w:val="both"/>
              <w:rPr>
                <w:rFonts w:cs="Arial"/>
                <w:b/>
                <w:sz w:val="20"/>
                <w:szCs w:val="20"/>
              </w:rPr>
            </w:pPr>
          </w:p>
        </w:tc>
      </w:tr>
    </w:tbl>
    <w:p w14:paraId="43B30293" w14:textId="74B9FDBB" w:rsidR="00557CB3" w:rsidRPr="002740EA" w:rsidRDefault="00557CB3" w:rsidP="000C6B37">
      <w:pPr>
        <w:spacing w:after="0" w:line="276" w:lineRule="auto"/>
        <w:jc w:val="both"/>
        <w:rPr>
          <w:rFonts w:cs="Arial"/>
        </w:rPr>
      </w:pPr>
      <w:r w:rsidRPr="002740EA">
        <w:rPr>
          <w:rFonts w:cs="Arial"/>
          <w:szCs w:val="24"/>
        </w:rPr>
        <w:t xml:space="preserve">En el análisis del diseño de la MIR se verifica que en ésta se establezcan con claridad los objetivos del programa y su alineación con la planeación nacional, estatal, </w:t>
      </w:r>
      <w:r w:rsidRPr="002740EA">
        <w:rPr>
          <w:rFonts w:cs="Arial"/>
          <w:szCs w:val="24"/>
        </w:rPr>
        <w:lastRenderedPageBreak/>
        <w:t>municipal o sectorial (fin y propósito); así mismo, que se hayan incorporado de manera precisa los indicadores que miden los objetivos y resultados esperados, que se identifiquen los medios de verificación para obtener y corroborar la información de los indicadores, que se describan los bienes y servicios entregados a la sociedad (componentes), así como las actividades e insumos para producirlos, y por último, la inclusión de supuestos que influyen en el cumplimiento de los objetivos. Dentro de este marco, de acuerdo a lo expresado en la gráfica anterior, los resultados del análisis muestran las siguientes áreas de oportunidad</w:t>
      </w:r>
      <w:r w:rsidRPr="002740EA">
        <w:rPr>
          <w:rFonts w:cs="Arial"/>
        </w:rPr>
        <w:t>:</w:t>
      </w:r>
    </w:p>
    <w:p w14:paraId="1E47DB35" w14:textId="77777777" w:rsidR="00B273F8" w:rsidRPr="002740EA" w:rsidRDefault="00B273F8" w:rsidP="000C6B37">
      <w:pPr>
        <w:spacing w:after="0" w:line="276" w:lineRule="auto"/>
        <w:jc w:val="both"/>
        <w:rPr>
          <w:rFonts w:cs="Arial"/>
        </w:rPr>
      </w:pPr>
    </w:p>
    <w:p w14:paraId="45768FA1" w14:textId="368491E3" w:rsidR="00557CB3" w:rsidRDefault="00557CB3" w:rsidP="000C6B37">
      <w:pPr>
        <w:pStyle w:val="Prrafodelista"/>
        <w:numPr>
          <w:ilvl w:val="0"/>
          <w:numId w:val="8"/>
        </w:numPr>
        <w:spacing w:after="0"/>
        <w:jc w:val="both"/>
        <w:rPr>
          <w:rFonts w:cs="Arial"/>
          <w:szCs w:val="24"/>
        </w:rPr>
      </w:pPr>
      <w:r w:rsidRPr="002740EA">
        <w:rPr>
          <w:rFonts w:cs="Arial"/>
          <w:b/>
          <w:szCs w:val="24"/>
        </w:rPr>
        <w:t xml:space="preserve">Resumen Narrativo: </w:t>
      </w:r>
      <w:r w:rsidRPr="002740EA">
        <w:rPr>
          <w:rFonts w:eastAsia="Arial" w:cs="Arial"/>
          <w:szCs w:val="24"/>
        </w:rPr>
        <w:t xml:space="preserve">se verificó la estructura o sintaxis y las relaciones causales de éstos entre en sus distintos niveles:(Fin, Propósito, Componentes y Actividades). En consecuencia, se </w:t>
      </w:r>
      <w:r w:rsidRPr="002740EA">
        <w:rPr>
          <w:rFonts w:cs="Arial"/>
          <w:szCs w:val="24"/>
        </w:rPr>
        <w:t xml:space="preserve">determinó que el 100% de los objetivos establecidos en los 4 niveles de la MIR de los Programas Presupuestarios presentados se encuentran </w:t>
      </w:r>
      <w:r w:rsidR="005238FF">
        <w:rPr>
          <w:rFonts w:cs="Arial"/>
          <w:szCs w:val="24"/>
        </w:rPr>
        <w:t>establecidos de manera adecuada.</w:t>
      </w:r>
    </w:p>
    <w:p w14:paraId="056438BC" w14:textId="77777777" w:rsidR="005238FF" w:rsidRPr="002740EA" w:rsidRDefault="005238FF" w:rsidP="005238FF">
      <w:pPr>
        <w:pStyle w:val="Prrafodelista"/>
        <w:spacing w:after="0"/>
        <w:ind w:left="1080"/>
        <w:jc w:val="both"/>
        <w:rPr>
          <w:rFonts w:cs="Arial"/>
          <w:szCs w:val="24"/>
        </w:rPr>
      </w:pPr>
    </w:p>
    <w:p w14:paraId="37AC2488" w14:textId="6222C679" w:rsidR="00557CB3" w:rsidRPr="002740EA" w:rsidRDefault="00557CB3" w:rsidP="000C6B37">
      <w:pPr>
        <w:pStyle w:val="Prrafodelista"/>
        <w:numPr>
          <w:ilvl w:val="0"/>
          <w:numId w:val="8"/>
        </w:numPr>
        <w:spacing w:after="0"/>
        <w:ind w:left="1077"/>
        <w:jc w:val="both"/>
        <w:rPr>
          <w:rFonts w:cs="Arial"/>
          <w:szCs w:val="24"/>
        </w:rPr>
      </w:pPr>
      <w:r w:rsidRPr="002740EA">
        <w:rPr>
          <w:rFonts w:cs="Arial"/>
          <w:b/>
          <w:szCs w:val="24"/>
        </w:rPr>
        <w:t xml:space="preserve">Indicadores: </w:t>
      </w:r>
      <w:r w:rsidRPr="002740EA">
        <w:rPr>
          <w:rFonts w:cs="Arial"/>
          <w:bCs/>
          <w:szCs w:val="24"/>
        </w:rPr>
        <w:t>se v</w:t>
      </w:r>
      <w:r w:rsidRPr="002740EA">
        <w:rPr>
          <w:rFonts w:cs="Arial"/>
          <w:szCs w:val="24"/>
        </w:rPr>
        <w:t>erificó si estos cumplen con la estructura y elementos mínimos para determinar la consecución de los objetivos planteados en el Resumen Narrativo. Como resultado, se determinó que el 23% de los indicadores fueron establecidos de manera adecuada, y el 77% de estos presentaron áreas de oportunidad en los siguientes niveles, (figura 6).</w:t>
      </w:r>
    </w:p>
    <w:p w14:paraId="620257DC" w14:textId="77777777" w:rsidR="00F45998" w:rsidRPr="002740EA" w:rsidRDefault="00F45998" w:rsidP="000C6B37">
      <w:pPr>
        <w:tabs>
          <w:tab w:val="left" w:pos="1875"/>
        </w:tabs>
        <w:spacing w:after="0"/>
      </w:pPr>
    </w:p>
    <w:tbl>
      <w:tblPr>
        <w:tblStyle w:val="Tabladecuadrcula2-nfasis6"/>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2003"/>
        <w:gridCol w:w="1600"/>
        <w:gridCol w:w="3778"/>
        <w:gridCol w:w="453"/>
        <w:gridCol w:w="441"/>
        <w:gridCol w:w="412"/>
        <w:gridCol w:w="385"/>
      </w:tblGrid>
      <w:tr w:rsidR="00557CB3" w:rsidRPr="002740EA" w14:paraId="62C8D9C3" w14:textId="77777777" w:rsidTr="008F1BB6">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0" w:type="auto"/>
            <w:gridSpan w:val="7"/>
            <w:tcBorders>
              <w:bottom w:val="single" w:sz="4" w:space="0" w:color="auto"/>
            </w:tcBorders>
            <w:shd w:val="clear" w:color="auto" w:fill="auto"/>
          </w:tcPr>
          <w:p w14:paraId="0EF186B0" w14:textId="77777777" w:rsidR="00557CB3" w:rsidRPr="002740EA" w:rsidRDefault="00557CB3" w:rsidP="000C6B37">
            <w:pPr>
              <w:pStyle w:val="Prrafodelista"/>
              <w:spacing w:after="0"/>
              <w:ind w:left="931"/>
              <w:jc w:val="center"/>
              <w:rPr>
                <w:rFonts w:cs="Arial"/>
                <w:sz w:val="20"/>
                <w:szCs w:val="20"/>
              </w:rPr>
            </w:pPr>
            <w:r w:rsidRPr="002740EA">
              <w:rPr>
                <w:rFonts w:cs="Arial"/>
                <w:sz w:val="18"/>
                <w:szCs w:val="20"/>
              </w:rPr>
              <w:t>Tabla 6. Áreas de Oportunidad Indicadores</w:t>
            </w:r>
          </w:p>
        </w:tc>
      </w:tr>
      <w:tr w:rsidR="00557CB3" w:rsidRPr="002740EA" w14:paraId="647A8ED9" w14:textId="77777777" w:rsidTr="008F1BB6">
        <w:trPr>
          <w:cnfStyle w:val="100000000000" w:firstRow="1" w:lastRow="0" w:firstColumn="0" w:lastColumn="0" w:oddVBand="0" w:evenVBand="0" w:oddHBand="0" w:evenHBand="0" w:firstRowFirstColumn="0" w:firstRowLastColumn="0" w:lastRowFirstColumn="0" w:lastRowLastColumn="0"/>
          <w:trHeight w:val="382"/>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EEAF6" w:themeFill="accent1" w:themeFillTint="33"/>
          </w:tcPr>
          <w:p w14:paraId="4E570726" w14:textId="77777777" w:rsidR="00557CB3" w:rsidRPr="002740EA" w:rsidRDefault="00557CB3" w:rsidP="000C6B37">
            <w:pPr>
              <w:spacing w:line="276" w:lineRule="auto"/>
              <w:jc w:val="center"/>
              <w:rPr>
                <w:rFonts w:cs="Arial"/>
                <w:sz w:val="16"/>
                <w:szCs w:val="16"/>
              </w:rPr>
            </w:pPr>
            <w:r w:rsidRPr="002740EA">
              <w:rPr>
                <w:rFonts w:cs="Arial"/>
                <w:sz w:val="16"/>
                <w:szCs w:val="16"/>
              </w:rPr>
              <w:t>Programas Presupuestarios</w:t>
            </w:r>
          </w:p>
        </w:tc>
        <w:tc>
          <w:tcPr>
            <w:tcW w:w="0" w:type="auto"/>
            <w:tcBorders>
              <w:top w:val="single" w:sz="4" w:space="0" w:color="auto"/>
              <w:bottom w:val="single" w:sz="4" w:space="0" w:color="auto"/>
            </w:tcBorders>
            <w:shd w:val="clear" w:color="auto" w:fill="DEEAF6" w:themeFill="accent1" w:themeFillTint="33"/>
          </w:tcPr>
          <w:p w14:paraId="7BBA1990"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2740EA">
              <w:rPr>
                <w:rFonts w:cs="Arial"/>
                <w:sz w:val="16"/>
                <w:szCs w:val="16"/>
              </w:rPr>
              <w:t>Nivel de la MIR</w:t>
            </w:r>
          </w:p>
        </w:tc>
        <w:tc>
          <w:tcPr>
            <w:tcW w:w="0" w:type="auto"/>
            <w:tcBorders>
              <w:top w:val="single" w:sz="4" w:space="0" w:color="auto"/>
              <w:bottom w:val="single" w:sz="4" w:space="0" w:color="auto"/>
            </w:tcBorders>
            <w:shd w:val="clear" w:color="auto" w:fill="DEEAF6" w:themeFill="accent1" w:themeFillTint="33"/>
          </w:tcPr>
          <w:p w14:paraId="2D73A492"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2740EA">
              <w:rPr>
                <w:rFonts w:cs="Arial"/>
                <w:sz w:val="16"/>
                <w:szCs w:val="16"/>
              </w:rPr>
              <w:t>Indicador</w:t>
            </w:r>
          </w:p>
          <w:p w14:paraId="487D473C"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p>
        </w:tc>
        <w:tc>
          <w:tcPr>
            <w:tcW w:w="0" w:type="auto"/>
            <w:tcBorders>
              <w:top w:val="single" w:sz="4" w:space="0" w:color="auto"/>
              <w:bottom w:val="single" w:sz="4" w:space="0" w:color="auto"/>
            </w:tcBorders>
            <w:shd w:val="clear" w:color="auto" w:fill="DEEAF6" w:themeFill="accent1" w:themeFillTint="33"/>
          </w:tcPr>
          <w:p w14:paraId="0922AC9B"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2740EA">
              <w:rPr>
                <w:rFonts w:cs="Arial"/>
                <w:sz w:val="16"/>
                <w:szCs w:val="16"/>
              </w:rPr>
              <w:t>M C*</w:t>
            </w:r>
          </w:p>
        </w:tc>
        <w:tc>
          <w:tcPr>
            <w:tcW w:w="0" w:type="auto"/>
            <w:tcBorders>
              <w:top w:val="single" w:sz="4" w:space="0" w:color="auto"/>
              <w:bottom w:val="single" w:sz="4" w:space="0" w:color="auto"/>
            </w:tcBorders>
            <w:shd w:val="clear" w:color="auto" w:fill="DEEAF6" w:themeFill="accent1" w:themeFillTint="33"/>
          </w:tcPr>
          <w:p w14:paraId="124467B1"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2740EA">
              <w:rPr>
                <w:rFonts w:cs="Arial"/>
                <w:sz w:val="16"/>
                <w:szCs w:val="16"/>
              </w:rPr>
              <w:t>L B*</w:t>
            </w:r>
          </w:p>
        </w:tc>
        <w:tc>
          <w:tcPr>
            <w:tcW w:w="0" w:type="auto"/>
            <w:tcBorders>
              <w:top w:val="single" w:sz="4" w:space="0" w:color="auto"/>
              <w:bottom w:val="single" w:sz="4" w:space="0" w:color="auto"/>
            </w:tcBorders>
            <w:shd w:val="clear" w:color="auto" w:fill="DEEAF6" w:themeFill="accent1" w:themeFillTint="33"/>
          </w:tcPr>
          <w:p w14:paraId="654A994F"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2740EA">
              <w:rPr>
                <w:rFonts w:cs="Arial"/>
                <w:sz w:val="16"/>
                <w:szCs w:val="16"/>
              </w:rPr>
              <w:t>M*</w:t>
            </w:r>
          </w:p>
        </w:tc>
        <w:tc>
          <w:tcPr>
            <w:tcW w:w="0" w:type="auto"/>
            <w:tcBorders>
              <w:top w:val="single" w:sz="4" w:space="0" w:color="auto"/>
              <w:bottom w:val="single" w:sz="4" w:space="0" w:color="auto"/>
            </w:tcBorders>
            <w:shd w:val="clear" w:color="auto" w:fill="DEEAF6" w:themeFill="accent1" w:themeFillTint="33"/>
          </w:tcPr>
          <w:p w14:paraId="79E86BC0" w14:textId="77777777" w:rsidR="00557CB3" w:rsidRPr="002740EA" w:rsidRDefault="00557CB3" w:rsidP="000C6B37">
            <w:pPr>
              <w:spacing w:line="276" w:lineRule="auto"/>
              <w:jc w:val="center"/>
              <w:cnfStyle w:val="100000000000" w:firstRow="1" w:lastRow="0" w:firstColumn="0" w:lastColumn="0" w:oddVBand="0" w:evenVBand="0" w:oddHBand="0" w:evenHBand="0" w:firstRowFirstColumn="0" w:firstRowLastColumn="0" w:lastRowFirstColumn="0" w:lastRowLastColumn="0"/>
              <w:rPr>
                <w:rFonts w:cs="Arial"/>
                <w:b w:val="0"/>
                <w:sz w:val="16"/>
                <w:szCs w:val="16"/>
              </w:rPr>
            </w:pPr>
            <w:r w:rsidRPr="002740EA">
              <w:rPr>
                <w:rFonts w:cs="Arial"/>
                <w:sz w:val="16"/>
                <w:szCs w:val="16"/>
              </w:rPr>
              <w:t>P*</w:t>
            </w:r>
          </w:p>
        </w:tc>
      </w:tr>
      <w:tr w:rsidR="00557CB3" w:rsidRPr="002740EA" w14:paraId="6C219397" w14:textId="77777777" w:rsidTr="00C10401">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4CC6FC77" w14:textId="77777777" w:rsidR="00557CB3" w:rsidRPr="002740EA" w:rsidRDefault="00557CB3" w:rsidP="000C6B37">
            <w:pPr>
              <w:spacing w:line="276" w:lineRule="auto"/>
              <w:jc w:val="both"/>
              <w:rPr>
                <w:rFonts w:cs="Arial"/>
                <w:b w:val="0"/>
                <w:sz w:val="16"/>
                <w:szCs w:val="16"/>
              </w:rPr>
            </w:pPr>
            <w:r w:rsidRPr="002740EA">
              <w:rPr>
                <w:rFonts w:cs="Arial"/>
                <w:sz w:val="16"/>
                <w:szCs w:val="16"/>
              </w:rPr>
              <w:t>E 103- Educación Superior</w:t>
            </w:r>
          </w:p>
        </w:tc>
        <w:tc>
          <w:tcPr>
            <w:tcW w:w="0" w:type="auto"/>
            <w:tcBorders>
              <w:top w:val="single" w:sz="4" w:space="0" w:color="auto"/>
              <w:bottom w:val="single" w:sz="4" w:space="0" w:color="auto"/>
            </w:tcBorders>
            <w:shd w:val="clear" w:color="auto" w:fill="FFFFFF" w:themeFill="background1"/>
          </w:tcPr>
          <w:p w14:paraId="08D02EB6"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Fin</w:t>
            </w:r>
          </w:p>
        </w:tc>
        <w:tc>
          <w:tcPr>
            <w:tcW w:w="0" w:type="auto"/>
            <w:tcBorders>
              <w:top w:val="single" w:sz="4" w:space="0" w:color="auto"/>
              <w:bottom w:val="single" w:sz="4" w:space="0" w:color="auto"/>
            </w:tcBorders>
            <w:shd w:val="clear" w:color="auto" w:fill="FFFFFF" w:themeFill="background1"/>
          </w:tcPr>
          <w:p w14:paraId="359CA88D" w14:textId="77777777" w:rsidR="00557CB3" w:rsidRPr="002740EA" w:rsidRDefault="00557CB3" w:rsidP="000C6B3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Grados promedio de escolaridad de la población de 15 años y más.</w:t>
            </w:r>
          </w:p>
        </w:tc>
        <w:tc>
          <w:tcPr>
            <w:tcW w:w="0" w:type="auto"/>
            <w:tcBorders>
              <w:top w:val="single" w:sz="4" w:space="0" w:color="auto"/>
              <w:bottom w:val="single" w:sz="4" w:space="0" w:color="auto"/>
            </w:tcBorders>
            <w:shd w:val="clear" w:color="auto" w:fill="FFFFFF" w:themeFill="background1"/>
          </w:tcPr>
          <w:p w14:paraId="55FAF80C"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180AC17F"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FADF682"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7FD6BD1A"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r>
      <w:tr w:rsidR="00557CB3" w:rsidRPr="002740EA" w14:paraId="7F521680" w14:textId="77777777" w:rsidTr="00C10401">
        <w:trPr>
          <w:trHeight w:val="265"/>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tcPr>
          <w:p w14:paraId="5F27FF84"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1C8247F1"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1, Actividad A1</w:t>
            </w:r>
          </w:p>
        </w:tc>
        <w:tc>
          <w:tcPr>
            <w:tcW w:w="0" w:type="auto"/>
            <w:tcBorders>
              <w:top w:val="single" w:sz="4" w:space="0" w:color="auto"/>
              <w:bottom w:val="single" w:sz="4" w:space="0" w:color="auto"/>
            </w:tcBorders>
            <w:shd w:val="clear" w:color="auto" w:fill="FFFFFF" w:themeFill="background1"/>
          </w:tcPr>
          <w:p w14:paraId="4D0EABFC" w14:textId="77777777" w:rsidR="00557CB3" w:rsidRPr="002740EA" w:rsidRDefault="00557CB3" w:rsidP="000C6B3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Porcentaje de alumnos de nuevo ingreso con relación al cupo autorizado</w:t>
            </w:r>
          </w:p>
        </w:tc>
        <w:tc>
          <w:tcPr>
            <w:tcW w:w="0" w:type="auto"/>
            <w:tcBorders>
              <w:top w:val="single" w:sz="4" w:space="0" w:color="auto"/>
              <w:bottom w:val="single" w:sz="4" w:space="0" w:color="auto"/>
            </w:tcBorders>
            <w:shd w:val="clear" w:color="auto" w:fill="FFFFFF" w:themeFill="background1"/>
          </w:tcPr>
          <w:p w14:paraId="46E8CEAB"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C4D5414"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D9F7AEC"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1A3BB316" w14:textId="7FA07835" w:rsidR="00557CB3" w:rsidRPr="005238FF"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X</w:t>
            </w:r>
          </w:p>
        </w:tc>
      </w:tr>
      <w:tr w:rsidR="00557CB3" w:rsidRPr="002740EA" w14:paraId="5B762EA1" w14:textId="77777777" w:rsidTr="00C104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0B361F98"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3666BDB2"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01, Actividad A02</w:t>
            </w:r>
          </w:p>
        </w:tc>
        <w:tc>
          <w:tcPr>
            <w:tcW w:w="0" w:type="auto"/>
            <w:tcBorders>
              <w:top w:val="single" w:sz="4" w:space="0" w:color="auto"/>
              <w:bottom w:val="single" w:sz="4" w:space="0" w:color="auto"/>
            </w:tcBorders>
            <w:shd w:val="clear" w:color="auto" w:fill="FFFFFF" w:themeFill="background1"/>
          </w:tcPr>
          <w:p w14:paraId="1E882757" w14:textId="77777777" w:rsidR="00557CB3" w:rsidRPr="002740EA" w:rsidRDefault="00557CB3" w:rsidP="000C6B3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programas educativos con tasa de retención de primero a segundo año igual o superior a 75%.</w:t>
            </w:r>
          </w:p>
        </w:tc>
        <w:tc>
          <w:tcPr>
            <w:tcW w:w="0" w:type="auto"/>
            <w:tcBorders>
              <w:top w:val="single" w:sz="4" w:space="0" w:color="auto"/>
              <w:bottom w:val="single" w:sz="4" w:space="0" w:color="auto"/>
            </w:tcBorders>
            <w:shd w:val="clear" w:color="auto" w:fill="FFFFFF" w:themeFill="background1"/>
          </w:tcPr>
          <w:p w14:paraId="6859E7A1"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5C180013"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1FC7CB05"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4EC44ACB"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X</w:t>
            </w:r>
          </w:p>
        </w:tc>
      </w:tr>
      <w:tr w:rsidR="00557CB3" w:rsidRPr="002740EA" w14:paraId="04029AC3"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5FE7AB01"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5598415E"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1, Actividad A03</w:t>
            </w:r>
          </w:p>
        </w:tc>
        <w:tc>
          <w:tcPr>
            <w:tcW w:w="0" w:type="auto"/>
            <w:tcBorders>
              <w:top w:val="single" w:sz="4" w:space="0" w:color="auto"/>
              <w:bottom w:val="single" w:sz="4" w:space="0" w:color="auto"/>
            </w:tcBorders>
            <w:shd w:val="clear" w:color="auto" w:fill="FFFFFF" w:themeFill="background1"/>
          </w:tcPr>
          <w:p w14:paraId="4D10A497" w14:textId="77777777" w:rsidR="00557CB3" w:rsidRPr="002740EA" w:rsidRDefault="00557CB3" w:rsidP="000C6B3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Porcentaje de alumnos con promedio acumulado igual o superior a 8 en escala de 0 a 10</w:t>
            </w:r>
          </w:p>
        </w:tc>
        <w:tc>
          <w:tcPr>
            <w:tcW w:w="0" w:type="auto"/>
            <w:tcBorders>
              <w:top w:val="single" w:sz="4" w:space="0" w:color="auto"/>
              <w:bottom w:val="single" w:sz="4" w:space="0" w:color="auto"/>
            </w:tcBorders>
            <w:shd w:val="clear" w:color="auto" w:fill="FFFFFF" w:themeFill="background1"/>
          </w:tcPr>
          <w:p w14:paraId="12870ED9"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2515413"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5135469"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319A357C"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X</w:t>
            </w:r>
          </w:p>
        </w:tc>
      </w:tr>
      <w:tr w:rsidR="00557CB3" w:rsidRPr="002740EA" w14:paraId="53B7AA96" w14:textId="77777777" w:rsidTr="00C104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72F7CD9B"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279797F0"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1, Actividad A04</w:t>
            </w:r>
          </w:p>
        </w:tc>
        <w:tc>
          <w:tcPr>
            <w:tcW w:w="0" w:type="auto"/>
            <w:tcBorders>
              <w:top w:val="single" w:sz="4" w:space="0" w:color="auto"/>
              <w:bottom w:val="single" w:sz="4" w:space="0" w:color="auto"/>
            </w:tcBorders>
            <w:shd w:val="clear" w:color="auto" w:fill="FFFFFF" w:themeFill="background1"/>
          </w:tcPr>
          <w:p w14:paraId="7DACA9ED" w14:textId="77777777" w:rsidR="00557CB3" w:rsidRPr="002740EA" w:rsidRDefault="00557CB3" w:rsidP="000C6B3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estudiantes inscritos en actividades deportivas, con relación al total de la matrícula inscrita</w:t>
            </w:r>
          </w:p>
        </w:tc>
        <w:tc>
          <w:tcPr>
            <w:tcW w:w="0" w:type="auto"/>
            <w:tcBorders>
              <w:top w:val="single" w:sz="4" w:space="0" w:color="auto"/>
              <w:bottom w:val="single" w:sz="4" w:space="0" w:color="auto"/>
            </w:tcBorders>
            <w:shd w:val="clear" w:color="auto" w:fill="FFFFFF" w:themeFill="background1"/>
          </w:tcPr>
          <w:p w14:paraId="63FFDDD6"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69EE3494"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726409CC" w14:textId="77777777" w:rsidR="00557CB3" w:rsidRPr="005238FF"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02D8D6DE" w14:textId="3B9C5B0D" w:rsidR="00557CB3" w:rsidRPr="005238FF"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X</w:t>
            </w:r>
          </w:p>
        </w:tc>
      </w:tr>
      <w:tr w:rsidR="00557CB3" w:rsidRPr="002740EA" w14:paraId="27A5EAFF"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48180F37"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5E0C8FD7"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1, Actividad A4</w:t>
            </w:r>
          </w:p>
        </w:tc>
        <w:tc>
          <w:tcPr>
            <w:tcW w:w="0" w:type="auto"/>
            <w:tcBorders>
              <w:top w:val="single" w:sz="4" w:space="0" w:color="auto"/>
              <w:bottom w:val="single" w:sz="4" w:space="0" w:color="auto"/>
            </w:tcBorders>
            <w:shd w:val="clear" w:color="auto" w:fill="FFFFFF" w:themeFill="background1"/>
          </w:tcPr>
          <w:p w14:paraId="22F7034C" w14:textId="77777777" w:rsidR="00557CB3" w:rsidRPr="002740EA" w:rsidRDefault="00557CB3" w:rsidP="000C6B3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-Porcentaje de alumnos inscritos en actividades artísticas</w:t>
            </w:r>
          </w:p>
        </w:tc>
        <w:tc>
          <w:tcPr>
            <w:tcW w:w="0" w:type="auto"/>
            <w:tcBorders>
              <w:top w:val="single" w:sz="4" w:space="0" w:color="auto"/>
              <w:bottom w:val="single" w:sz="4" w:space="0" w:color="auto"/>
            </w:tcBorders>
            <w:shd w:val="clear" w:color="auto" w:fill="FFFFFF" w:themeFill="background1"/>
          </w:tcPr>
          <w:p w14:paraId="79464C6E"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18EEFF4A"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23C47FF1"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w:t>
            </w:r>
          </w:p>
        </w:tc>
        <w:tc>
          <w:tcPr>
            <w:tcW w:w="0" w:type="auto"/>
            <w:tcBorders>
              <w:top w:val="single" w:sz="4" w:space="0" w:color="auto"/>
              <w:bottom w:val="single" w:sz="4" w:space="0" w:color="auto"/>
            </w:tcBorders>
            <w:shd w:val="clear" w:color="auto" w:fill="FFFFFF" w:themeFill="background1"/>
          </w:tcPr>
          <w:p w14:paraId="446D1405" w14:textId="77777777" w:rsidR="00557CB3" w:rsidRPr="005238FF"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5238FF">
              <w:rPr>
                <w:rFonts w:cs="Arial"/>
                <w:sz w:val="16"/>
                <w:szCs w:val="16"/>
              </w:rPr>
              <w:t>X</w:t>
            </w:r>
          </w:p>
        </w:tc>
      </w:tr>
      <w:tr w:rsidR="00557CB3" w:rsidRPr="002740EA" w14:paraId="20C93C13" w14:textId="77777777" w:rsidTr="00C1040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2334F0AF"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41023E52"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01</w:t>
            </w:r>
          </w:p>
          <w:p w14:paraId="0E1D93FA"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Actividad A04</w:t>
            </w:r>
          </w:p>
        </w:tc>
        <w:tc>
          <w:tcPr>
            <w:tcW w:w="0" w:type="auto"/>
            <w:tcBorders>
              <w:top w:val="single" w:sz="4" w:space="0" w:color="auto"/>
              <w:bottom w:val="single" w:sz="4" w:space="0" w:color="auto"/>
            </w:tcBorders>
            <w:shd w:val="clear" w:color="auto" w:fill="FFFFFF" w:themeFill="background1"/>
          </w:tcPr>
          <w:p w14:paraId="1FC29C8A" w14:textId="77777777" w:rsidR="00557CB3" w:rsidRPr="002740EA" w:rsidRDefault="00557CB3" w:rsidP="000C6B3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profesores, personal administrativo y alumnos inscritos en el programa de vida saludable.</w:t>
            </w:r>
          </w:p>
        </w:tc>
        <w:tc>
          <w:tcPr>
            <w:tcW w:w="0" w:type="auto"/>
            <w:tcBorders>
              <w:top w:val="single" w:sz="4" w:space="0" w:color="auto"/>
              <w:bottom w:val="single" w:sz="4" w:space="0" w:color="auto"/>
            </w:tcBorders>
            <w:shd w:val="clear" w:color="auto" w:fill="FFFFFF" w:themeFill="background1"/>
          </w:tcPr>
          <w:p w14:paraId="07FC0EE3"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BD3C925"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36D87080"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2860B33F"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46AD18B8"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6312639E"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53847F83"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02.</w:t>
            </w:r>
          </w:p>
        </w:tc>
        <w:tc>
          <w:tcPr>
            <w:tcW w:w="0" w:type="auto"/>
            <w:tcBorders>
              <w:top w:val="single" w:sz="4" w:space="0" w:color="auto"/>
              <w:bottom w:val="single" w:sz="4" w:space="0" w:color="auto"/>
            </w:tcBorders>
            <w:shd w:val="clear" w:color="auto" w:fill="FFFFFF" w:themeFill="background1"/>
          </w:tcPr>
          <w:p w14:paraId="1D1C99A3" w14:textId="77777777" w:rsidR="00557CB3" w:rsidRPr="002740EA" w:rsidRDefault="00557CB3" w:rsidP="000C6B3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Porcentaje de programas educativos evaluables de nivel licenciatura con calidad</w:t>
            </w:r>
          </w:p>
        </w:tc>
        <w:tc>
          <w:tcPr>
            <w:tcW w:w="0" w:type="auto"/>
            <w:tcBorders>
              <w:top w:val="single" w:sz="4" w:space="0" w:color="auto"/>
              <w:bottom w:val="single" w:sz="4" w:space="0" w:color="auto"/>
            </w:tcBorders>
            <w:shd w:val="clear" w:color="auto" w:fill="FFFFFF" w:themeFill="background1"/>
          </w:tcPr>
          <w:p w14:paraId="6D3EBBE8" w14:textId="77777777" w:rsidR="00557CB3" w:rsidRPr="002740EA"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1ABBAE3E" w14:textId="77777777" w:rsidR="00557CB3" w:rsidRPr="002740EA"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2D1836D9" w14:textId="77777777" w:rsidR="00557CB3" w:rsidRPr="002740EA"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14FCF0C3" w14:textId="77777777" w:rsidR="00557CB3" w:rsidRPr="002740EA"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r>
      <w:tr w:rsidR="00557CB3" w:rsidRPr="002740EA" w14:paraId="4EF2180D" w14:textId="77777777" w:rsidTr="00C104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799A274D"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29E2BAB9"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02.</w:t>
            </w:r>
          </w:p>
        </w:tc>
        <w:tc>
          <w:tcPr>
            <w:tcW w:w="0" w:type="auto"/>
            <w:tcBorders>
              <w:top w:val="single" w:sz="4" w:space="0" w:color="auto"/>
              <w:bottom w:val="single" w:sz="4" w:space="0" w:color="auto"/>
            </w:tcBorders>
            <w:shd w:val="clear" w:color="auto" w:fill="FFFFFF" w:themeFill="background1"/>
          </w:tcPr>
          <w:p w14:paraId="7A220785" w14:textId="77777777" w:rsidR="00557CB3" w:rsidRPr="002740EA" w:rsidRDefault="00557CB3" w:rsidP="000C6B37">
            <w:pPr>
              <w:spacing w:line="276" w:lineRule="auto"/>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programas educativos de posgrados en el Padrón del Programa Nacional de Posgrados de Calidad (PNPC)</w:t>
            </w:r>
          </w:p>
        </w:tc>
        <w:tc>
          <w:tcPr>
            <w:tcW w:w="0" w:type="auto"/>
            <w:tcBorders>
              <w:top w:val="single" w:sz="4" w:space="0" w:color="auto"/>
              <w:bottom w:val="single" w:sz="4" w:space="0" w:color="auto"/>
            </w:tcBorders>
            <w:shd w:val="clear" w:color="auto" w:fill="FFFFFF" w:themeFill="background1"/>
          </w:tcPr>
          <w:p w14:paraId="068781FD"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17928661"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B39E4F1"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2710EA1D" w14:textId="77777777" w:rsidR="00557CB3" w:rsidRPr="002740EA" w:rsidRDefault="00557CB3"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r>
      <w:tr w:rsidR="00557CB3" w:rsidRPr="002740EA" w14:paraId="7F0EFBD8"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3891896F"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42523194"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02, Actividad 01-01</w:t>
            </w:r>
          </w:p>
        </w:tc>
        <w:tc>
          <w:tcPr>
            <w:tcW w:w="0" w:type="auto"/>
            <w:tcBorders>
              <w:top w:val="single" w:sz="4" w:space="0" w:color="auto"/>
              <w:bottom w:val="single" w:sz="4" w:space="0" w:color="auto"/>
            </w:tcBorders>
            <w:shd w:val="clear" w:color="auto" w:fill="FFFFFF" w:themeFill="background1"/>
          </w:tcPr>
          <w:p w14:paraId="6644D4D4" w14:textId="77777777" w:rsidR="00557CB3" w:rsidRPr="002740EA" w:rsidRDefault="00557CB3" w:rsidP="000C6B37">
            <w:pPr>
              <w:jc w:val="both"/>
              <w:cnfStyle w:val="000000000000" w:firstRow="0" w:lastRow="0" w:firstColumn="0" w:lastColumn="0" w:oddVBand="0" w:evenVBand="0" w:oddHBand="0" w:evenHBand="0" w:firstRowFirstColumn="0" w:firstRowLastColumn="0" w:lastRowFirstColumn="0" w:lastRowLastColumn="0"/>
              <w:rPr>
                <w:rFonts w:eastAsia="Times New Roman" w:cs="Arial"/>
                <w:color w:val="000000"/>
                <w:sz w:val="16"/>
                <w:szCs w:val="16"/>
              </w:rPr>
            </w:pPr>
            <w:r w:rsidRPr="002740EA">
              <w:rPr>
                <w:rFonts w:cs="Arial"/>
                <w:sz w:val="16"/>
                <w:szCs w:val="16"/>
              </w:rPr>
              <w:t>Porcentaje de personal docente con doctorado</w:t>
            </w:r>
          </w:p>
          <w:p w14:paraId="79A5AF97" w14:textId="77777777" w:rsidR="00557CB3" w:rsidRPr="002740EA" w:rsidRDefault="00557CB3" w:rsidP="000C6B37">
            <w:pPr>
              <w:spacing w:line="276" w:lineRule="auto"/>
              <w:jc w:val="both"/>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uto"/>
              <w:bottom w:val="single" w:sz="4" w:space="0" w:color="auto"/>
            </w:tcBorders>
            <w:shd w:val="clear" w:color="auto" w:fill="FFFFFF" w:themeFill="background1"/>
          </w:tcPr>
          <w:p w14:paraId="644E273E" w14:textId="35F2EBE2"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25446B3D" w14:textId="6FA74E96"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4CD2C459" w14:textId="1A642212"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4CC36538" w14:textId="3F5F35A6"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409D0E22" w14:textId="77777777" w:rsidTr="00C104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7CE079E3"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4AB0F35F"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02, Actividad 01-02</w:t>
            </w:r>
          </w:p>
        </w:tc>
        <w:tc>
          <w:tcPr>
            <w:tcW w:w="0" w:type="auto"/>
            <w:tcBorders>
              <w:top w:val="single" w:sz="4" w:space="0" w:color="auto"/>
              <w:bottom w:val="single" w:sz="4" w:space="0" w:color="auto"/>
            </w:tcBorders>
            <w:shd w:val="clear" w:color="auto" w:fill="FFFFFF" w:themeFill="background1"/>
          </w:tcPr>
          <w:p w14:paraId="017571BC" w14:textId="77777777" w:rsidR="00557CB3" w:rsidRPr="002740EA" w:rsidRDefault="00557CB3" w:rsidP="000C6B37">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personal docente con el perfil del Programa para el Desarrollo Profesional Docente (PRODEP)</w:t>
            </w:r>
          </w:p>
        </w:tc>
        <w:tc>
          <w:tcPr>
            <w:tcW w:w="0" w:type="auto"/>
            <w:tcBorders>
              <w:top w:val="single" w:sz="4" w:space="0" w:color="auto"/>
              <w:bottom w:val="single" w:sz="4" w:space="0" w:color="auto"/>
            </w:tcBorders>
            <w:shd w:val="clear" w:color="auto" w:fill="FFFFFF" w:themeFill="background1"/>
          </w:tcPr>
          <w:p w14:paraId="1198F432" w14:textId="28237D91"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33DCCCCD" w14:textId="0DD23C0D"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38A9A103" w14:textId="6E9BF4E4"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5E92CBB0" w14:textId="7E6C2E3A"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6EF99955"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6433F71B"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389BAEF6"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C02,</w:t>
            </w:r>
          </w:p>
          <w:p w14:paraId="4793D946"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actividad 01.</w:t>
            </w:r>
          </w:p>
        </w:tc>
        <w:tc>
          <w:tcPr>
            <w:tcW w:w="0" w:type="auto"/>
            <w:tcBorders>
              <w:top w:val="single" w:sz="4" w:space="0" w:color="auto"/>
              <w:bottom w:val="single" w:sz="4" w:space="0" w:color="auto"/>
            </w:tcBorders>
            <w:shd w:val="clear" w:color="auto" w:fill="FFFFFF" w:themeFill="background1"/>
          </w:tcPr>
          <w:p w14:paraId="0E033E54" w14:textId="77777777" w:rsidR="00557CB3" w:rsidRPr="002740EA" w:rsidRDefault="00557CB3" w:rsidP="000C6B37">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Porcentaje de personal docente en el Sistema Nacional de Investigadores (SNI)</w:t>
            </w:r>
          </w:p>
        </w:tc>
        <w:tc>
          <w:tcPr>
            <w:tcW w:w="0" w:type="auto"/>
            <w:tcBorders>
              <w:top w:val="single" w:sz="4" w:space="0" w:color="auto"/>
              <w:bottom w:val="single" w:sz="4" w:space="0" w:color="auto"/>
            </w:tcBorders>
            <w:shd w:val="clear" w:color="auto" w:fill="FFFFFF" w:themeFill="background1"/>
          </w:tcPr>
          <w:p w14:paraId="2D7AE592" w14:textId="1A4A9B07"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5EC5EFB3" w14:textId="5A2CC65B"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A8981D0" w14:textId="774F6DF0"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3845F5F5" w14:textId="65CC84E9"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613714E3" w14:textId="77777777" w:rsidTr="00C104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787C5034"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541DE4AF"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C02,</w:t>
            </w:r>
          </w:p>
          <w:p w14:paraId="19DAE8EA"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actividad 02.</w:t>
            </w:r>
          </w:p>
        </w:tc>
        <w:tc>
          <w:tcPr>
            <w:tcW w:w="0" w:type="auto"/>
            <w:tcBorders>
              <w:top w:val="single" w:sz="4" w:space="0" w:color="auto"/>
              <w:bottom w:val="single" w:sz="4" w:space="0" w:color="auto"/>
            </w:tcBorders>
            <w:shd w:val="clear" w:color="auto" w:fill="FFFFFF" w:themeFill="background1"/>
          </w:tcPr>
          <w:p w14:paraId="7E261C97" w14:textId="77777777" w:rsidR="00557CB3" w:rsidRPr="002740EA" w:rsidRDefault="00557CB3" w:rsidP="000C6B37">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proyectos de investigación aplicada</w:t>
            </w:r>
          </w:p>
        </w:tc>
        <w:tc>
          <w:tcPr>
            <w:tcW w:w="0" w:type="auto"/>
            <w:tcBorders>
              <w:top w:val="single" w:sz="4" w:space="0" w:color="auto"/>
              <w:bottom w:val="single" w:sz="4" w:space="0" w:color="auto"/>
            </w:tcBorders>
            <w:shd w:val="clear" w:color="auto" w:fill="FFFFFF" w:themeFill="background1"/>
          </w:tcPr>
          <w:p w14:paraId="1723C6EB" w14:textId="7C81BD38"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5292D4CD" w14:textId="2D1CBA7C"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5FA957C" w14:textId="06693AAB"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5945AE28" w14:textId="255FA0F0"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12903E6D"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192938EF"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5D79F4F3"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Componente C02,</w:t>
            </w:r>
          </w:p>
          <w:p w14:paraId="2AB6FD19"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actividad 03</w:t>
            </w:r>
          </w:p>
        </w:tc>
        <w:tc>
          <w:tcPr>
            <w:tcW w:w="0" w:type="auto"/>
            <w:tcBorders>
              <w:top w:val="single" w:sz="4" w:space="0" w:color="auto"/>
              <w:bottom w:val="single" w:sz="4" w:space="0" w:color="auto"/>
            </w:tcBorders>
            <w:shd w:val="clear" w:color="auto" w:fill="FFFFFF" w:themeFill="background1"/>
          </w:tcPr>
          <w:p w14:paraId="4918745C" w14:textId="77777777" w:rsidR="00557CB3" w:rsidRPr="002740EA" w:rsidRDefault="00557CB3" w:rsidP="000C6B37">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Porcentaje de planes de estudio actualizados.</w:t>
            </w:r>
          </w:p>
        </w:tc>
        <w:tc>
          <w:tcPr>
            <w:tcW w:w="0" w:type="auto"/>
            <w:tcBorders>
              <w:top w:val="single" w:sz="4" w:space="0" w:color="auto"/>
              <w:bottom w:val="single" w:sz="4" w:space="0" w:color="auto"/>
            </w:tcBorders>
            <w:shd w:val="clear" w:color="auto" w:fill="FFFFFF" w:themeFill="background1"/>
          </w:tcPr>
          <w:p w14:paraId="4A34C3D0" w14:textId="77777777" w:rsidR="00557CB3" w:rsidRPr="002740EA"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uto"/>
              <w:bottom w:val="single" w:sz="4" w:space="0" w:color="auto"/>
            </w:tcBorders>
            <w:shd w:val="clear" w:color="auto" w:fill="FFFFFF" w:themeFill="background1"/>
          </w:tcPr>
          <w:p w14:paraId="6548ECF5" w14:textId="77777777" w:rsidR="00557CB3" w:rsidRPr="002740EA" w:rsidRDefault="00557CB3"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0" w:type="auto"/>
            <w:tcBorders>
              <w:top w:val="single" w:sz="4" w:space="0" w:color="auto"/>
              <w:bottom w:val="single" w:sz="4" w:space="0" w:color="auto"/>
            </w:tcBorders>
            <w:shd w:val="clear" w:color="auto" w:fill="FFFFFF" w:themeFill="background1"/>
          </w:tcPr>
          <w:p w14:paraId="39B77082" w14:textId="0B21556F"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4D640E95" w14:textId="1618A8B9"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727C565A" w14:textId="77777777" w:rsidTr="00C1040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auto"/>
          </w:tcPr>
          <w:p w14:paraId="42B79C56"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18F566B0"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C03</w:t>
            </w:r>
          </w:p>
        </w:tc>
        <w:tc>
          <w:tcPr>
            <w:tcW w:w="0" w:type="auto"/>
            <w:tcBorders>
              <w:top w:val="single" w:sz="4" w:space="0" w:color="auto"/>
              <w:bottom w:val="single" w:sz="4" w:space="0" w:color="auto"/>
            </w:tcBorders>
            <w:shd w:val="clear" w:color="auto" w:fill="FFFFFF" w:themeFill="background1"/>
          </w:tcPr>
          <w:p w14:paraId="19712071" w14:textId="77777777" w:rsidR="00557CB3" w:rsidRPr="002740EA" w:rsidRDefault="00557CB3" w:rsidP="000C6B37">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Porcentaje de alumnos de la Universidad de Quintana Roo en movilidad nacional o internacional.</w:t>
            </w:r>
          </w:p>
        </w:tc>
        <w:tc>
          <w:tcPr>
            <w:tcW w:w="0" w:type="auto"/>
            <w:tcBorders>
              <w:top w:val="single" w:sz="4" w:space="0" w:color="auto"/>
              <w:bottom w:val="single" w:sz="4" w:space="0" w:color="auto"/>
            </w:tcBorders>
            <w:shd w:val="clear" w:color="auto" w:fill="FFFFFF" w:themeFill="background1"/>
          </w:tcPr>
          <w:p w14:paraId="23F652DD" w14:textId="5D9896E0"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3BD5AA86" w14:textId="6E3FBF0D"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0EFBA00A" w14:textId="48E21389"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66374C70" w14:textId="3AEFE64D"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r>
      <w:tr w:rsidR="00557CB3" w:rsidRPr="002740EA" w14:paraId="08FE03C7" w14:textId="77777777" w:rsidTr="00C10401">
        <w:trPr>
          <w:trHeight w:val="359"/>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shd w:val="clear" w:color="auto" w:fill="FFFFFF" w:themeFill="background1"/>
          </w:tcPr>
          <w:p w14:paraId="2709A997" w14:textId="77777777" w:rsidR="00557CB3" w:rsidRPr="002740EA" w:rsidRDefault="00557CB3" w:rsidP="000C6B37">
            <w:pPr>
              <w:spacing w:line="276" w:lineRule="auto"/>
              <w:jc w:val="both"/>
              <w:rPr>
                <w:rFonts w:cs="Arial"/>
                <w:b w:val="0"/>
                <w:sz w:val="16"/>
                <w:szCs w:val="16"/>
              </w:rPr>
            </w:pPr>
          </w:p>
          <w:p w14:paraId="38BBD91A" w14:textId="77777777" w:rsidR="00557CB3" w:rsidRPr="002740EA" w:rsidRDefault="00557CB3" w:rsidP="000C6B37">
            <w:pPr>
              <w:spacing w:line="276" w:lineRule="auto"/>
              <w:jc w:val="both"/>
              <w:rPr>
                <w:rFonts w:cs="Arial"/>
                <w:b w:val="0"/>
                <w:sz w:val="16"/>
                <w:szCs w:val="16"/>
              </w:rPr>
            </w:pPr>
            <w:r w:rsidRPr="002740EA">
              <w:rPr>
                <w:rFonts w:eastAsia="Times New Roman" w:cs="Arial"/>
                <w:color w:val="000000"/>
                <w:sz w:val="16"/>
                <w:szCs w:val="16"/>
              </w:rPr>
              <w:t>M001-“Gestión y Apoyo Institucional”</w:t>
            </w:r>
          </w:p>
        </w:tc>
        <w:tc>
          <w:tcPr>
            <w:tcW w:w="0" w:type="auto"/>
            <w:tcBorders>
              <w:top w:val="single" w:sz="4" w:space="0" w:color="auto"/>
              <w:bottom w:val="single" w:sz="4" w:space="0" w:color="auto"/>
            </w:tcBorders>
            <w:shd w:val="clear" w:color="auto" w:fill="FFFFFF" w:themeFill="background1"/>
          </w:tcPr>
          <w:p w14:paraId="19848CB8" w14:textId="77777777" w:rsidR="00557CB3" w:rsidRPr="002740EA" w:rsidRDefault="00557CB3" w:rsidP="000C6B37">
            <w:pPr>
              <w:spacing w:line="276" w:lineRule="auto"/>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Fin</w:t>
            </w:r>
          </w:p>
        </w:tc>
        <w:tc>
          <w:tcPr>
            <w:tcW w:w="0" w:type="auto"/>
            <w:tcBorders>
              <w:top w:val="single" w:sz="4" w:space="0" w:color="auto"/>
              <w:bottom w:val="single" w:sz="4" w:space="0" w:color="auto"/>
            </w:tcBorders>
            <w:shd w:val="clear" w:color="auto" w:fill="FFFFFF" w:themeFill="background1"/>
          </w:tcPr>
          <w:p w14:paraId="0D173342" w14:textId="77777777" w:rsidR="00557CB3" w:rsidRPr="002740EA" w:rsidRDefault="00557CB3" w:rsidP="000C6B37">
            <w:pPr>
              <w:jc w:val="both"/>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Posición estatal en el Índice General de Avance en PbR-SED Entidades</w:t>
            </w:r>
          </w:p>
        </w:tc>
        <w:tc>
          <w:tcPr>
            <w:tcW w:w="0" w:type="auto"/>
            <w:tcBorders>
              <w:top w:val="single" w:sz="4" w:space="0" w:color="auto"/>
              <w:bottom w:val="single" w:sz="4" w:space="0" w:color="auto"/>
            </w:tcBorders>
            <w:shd w:val="clear" w:color="auto" w:fill="FFFFFF" w:themeFill="background1"/>
          </w:tcPr>
          <w:p w14:paraId="4E16183C" w14:textId="0B151614"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40AC848C" w14:textId="75683FEC"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3565C507" w14:textId="4E7FF948"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1C44730A" w14:textId="5CEB3689" w:rsidR="00557CB3" w:rsidRPr="002740EA" w:rsidRDefault="005238FF" w:rsidP="000C6B37">
            <w:pPr>
              <w:spacing w:line="276" w:lineRule="auto"/>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2740EA">
              <w:rPr>
                <w:rFonts w:cs="Arial"/>
                <w:sz w:val="16"/>
                <w:szCs w:val="16"/>
              </w:rPr>
              <w:t>-</w:t>
            </w:r>
          </w:p>
        </w:tc>
      </w:tr>
      <w:tr w:rsidR="00557CB3" w:rsidRPr="002740EA" w14:paraId="03E46DE2" w14:textId="77777777" w:rsidTr="00C10401">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FFFFFF" w:themeFill="background1"/>
          </w:tcPr>
          <w:p w14:paraId="13E3A52A" w14:textId="77777777" w:rsidR="00557CB3" w:rsidRPr="002740EA" w:rsidRDefault="00557CB3" w:rsidP="000C6B37">
            <w:pPr>
              <w:spacing w:line="276" w:lineRule="auto"/>
              <w:jc w:val="both"/>
              <w:rPr>
                <w:rFonts w:cs="Arial"/>
                <w:b w:val="0"/>
                <w:sz w:val="16"/>
                <w:szCs w:val="16"/>
              </w:rPr>
            </w:pPr>
          </w:p>
        </w:tc>
        <w:tc>
          <w:tcPr>
            <w:tcW w:w="0" w:type="auto"/>
            <w:tcBorders>
              <w:top w:val="single" w:sz="4" w:space="0" w:color="auto"/>
              <w:bottom w:val="single" w:sz="4" w:space="0" w:color="auto"/>
            </w:tcBorders>
            <w:shd w:val="clear" w:color="auto" w:fill="FFFFFF" w:themeFill="background1"/>
          </w:tcPr>
          <w:p w14:paraId="1F43F4C2"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Componente 01</w:t>
            </w:r>
          </w:p>
          <w:p w14:paraId="0D11684F" w14:textId="77777777" w:rsidR="00557CB3" w:rsidRPr="002740EA" w:rsidRDefault="00557CB3" w:rsidP="000C6B37">
            <w:pPr>
              <w:spacing w:line="276" w:lineRule="auto"/>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Actividad 01</w:t>
            </w:r>
          </w:p>
        </w:tc>
        <w:tc>
          <w:tcPr>
            <w:tcW w:w="0" w:type="auto"/>
            <w:tcBorders>
              <w:top w:val="single" w:sz="4" w:space="0" w:color="auto"/>
              <w:bottom w:val="single" w:sz="4" w:space="0" w:color="auto"/>
            </w:tcBorders>
            <w:shd w:val="clear" w:color="auto" w:fill="FFFFFF" w:themeFill="background1"/>
          </w:tcPr>
          <w:p w14:paraId="6FDB4A28" w14:textId="77777777" w:rsidR="00557CB3" w:rsidRPr="002740EA" w:rsidRDefault="00557CB3" w:rsidP="000C6B37">
            <w:pPr>
              <w:jc w:val="both"/>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Posición estatal en el Índice General de Avance en PbR-SED Entidades.</w:t>
            </w:r>
          </w:p>
        </w:tc>
        <w:tc>
          <w:tcPr>
            <w:tcW w:w="0" w:type="auto"/>
            <w:tcBorders>
              <w:top w:val="single" w:sz="4" w:space="0" w:color="auto"/>
              <w:bottom w:val="single" w:sz="4" w:space="0" w:color="auto"/>
            </w:tcBorders>
            <w:shd w:val="clear" w:color="auto" w:fill="FFFFFF" w:themeFill="background1"/>
          </w:tcPr>
          <w:p w14:paraId="4AB8C7DB" w14:textId="51E22213"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2DD808FB" w14:textId="5FD5C7DC"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c>
          <w:tcPr>
            <w:tcW w:w="0" w:type="auto"/>
            <w:tcBorders>
              <w:top w:val="single" w:sz="4" w:space="0" w:color="auto"/>
              <w:bottom w:val="single" w:sz="4" w:space="0" w:color="auto"/>
            </w:tcBorders>
            <w:shd w:val="clear" w:color="auto" w:fill="FFFFFF" w:themeFill="background1"/>
          </w:tcPr>
          <w:p w14:paraId="53DD58A7" w14:textId="5359F95B"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X</w:t>
            </w:r>
          </w:p>
        </w:tc>
        <w:tc>
          <w:tcPr>
            <w:tcW w:w="0" w:type="auto"/>
            <w:tcBorders>
              <w:top w:val="single" w:sz="4" w:space="0" w:color="auto"/>
              <w:bottom w:val="single" w:sz="4" w:space="0" w:color="auto"/>
            </w:tcBorders>
            <w:shd w:val="clear" w:color="auto" w:fill="FFFFFF" w:themeFill="background1"/>
          </w:tcPr>
          <w:p w14:paraId="6D9EE5D7" w14:textId="09B53EF4" w:rsidR="00557CB3" w:rsidRPr="002740EA" w:rsidRDefault="005238FF" w:rsidP="000C6B37">
            <w:pPr>
              <w:spacing w:line="276" w:lineRule="auto"/>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2740EA">
              <w:rPr>
                <w:rFonts w:cs="Arial"/>
                <w:sz w:val="16"/>
                <w:szCs w:val="16"/>
              </w:rPr>
              <w:t>-</w:t>
            </w:r>
          </w:p>
        </w:tc>
      </w:tr>
      <w:tr w:rsidR="00557CB3" w:rsidRPr="002740EA" w14:paraId="69A2CA3B" w14:textId="77777777" w:rsidTr="00C10401">
        <w:trPr>
          <w:trHeight w:val="196"/>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FFFFFF" w:themeFill="background1"/>
          </w:tcPr>
          <w:p w14:paraId="6D58257B" w14:textId="77777777" w:rsidR="00557CB3" w:rsidRPr="002740EA" w:rsidRDefault="00557CB3" w:rsidP="000C6B37">
            <w:pPr>
              <w:spacing w:line="276" w:lineRule="auto"/>
              <w:jc w:val="center"/>
              <w:rPr>
                <w:rFonts w:cs="Arial"/>
                <w:b w:val="0"/>
                <w:sz w:val="16"/>
                <w:szCs w:val="16"/>
              </w:rPr>
            </w:pPr>
            <w:r w:rsidRPr="002740EA">
              <w:rPr>
                <w:rFonts w:cs="Arial"/>
                <w:sz w:val="16"/>
                <w:szCs w:val="16"/>
              </w:rPr>
              <w:t>* M C: Método de Cálculo          * L B: Línea Base         * M: Meta          * P: Periodicidad</w:t>
            </w:r>
          </w:p>
        </w:tc>
      </w:tr>
      <w:tr w:rsidR="00557CB3" w:rsidRPr="002740EA" w14:paraId="01E62273" w14:textId="77777777" w:rsidTr="00C1040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FFFFFF" w:themeFill="background1"/>
          </w:tcPr>
          <w:p w14:paraId="25351EAA" w14:textId="77777777" w:rsidR="00557CB3" w:rsidRPr="005238FF" w:rsidRDefault="00557CB3" w:rsidP="005238FF">
            <w:pPr>
              <w:spacing w:line="276" w:lineRule="auto"/>
              <w:ind w:left="-105" w:right="-12"/>
              <w:jc w:val="center"/>
              <w:rPr>
                <w:rFonts w:cs="Arial"/>
                <w:b w:val="0"/>
                <w:sz w:val="14"/>
                <w:szCs w:val="14"/>
              </w:rPr>
            </w:pPr>
            <w:r w:rsidRPr="005238FF">
              <w:rPr>
                <w:rFonts w:cs="Arial"/>
                <w:b w:val="0"/>
                <w:sz w:val="16"/>
                <w:szCs w:val="14"/>
              </w:rPr>
              <w:t xml:space="preserve">Fuente: </w:t>
            </w:r>
            <w:r w:rsidRPr="005238FF">
              <w:rPr>
                <w:rFonts w:cs="Arial"/>
                <w:b w:val="0"/>
                <w:sz w:val="16"/>
                <w:szCs w:val="16"/>
              </w:rPr>
              <w:t>Elaborado por la ASEQROO, con base en el resumen narrativo de las MIR de los Programas Presupuestarios.</w:t>
            </w:r>
          </w:p>
        </w:tc>
      </w:tr>
    </w:tbl>
    <w:p w14:paraId="2B713C47" w14:textId="77777777" w:rsidR="00CB20D9" w:rsidRPr="002740EA" w:rsidRDefault="00CB20D9" w:rsidP="00CB20D9">
      <w:pPr>
        <w:pStyle w:val="Prrafodelista"/>
        <w:spacing w:after="0"/>
        <w:ind w:left="1080"/>
        <w:jc w:val="both"/>
        <w:rPr>
          <w:rFonts w:cs="Arial"/>
          <w:szCs w:val="24"/>
        </w:rPr>
      </w:pPr>
    </w:p>
    <w:p w14:paraId="2746EACB" w14:textId="558EF206" w:rsidR="00557CB3" w:rsidRPr="002740EA" w:rsidRDefault="00557CB3" w:rsidP="000C6B37">
      <w:pPr>
        <w:pStyle w:val="Prrafodelista"/>
        <w:numPr>
          <w:ilvl w:val="0"/>
          <w:numId w:val="8"/>
        </w:numPr>
        <w:spacing w:after="0"/>
        <w:jc w:val="both"/>
        <w:rPr>
          <w:rFonts w:cs="Arial"/>
          <w:szCs w:val="24"/>
        </w:rPr>
      </w:pPr>
      <w:r w:rsidRPr="002740EA">
        <w:rPr>
          <w:rFonts w:cs="Arial"/>
          <w:b/>
          <w:szCs w:val="24"/>
        </w:rPr>
        <w:t xml:space="preserve">Medios de Verificación: </w:t>
      </w:r>
      <w:r w:rsidRPr="002740EA">
        <w:rPr>
          <w:rFonts w:cs="Arial"/>
          <w:szCs w:val="24"/>
        </w:rPr>
        <w:t>Se constataron las fuentes de datos disponibles para verificar el valor de los indicadores presentados en la MIR con respecto a los avances y logros del Programa. Derivado del análisis, se determinó que el 100% de los medios de verificación fueron insuficientes para el monitoreo, puesto que no se menciona uno o más de los siguientes datos, por lo que representan áreas de oportunidad:</w:t>
      </w:r>
    </w:p>
    <w:p w14:paraId="67E7AB24" w14:textId="77777777" w:rsidR="00A57167" w:rsidRPr="002740EA" w:rsidRDefault="00A57167" w:rsidP="00A57167">
      <w:pPr>
        <w:spacing w:after="0"/>
        <w:jc w:val="both"/>
        <w:rPr>
          <w:rFonts w:cs="Arial"/>
          <w:szCs w:val="24"/>
        </w:rPr>
      </w:pPr>
    </w:p>
    <w:tbl>
      <w:tblPr>
        <w:tblStyle w:val="Tablaconcuadrcula"/>
        <w:tblW w:w="50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339"/>
        <w:gridCol w:w="4668"/>
        <w:gridCol w:w="198"/>
        <w:gridCol w:w="196"/>
        <w:gridCol w:w="248"/>
        <w:gridCol w:w="262"/>
        <w:gridCol w:w="195"/>
        <w:gridCol w:w="190"/>
        <w:gridCol w:w="149"/>
        <w:gridCol w:w="305"/>
        <w:gridCol w:w="18"/>
      </w:tblGrid>
      <w:tr w:rsidR="00557CB3" w:rsidRPr="002740EA" w14:paraId="7A1247E1" w14:textId="77777777" w:rsidTr="00A27139">
        <w:trPr>
          <w:gridAfter w:val="1"/>
          <w:wAfter w:w="9" w:type="pct"/>
          <w:trHeight w:val="220"/>
          <w:tblHeader/>
        </w:trPr>
        <w:tc>
          <w:tcPr>
            <w:tcW w:w="4991" w:type="pct"/>
            <w:gridSpan w:val="11"/>
            <w:tcBorders>
              <w:bottom w:val="single" w:sz="4" w:space="0" w:color="auto"/>
            </w:tcBorders>
            <w:shd w:val="clear" w:color="auto" w:fill="FFFFFF" w:themeFill="background1"/>
          </w:tcPr>
          <w:p w14:paraId="296746C2" w14:textId="77777777" w:rsidR="00557CB3" w:rsidRPr="002740EA" w:rsidRDefault="00557CB3" w:rsidP="000C6B37">
            <w:pPr>
              <w:jc w:val="center"/>
              <w:rPr>
                <w:rFonts w:cs="Arial"/>
                <w:b/>
                <w:sz w:val="20"/>
                <w:szCs w:val="20"/>
              </w:rPr>
            </w:pPr>
            <w:r w:rsidRPr="002740EA">
              <w:rPr>
                <w:rFonts w:cs="Arial"/>
                <w:b/>
                <w:sz w:val="20"/>
                <w:szCs w:val="20"/>
              </w:rPr>
              <w:t>Tabla 7. Áreas de oportunidad de los medios de verificación</w:t>
            </w:r>
          </w:p>
        </w:tc>
      </w:tr>
      <w:tr w:rsidR="00A27139" w:rsidRPr="002740EA" w14:paraId="35A5B18D" w14:textId="77777777" w:rsidTr="00A27139">
        <w:trPr>
          <w:trHeight w:val="544"/>
          <w:tblHeader/>
        </w:trPr>
        <w:tc>
          <w:tcPr>
            <w:tcW w:w="848" w:type="pct"/>
            <w:tcBorders>
              <w:top w:val="single" w:sz="4" w:space="0" w:color="auto"/>
              <w:bottom w:val="single" w:sz="4" w:space="0" w:color="auto"/>
            </w:tcBorders>
            <w:shd w:val="clear" w:color="auto" w:fill="DEEAF6" w:themeFill="accent1" w:themeFillTint="33"/>
          </w:tcPr>
          <w:p w14:paraId="2A5C86EA" w14:textId="77777777" w:rsidR="00557CB3" w:rsidRPr="002740EA" w:rsidRDefault="00557CB3" w:rsidP="000C6B37">
            <w:pPr>
              <w:jc w:val="both"/>
              <w:rPr>
                <w:rFonts w:cs="Arial"/>
                <w:b/>
                <w:sz w:val="16"/>
                <w:szCs w:val="16"/>
              </w:rPr>
            </w:pPr>
            <w:r w:rsidRPr="002740EA">
              <w:rPr>
                <w:rFonts w:cs="Arial"/>
                <w:b/>
                <w:sz w:val="16"/>
                <w:szCs w:val="16"/>
              </w:rPr>
              <w:t>Programas Presupuestarios</w:t>
            </w:r>
          </w:p>
          <w:p w14:paraId="3AB0825E" w14:textId="77777777" w:rsidR="00557CB3" w:rsidRPr="002740EA" w:rsidRDefault="00557CB3" w:rsidP="000C6B37">
            <w:pPr>
              <w:jc w:val="both"/>
              <w:rPr>
                <w:rFonts w:cs="Arial"/>
                <w:b/>
                <w:sz w:val="16"/>
                <w:szCs w:val="16"/>
              </w:rPr>
            </w:pPr>
          </w:p>
        </w:tc>
        <w:tc>
          <w:tcPr>
            <w:tcW w:w="712" w:type="pct"/>
            <w:tcBorders>
              <w:top w:val="single" w:sz="4" w:space="0" w:color="auto"/>
              <w:bottom w:val="single" w:sz="4" w:space="0" w:color="auto"/>
            </w:tcBorders>
            <w:shd w:val="clear" w:color="auto" w:fill="DEEAF6" w:themeFill="accent1" w:themeFillTint="33"/>
          </w:tcPr>
          <w:p w14:paraId="2086354E" w14:textId="77777777" w:rsidR="00557CB3" w:rsidRPr="002740EA" w:rsidRDefault="00557CB3" w:rsidP="000C6B37">
            <w:pPr>
              <w:jc w:val="both"/>
              <w:rPr>
                <w:rFonts w:cs="Arial"/>
                <w:b/>
                <w:sz w:val="16"/>
                <w:szCs w:val="16"/>
              </w:rPr>
            </w:pPr>
            <w:r w:rsidRPr="002740EA">
              <w:rPr>
                <w:rFonts w:cs="Arial"/>
                <w:b/>
                <w:sz w:val="16"/>
                <w:szCs w:val="16"/>
              </w:rPr>
              <w:t>Nivel  de la MIR</w:t>
            </w:r>
          </w:p>
        </w:tc>
        <w:tc>
          <w:tcPr>
            <w:tcW w:w="2475" w:type="pct"/>
            <w:tcBorders>
              <w:top w:val="single" w:sz="4" w:space="0" w:color="auto"/>
              <w:bottom w:val="single" w:sz="4" w:space="0" w:color="auto"/>
            </w:tcBorders>
            <w:shd w:val="clear" w:color="auto" w:fill="DEEAF6" w:themeFill="accent1" w:themeFillTint="33"/>
          </w:tcPr>
          <w:p w14:paraId="57B7AD0D" w14:textId="77777777" w:rsidR="00557CB3" w:rsidRPr="002740EA" w:rsidRDefault="00557CB3" w:rsidP="000C6B37">
            <w:pPr>
              <w:spacing w:line="276" w:lineRule="auto"/>
              <w:rPr>
                <w:rFonts w:cs="Arial"/>
                <w:b/>
                <w:sz w:val="16"/>
                <w:szCs w:val="16"/>
              </w:rPr>
            </w:pPr>
            <w:r w:rsidRPr="002740EA">
              <w:rPr>
                <w:rFonts w:cs="Arial"/>
                <w:b/>
                <w:sz w:val="16"/>
                <w:szCs w:val="16"/>
              </w:rPr>
              <w:t>Medios de verificación establecidos por la UQROO.</w:t>
            </w:r>
          </w:p>
        </w:tc>
        <w:tc>
          <w:tcPr>
            <w:tcW w:w="215" w:type="pct"/>
            <w:gridSpan w:val="2"/>
            <w:tcBorders>
              <w:top w:val="single" w:sz="4" w:space="0" w:color="auto"/>
              <w:bottom w:val="single" w:sz="4" w:space="0" w:color="auto"/>
            </w:tcBorders>
            <w:shd w:val="clear" w:color="auto" w:fill="DEEAF6" w:themeFill="accent1" w:themeFillTint="33"/>
          </w:tcPr>
          <w:p w14:paraId="3C76C302" w14:textId="77777777" w:rsidR="00557CB3" w:rsidRPr="002740EA" w:rsidRDefault="00557CB3" w:rsidP="000C6B37">
            <w:pPr>
              <w:spacing w:line="276" w:lineRule="auto"/>
              <w:jc w:val="center"/>
              <w:rPr>
                <w:rFonts w:cs="Arial"/>
                <w:b/>
                <w:sz w:val="16"/>
                <w:szCs w:val="16"/>
              </w:rPr>
            </w:pPr>
            <w:r w:rsidRPr="002740EA">
              <w:rPr>
                <w:rFonts w:cs="Arial"/>
                <w:b/>
                <w:sz w:val="16"/>
                <w:szCs w:val="16"/>
              </w:rPr>
              <w:t>N*</w:t>
            </w:r>
          </w:p>
          <w:p w14:paraId="33240429"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shd w:val="clear" w:color="auto" w:fill="DEEAF6" w:themeFill="accent1" w:themeFillTint="33"/>
          </w:tcPr>
          <w:p w14:paraId="07C069F8" w14:textId="77777777" w:rsidR="00557CB3" w:rsidRPr="002740EA" w:rsidRDefault="00557CB3" w:rsidP="000C6B37">
            <w:pPr>
              <w:jc w:val="both"/>
              <w:rPr>
                <w:rFonts w:cs="Arial"/>
                <w:b/>
                <w:sz w:val="16"/>
                <w:szCs w:val="16"/>
              </w:rPr>
            </w:pPr>
            <w:r w:rsidRPr="002740EA">
              <w:rPr>
                <w:rFonts w:cs="Arial"/>
                <w:b/>
                <w:sz w:val="16"/>
                <w:szCs w:val="16"/>
              </w:rPr>
              <w:t>NA*</w:t>
            </w:r>
          </w:p>
        </w:tc>
        <w:tc>
          <w:tcPr>
            <w:tcW w:w="210" w:type="pct"/>
            <w:gridSpan w:val="2"/>
            <w:tcBorders>
              <w:top w:val="single" w:sz="4" w:space="0" w:color="auto"/>
              <w:bottom w:val="single" w:sz="4" w:space="0" w:color="auto"/>
            </w:tcBorders>
            <w:shd w:val="clear" w:color="auto" w:fill="DEEAF6" w:themeFill="accent1" w:themeFillTint="33"/>
          </w:tcPr>
          <w:p w14:paraId="7BAE1719" w14:textId="77777777" w:rsidR="00557CB3" w:rsidRPr="002740EA" w:rsidRDefault="00557CB3" w:rsidP="000C6B37">
            <w:pPr>
              <w:jc w:val="both"/>
              <w:rPr>
                <w:rFonts w:cs="Arial"/>
                <w:b/>
                <w:sz w:val="16"/>
                <w:szCs w:val="16"/>
              </w:rPr>
            </w:pPr>
            <w:r w:rsidRPr="002740EA">
              <w:rPr>
                <w:rFonts w:cs="Arial"/>
                <w:b/>
                <w:sz w:val="16"/>
                <w:szCs w:val="16"/>
              </w:rPr>
              <w:t>P*</w:t>
            </w:r>
          </w:p>
        </w:tc>
        <w:tc>
          <w:tcPr>
            <w:tcW w:w="263" w:type="pct"/>
            <w:gridSpan w:val="3"/>
            <w:tcBorders>
              <w:top w:val="single" w:sz="4" w:space="0" w:color="auto"/>
              <w:bottom w:val="single" w:sz="4" w:space="0" w:color="auto"/>
            </w:tcBorders>
            <w:shd w:val="clear" w:color="auto" w:fill="DEEAF6" w:themeFill="accent1" w:themeFillTint="33"/>
          </w:tcPr>
          <w:p w14:paraId="60B90946" w14:textId="77777777" w:rsidR="00557CB3" w:rsidRPr="002740EA" w:rsidRDefault="00557CB3" w:rsidP="000C6B37">
            <w:pPr>
              <w:jc w:val="both"/>
              <w:rPr>
                <w:rFonts w:cs="Arial"/>
                <w:b/>
                <w:sz w:val="16"/>
                <w:szCs w:val="16"/>
              </w:rPr>
            </w:pPr>
            <w:r w:rsidRPr="002740EA">
              <w:rPr>
                <w:rFonts w:cs="Arial"/>
                <w:b/>
                <w:sz w:val="16"/>
                <w:szCs w:val="16"/>
              </w:rPr>
              <w:t>L*</w:t>
            </w:r>
          </w:p>
        </w:tc>
      </w:tr>
      <w:tr w:rsidR="00557CB3" w:rsidRPr="002740EA" w14:paraId="581B2E95" w14:textId="77777777" w:rsidTr="00A27139">
        <w:trPr>
          <w:trHeight w:val="260"/>
        </w:trPr>
        <w:tc>
          <w:tcPr>
            <w:tcW w:w="848" w:type="pct"/>
            <w:vMerge w:val="restart"/>
            <w:tcBorders>
              <w:top w:val="single" w:sz="4" w:space="0" w:color="auto"/>
            </w:tcBorders>
            <w:shd w:val="clear" w:color="auto" w:fill="FFFFFF" w:themeFill="background1"/>
          </w:tcPr>
          <w:p w14:paraId="30993003" w14:textId="77777777" w:rsidR="00557CB3" w:rsidRPr="002740EA" w:rsidRDefault="00557CB3" w:rsidP="000C6B37">
            <w:pPr>
              <w:ind w:right="206"/>
              <w:jc w:val="both"/>
              <w:rPr>
                <w:rFonts w:cs="Arial"/>
                <w:b/>
                <w:sz w:val="16"/>
                <w:szCs w:val="16"/>
              </w:rPr>
            </w:pPr>
          </w:p>
          <w:p w14:paraId="7FD3A8FF" w14:textId="77777777" w:rsidR="00557CB3" w:rsidRPr="002740EA" w:rsidRDefault="00557CB3" w:rsidP="000C6B37">
            <w:pPr>
              <w:ind w:right="206"/>
              <w:jc w:val="both"/>
              <w:rPr>
                <w:rFonts w:cs="Arial"/>
                <w:b/>
                <w:sz w:val="16"/>
                <w:szCs w:val="16"/>
              </w:rPr>
            </w:pPr>
          </w:p>
          <w:p w14:paraId="76072A88" w14:textId="77777777" w:rsidR="00557CB3" w:rsidRPr="002740EA" w:rsidRDefault="00557CB3" w:rsidP="000C6B37">
            <w:pPr>
              <w:spacing w:line="276" w:lineRule="auto"/>
              <w:ind w:right="206"/>
              <w:jc w:val="center"/>
              <w:rPr>
                <w:rFonts w:cs="Arial"/>
                <w:b/>
                <w:sz w:val="16"/>
                <w:szCs w:val="16"/>
              </w:rPr>
            </w:pPr>
            <w:r w:rsidRPr="002740EA">
              <w:rPr>
                <w:rFonts w:cs="Arial"/>
                <w:sz w:val="16"/>
                <w:szCs w:val="16"/>
              </w:rPr>
              <w:t>E 103- Educación Superior</w:t>
            </w:r>
          </w:p>
        </w:tc>
        <w:tc>
          <w:tcPr>
            <w:tcW w:w="712" w:type="pct"/>
            <w:tcBorders>
              <w:top w:val="single" w:sz="4" w:space="0" w:color="auto"/>
              <w:bottom w:val="single" w:sz="4" w:space="0" w:color="auto"/>
            </w:tcBorders>
            <w:shd w:val="clear" w:color="auto" w:fill="FFFFFF" w:themeFill="background1"/>
          </w:tcPr>
          <w:p w14:paraId="0BF792D4" w14:textId="77777777" w:rsidR="00557CB3" w:rsidRPr="002740EA" w:rsidRDefault="00557CB3" w:rsidP="000C6B37">
            <w:pPr>
              <w:ind w:right="206"/>
              <w:jc w:val="both"/>
              <w:rPr>
                <w:rFonts w:cs="Arial"/>
                <w:sz w:val="16"/>
                <w:szCs w:val="16"/>
              </w:rPr>
            </w:pPr>
            <w:r w:rsidRPr="002740EA">
              <w:rPr>
                <w:rFonts w:cs="Arial"/>
                <w:sz w:val="16"/>
                <w:szCs w:val="16"/>
              </w:rPr>
              <w:t>Fin</w:t>
            </w:r>
          </w:p>
        </w:tc>
        <w:tc>
          <w:tcPr>
            <w:tcW w:w="2583" w:type="pct"/>
            <w:gridSpan w:val="2"/>
            <w:tcBorders>
              <w:top w:val="single" w:sz="4" w:space="0" w:color="auto"/>
              <w:bottom w:val="single" w:sz="4" w:space="0" w:color="auto"/>
            </w:tcBorders>
            <w:shd w:val="clear" w:color="auto" w:fill="auto"/>
          </w:tcPr>
          <w:p w14:paraId="33C88664" w14:textId="77777777" w:rsidR="00557CB3" w:rsidRPr="002740EA" w:rsidRDefault="00557CB3" w:rsidP="000C6B37">
            <w:pPr>
              <w:jc w:val="both"/>
              <w:rPr>
                <w:rFonts w:cs="Arial"/>
                <w:sz w:val="16"/>
                <w:szCs w:val="16"/>
              </w:rPr>
            </w:pPr>
            <w:r w:rsidRPr="002740EA">
              <w:rPr>
                <w:rFonts w:cs="Arial"/>
                <w:sz w:val="16"/>
                <w:szCs w:val="16"/>
              </w:rPr>
              <w:t>Censo General de Población y Vivienda. INEGI</w:t>
            </w:r>
          </w:p>
          <w:p w14:paraId="2ED866B9" w14:textId="77777777" w:rsidR="00557CB3" w:rsidRPr="002740EA" w:rsidRDefault="00557CB3" w:rsidP="000C6B37">
            <w:pPr>
              <w:jc w:val="both"/>
              <w:rPr>
                <w:rFonts w:cs="Arial"/>
                <w:b/>
                <w:sz w:val="16"/>
                <w:szCs w:val="16"/>
              </w:rPr>
            </w:pPr>
            <w:r w:rsidRPr="002740EA">
              <w:rPr>
                <w:rFonts w:cs="Arial"/>
                <w:sz w:val="16"/>
                <w:szCs w:val="16"/>
              </w:rPr>
              <w:t>(Rectoría)</w:t>
            </w:r>
          </w:p>
        </w:tc>
        <w:tc>
          <w:tcPr>
            <w:tcW w:w="241" w:type="pct"/>
            <w:gridSpan w:val="2"/>
            <w:tcBorders>
              <w:top w:val="single" w:sz="4" w:space="0" w:color="auto"/>
              <w:bottom w:val="single" w:sz="4" w:space="0" w:color="auto"/>
            </w:tcBorders>
            <w:shd w:val="clear" w:color="auto" w:fill="auto"/>
          </w:tcPr>
          <w:p w14:paraId="3EE98A1E"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shd w:val="clear" w:color="auto" w:fill="auto"/>
          </w:tcPr>
          <w:p w14:paraId="2064829B"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shd w:val="clear" w:color="auto" w:fill="auto"/>
          </w:tcPr>
          <w:p w14:paraId="4AF348C1" w14:textId="77777777" w:rsidR="00557CB3" w:rsidRPr="002740EA" w:rsidRDefault="00557CB3" w:rsidP="000C6B37">
            <w:pPr>
              <w:jc w:val="both"/>
              <w:rPr>
                <w:rFonts w:cs="Arial"/>
                <w:sz w:val="16"/>
                <w:szCs w:val="16"/>
              </w:rPr>
            </w:pPr>
          </w:p>
        </w:tc>
        <w:tc>
          <w:tcPr>
            <w:tcW w:w="160" w:type="pct"/>
            <w:gridSpan w:val="2"/>
            <w:tcBorders>
              <w:top w:val="single" w:sz="4" w:space="0" w:color="auto"/>
              <w:bottom w:val="single" w:sz="4" w:space="0" w:color="auto"/>
            </w:tcBorders>
            <w:shd w:val="clear" w:color="auto" w:fill="auto"/>
          </w:tcPr>
          <w:p w14:paraId="723AE2C9" w14:textId="49A09303"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2653E801" w14:textId="77777777" w:rsidTr="00A27139">
        <w:trPr>
          <w:trHeight w:val="353"/>
        </w:trPr>
        <w:tc>
          <w:tcPr>
            <w:tcW w:w="848" w:type="pct"/>
            <w:vMerge/>
            <w:shd w:val="clear" w:color="auto" w:fill="FFFFFF" w:themeFill="background1"/>
          </w:tcPr>
          <w:p w14:paraId="25D6E3D2" w14:textId="77777777" w:rsidR="00557CB3" w:rsidRPr="002740EA" w:rsidRDefault="00557CB3" w:rsidP="000C6B37">
            <w:pPr>
              <w:ind w:right="206"/>
              <w:jc w:val="both"/>
              <w:rPr>
                <w:rFonts w:cs="Arial"/>
                <w:sz w:val="16"/>
                <w:szCs w:val="16"/>
              </w:rPr>
            </w:pPr>
          </w:p>
        </w:tc>
        <w:tc>
          <w:tcPr>
            <w:tcW w:w="712" w:type="pct"/>
            <w:tcBorders>
              <w:top w:val="single" w:sz="4" w:space="0" w:color="auto"/>
              <w:bottom w:val="single" w:sz="4" w:space="0" w:color="auto"/>
            </w:tcBorders>
          </w:tcPr>
          <w:p w14:paraId="3FEEB306" w14:textId="77777777" w:rsidR="00557CB3" w:rsidRPr="002740EA" w:rsidRDefault="00557CB3" w:rsidP="000C6B37">
            <w:pPr>
              <w:ind w:right="206"/>
              <w:jc w:val="both"/>
              <w:rPr>
                <w:rFonts w:cs="Arial"/>
                <w:sz w:val="16"/>
                <w:szCs w:val="16"/>
              </w:rPr>
            </w:pPr>
            <w:r w:rsidRPr="002740EA">
              <w:rPr>
                <w:rFonts w:cs="Arial"/>
                <w:sz w:val="16"/>
                <w:szCs w:val="16"/>
              </w:rPr>
              <w:t xml:space="preserve">Propósito </w:t>
            </w:r>
          </w:p>
        </w:tc>
        <w:tc>
          <w:tcPr>
            <w:tcW w:w="2583" w:type="pct"/>
            <w:gridSpan w:val="2"/>
            <w:tcBorders>
              <w:top w:val="single" w:sz="4" w:space="0" w:color="auto"/>
              <w:bottom w:val="single" w:sz="4" w:space="0" w:color="auto"/>
            </w:tcBorders>
          </w:tcPr>
          <w:p w14:paraId="4356CED0"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Estadísticas continúas del formato 911 inicio de ciclo escolar, SEQ. Universidad de Quintana Roo,http://sigc.uqroo.mx/indexp.php?id=12</w:t>
            </w:r>
          </w:p>
          <w:p w14:paraId="7448CF09"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(Rectoría)</w:t>
            </w:r>
          </w:p>
        </w:tc>
        <w:tc>
          <w:tcPr>
            <w:tcW w:w="241" w:type="pct"/>
            <w:gridSpan w:val="2"/>
            <w:tcBorders>
              <w:top w:val="single" w:sz="4" w:space="0" w:color="auto"/>
              <w:bottom w:val="single" w:sz="4" w:space="0" w:color="auto"/>
            </w:tcBorders>
          </w:tcPr>
          <w:p w14:paraId="283B856E"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0E7A9BDD" w14:textId="710CE173" w:rsidR="00557CB3" w:rsidRPr="002740EA" w:rsidRDefault="00456A66" w:rsidP="000C6B37">
            <w:pPr>
              <w:jc w:val="both"/>
              <w:rPr>
                <w:rFonts w:cs="Arial"/>
                <w:sz w:val="16"/>
                <w:szCs w:val="16"/>
              </w:rPr>
            </w:pPr>
            <w:r w:rsidRPr="002740EA">
              <w:rPr>
                <w:rFonts w:cs="Arial"/>
                <w:sz w:val="16"/>
                <w:szCs w:val="16"/>
              </w:rPr>
              <w:t>X</w:t>
            </w:r>
          </w:p>
        </w:tc>
        <w:tc>
          <w:tcPr>
            <w:tcW w:w="208" w:type="pct"/>
            <w:gridSpan w:val="2"/>
            <w:tcBorders>
              <w:top w:val="single" w:sz="4" w:space="0" w:color="auto"/>
              <w:bottom w:val="single" w:sz="4" w:space="0" w:color="auto"/>
            </w:tcBorders>
          </w:tcPr>
          <w:p w14:paraId="10BA2B07" w14:textId="13D0C20A"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511178CB" w14:textId="75CB89E7"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30FA3D55" w14:textId="77777777" w:rsidTr="00A27139">
        <w:trPr>
          <w:trHeight w:val="353"/>
        </w:trPr>
        <w:tc>
          <w:tcPr>
            <w:tcW w:w="848" w:type="pct"/>
            <w:vMerge/>
            <w:shd w:val="clear" w:color="auto" w:fill="FFFFFF" w:themeFill="background1"/>
          </w:tcPr>
          <w:p w14:paraId="7BF8232F" w14:textId="77777777" w:rsidR="00557CB3" w:rsidRPr="002740EA" w:rsidRDefault="00557CB3" w:rsidP="000C6B37">
            <w:pPr>
              <w:ind w:right="206"/>
              <w:jc w:val="both"/>
              <w:rPr>
                <w:rFonts w:cs="Arial"/>
                <w:sz w:val="16"/>
                <w:szCs w:val="16"/>
              </w:rPr>
            </w:pPr>
          </w:p>
        </w:tc>
        <w:tc>
          <w:tcPr>
            <w:tcW w:w="712" w:type="pct"/>
            <w:tcBorders>
              <w:top w:val="single" w:sz="4" w:space="0" w:color="auto"/>
              <w:bottom w:val="single" w:sz="4" w:space="0" w:color="auto"/>
            </w:tcBorders>
          </w:tcPr>
          <w:p w14:paraId="796AC472" w14:textId="77777777" w:rsidR="00557CB3" w:rsidRPr="002740EA" w:rsidRDefault="00557CB3" w:rsidP="000C6B37">
            <w:pPr>
              <w:ind w:right="206"/>
              <w:jc w:val="both"/>
              <w:rPr>
                <w:rFonts w:cs="Arial"/>
                <w:sz w:val="16"/>
                <w:szCs w:val="16"/>
              </w:rPr>
            </w:pPr>
            <w:r w:rsidRPr="002740EA">
              <w:rPr>
                <w:rFonts w:cs="Arial"/>
                <w:sz w:val="16"/>
                <w:szCs w:val="16"/>
              </w:rPr>
              <w:t>Componente 01</w:t>
            </w:r>
          </w:p>
        </w:tc>
        <w:tc>
          <w:tcPr>
            <w:tcW w:w="2583" w:type="pct"/>
            <w:gridSpan w:val="2"/>
            <w:tcBorders>
              <w:top w:val="single" w:sz="4" w:space="0" w:color="auto"/>
              <w:bottom w:val="single" w:sz="4" w:space="0" w:color="auto"/>
            </w:tcBorders>
          </w:tcPr>
          <w:p w14:paraId="0FFF4BB8"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 xml:space="preserve">Estadísticas del formato 911. Secretaria de Educación de Quintana Roo (SEQ), http://sige.seq.gob.mx/portal/; y reportes de evolución de la matrícula de la Dirección General de Administración Escolar. </w:t>
            </w:r>
            <w:hyperlink r:id="rId17" w:history="1">
              <w:r w:rsidRPr="002740EA">
                <w:rPr>
                  <w:rStyle w:val="Hipervnculo"/>
                  <w:rFonts w:cs="Arial"/>
                  <w:sz w:val="16"/>
                  <w:szCs w:val="16"/>
                  <w:u w:val="none"/>
                </w:rPr>
                <w:t>http://sigc.uqroo.mx/indexp.php?id=12</w:t>
              </w:r>
            </w:hyperlink>
            <w:r w:rsidRPr="002740EA">
              <w:rPr>
                <w:rFonts w:cs="Arial"/>
                <w:sz w:val="16"/>
                <w:szCs w:val="16"/>
              </w:rPr>
              <w:t xml:space="preserve"> </w:t>
            </w:r>
          </w:p>
          <w:p w14:paraId="50088086"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(Dirección General de Servicios Académicos)</w:t>
            </w:r>
          </w:p>
          <w:p w14:paraId="713774BC" w14:textId="77777777" w:rsidR="00557CB3" w:rsidRPr="002740EA" w:rsidRDefault="00557CB3" w:rsidP="000C6B37">
            <w:pPr>
              <w:autoSpaceDE w:val="0"/>
              <w:autoSpaceDN w:val="0"/>
              <w:adjustRightInd w:val="0"/>
              <w:rPr>
                <w:rFonts w:cs="Arial"/>
                <w:sz w:val="16"/>
                <w:szCs w:val="16"/>
              </w:rPr>
            </w:pPr>
          </w:p>
        </w:tc>
        <w:tc>
          <w:tcPr>
            <w:tcW w:w="241" w:type="pct"/>
            <w:gridSpan w:val="2"/>
            <w:tcBorders>
              <w:top w:val="single" w:sz="4" w:space="0" w:color="auto"/>
              <w:bottom w:val="single" w:sz="4" w:space="0" w:color="auto"/>
            </w:tcBorders>
          </w:tcPr>
          <w:p w14:paraId="77864B40"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7601D94C"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3FFA2CF9" w14:textId="0F555ECF"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7B9C29BD" w14:textId="2A74BCA2"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2E34B161" w14:textId="77777777" w:rsidTr="00A27139">
        <w:trPr>
          <w:trHeight w:val="353"/>
        </w:trPr>
        <w:tc>
          <w:tcPr>
            <w:tcW w:w="848" w:type="pct"/>
            <w:vMerge/>
            <w:shd w:val="clear" w:color="auto" w:fill="FFFFFF" w:themeFill="background1"/>
          </w:tcPr>
          <w:p w14:paraId="0B0FC185" w14:textId="77777777" w:rsidR="00557CB3" w:rsidRPr="002740EA" w:rsidRDefault="00557CB3" w:rsidP="000C6B37">
            <w:pPr>
              <w:ind w:right="206"/>
              <w:jc w:val="both"/>
              <w:rPr>
                <w:rFonts w:cs="Arial"/>
                <w:sz w:val="16"/>
                <w:szCs w:val="16"/>
              </w:rPr>
            </w:pPr>
          </w:p>
        </w:tc>
        <w:tc>
          <w:tcPr>
            <w:tcW w:w="712" w:type="pct"/>
            <w:tcBorders>
              <w:top w:val="single" w:sz="4" w:space="0" w:color="auto"/>
              <w:bottom w:val="single" w:sz="4" w:space="0" w:color="auto"/>
            </w:tcBorders>
          </w:tcPr>
          <w:p w14:paraId="767FC469" w14:textId="77777777" w:rsidR="00557CB3" w:rsidRPr="002740EA" w:rsidRDefault="00557CB3" w:rsidP="000C6B37">
            <w:pPr>
              <w:ind w:right="206"/>
              <w:jc w:val="both"/>
              <w:rPr>
                <w:rFonts w:cs="Arial"/>
                <w:sz w:val="16"/>
                <w:szCs w:val="16"/>
              </w:rPr>
            </w:pPr>
            <w:r w:rsidRPr="002740EA">
              <w:rPr>
                <w:rFonts w:cs="Arial"/>
                <w:sz w:val="16"/>
                <w:szCs w:val="16"/>
              </w:rPr>
              <w:t>Actividad Co1A1</w:t>
            </w:r>
          </w:p>
        </w:tc>
        <w:tc>
          <w:tcPr>
            <w:tcW w:w="2583" w:type="pct"/>
            <w:gridSpan w:val="2"/>
            <w:tcBorders>
              <w:top w:val="single" w:sz="4" w:space="0" w:color="auto"/>
              <w:bottom w:val="single" w:sz="4" w:space="0" w:color="auto"/>
            </w:tcBorders>
          </w:tcPr>
          <w:p w14:paraId="1E9ED9B9"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Estadísticas del formato 911. Secretaria de Educación de Quintana Roo (SEQ, http://sige.seq.gob.mx/portal/; reportes de evolución de la matrícula de la Dirección General de</w:t>
            </w:r>
          </w:p>
          <w:p w14:paraId="4F133F22"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 xml:space="preserve">Administración Escolar; Acta de acuerdo del Honorable Consejo Universitario de la Universidad de Quintana Roo (HCU). </w:t>
            </w:r>
            <w:hyperlink r:id="rId18" w:history="1">
              <w:r w:rsidRPr="002740EA">
                <w:rPr>
                  <w:rStyle w:val="Hipervnculo"/>
                  <w:rFonts w:cs="Arial"/>
                  <w:sz w:val="16"/>
                  <w:szCs w:val="16"/>
                </w:rPr>
                <w:t>http://sigc.uqroo.mx/indexp.php?id=12</w:t>
              </w:r>
            </w:hyperlink>
          </w:p>
          <w:p w14:paraId="3069ECA5"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(Dirección General de Servicios Académicos)</w:t>
            </w:r>
          </w:p>
          <w:p w14:paraId="6AA841FE" w14:textId="77777777" w:rsidR="00557CB3" w:rsidRPr="002740EA" w:rsidRDefault="00557CB3" w:rsidP="000C6B37">
            <w:pPr>
              <w:autoSpaceDE w:val="0"/>
              <w:autoSpaceDN w:val="0"/>
              <w:adjustRightInd w:val="0"/>
              <w:rPr>
                <w:rFonts w:cs="Arial"/>
                <w:sz w:val="16"/>
                <w:szCs w:val="16"/>
              </w:rPr>
            </w:pPr>
          </w:p>
        </w:tc>
        <w:tc>
          <w:tcPr>
            <w:tcW w:w="241" w:type="pct"/>
            <w:gridSpan w:val="2"/>
            <w:tcBorders>
              <w:top w:val="single" w:sz="4" w:space="0" w:color="auto"/>
              <w:bottom w:val="single" w:sz="4" w:space="0" w:color="auto"/>
            </w:tcBorders>
          </w:tcPr>
          <w:p w14:paraId="53F89520"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027DBD07"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2CC96533" w14:textId="3F98D959"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453C1D16" w14:textId="051F1876"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5F5F2A36" w14:textId="77777777" w:rsidTr="00A27139">
        <w:trPr>
          <w:trHeight w:val="353"/>
        </w:trPr>
        <w:tc>
          <w:tcPr>
            <w:tcW w:w="848" w:type="pct"/>
            <w:vMerge/>
            <w:shd w:val="clear" w:color="auto" w:fill="FFFFFF" w:themeFill="background1"/>
          </w:tcPr>
          <w:p w14:paraId="3685AEA8"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418A2365" w14:textId="77777777" w:rsidR="00557CB3" w:rsidRPr="002740EA" w:rsidRDefault="00557CB3" w:rsidP="000C6B37">
            <w:pPr>
              <w:jc w:val="both"/>
              <w:rPr>
                <w:rFonts w:cs="Arial"/>
                <w:sz w:val="16"/>
                <w:szCs w:val="16"/>
              </w:rPr>
            </w:pPr>
            <w:r w:rsidRPr="002740EA">
              <w:rPr>
                <w:rFonts w:cs="Arial"/>
                <w:sz w:val="16"/>
                <w:szCs w:val="16"/>
              </w:rPr>
              <w:t>Actividad Co01A2</w:t>
            </w:r>
          </w:p>
        </w:tc>
        <w:tc>
          <w:tcPr>
            <w:tcW w:w="2583" w:type="pct"/>
            <w:gridSpan w:val="2"/>
            <w:tcBorders>
              <w:top w:val="single" w:sz="4" w:space="0" w:color="auto"/>
              <w:bottom w:val="single" w:sz="4" w:space="0" w:color="auto"/>
            </w:tcBorders>
          </w:tcPr>
          <w:p w14:paraId="6B7CB4A7" w14:textId="77777777" w:rsidR="00557CB3" w:rsidRPr="002740EA" w:rsidRDefault="00557CB3" w:rsidP="000C6B37">
            <w:pPr>
              <w:jc w:val="both"/>
              <w:rPr>
                <w:rFonts w:cs="Arial"/>
                <w:sz w:val="16"/>
                <w:szCs w:val="16"/>
              </w:rPr>
            </w:pPr>
            <w:r w:rsidRPr="002740EA">
              <w:rPr>
                <w:rFonts w:cs="Arial"/>
                <w:sz w:val="16"/>
                <w:szCs w:val="16"/>
              </w:rPr>
              <w:t xml:space="preserve">Reportes de retención de la matrícula de la Dirección General de Planeación. </w:t>
            </w:r>
            <w:hyperlink r:id="rId19" w:history="1">
              <w:r w:rsidRPr="002740EA">
                <w:rPr>
                  <w:rStyle w:val="Hipervnculo"/>
                  <w:rFonts w:cs="Arial"/>
                  <w:sz w:val="16"/>
                  <w:szCs w:val="16"/>
                </w:rPr>
                <w:t>http://sigc.uqroo.mx/indexp.php?id=12</w:t>
              </w:r>
            </w:hyperlink>
          </w:p>
          <w:p w14:paraId="2A2B5824" w14:textId="77777777" w:rsidR="00557CB3" w:rsidRPr="002740EA" w:rsidRDefault="00557CB3" w:rsidP="000C6B37">
            <w:pPr>
              <w:jc w:val="both"/>
              <w:rPr>
                <w:rFonts w:cs="Arial"/>
                <w:sz w:val="16"/>
                <w:szCs w:val="16"/>
              </w:rPr>
            </w:pPr>
          </w:p>
        </w:tc>
        <w:tc>
          <w:tcPr>
            <w:tcW w:w="241" w:type="pct"/>
            <w:gridSpan w:val="2"/>
            <w:tcBorders>
              <w:top w:val="single" w:sz="4" w:space="0" w:color="auto"/>
              <w:bottom w:val="single" w:sz="4" w:space="0" w:color="auto"/>
            </w:tcBorders>
          </w:tcPr>
          <w:p w14:paraId="5BE11F17"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6672902B"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5411A127" w14:textId="5AC008E8"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436045B6" w14:textId="0BEA8027"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08ABD185" w14:textId="77777777" w:rsidTr="00A27139">
        <w:trPr>
          <w:trHeight w:val="353"/>
        </w:trPr>
        <w:tc>
          <w:tcPr>
            <w:tcW w:w="848" w:type="pct"/>
            <w:vMerge/>
            <w:shd w:val="clear" w:color="auto" w:fill="FFFFFF" w:themeFill="background1"/>
          </w:tcPr>
          <w:p w14:paraId="60E34450"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09C0A415" w14:textId="77777777" w:rsidR="00557CB3" w:rsidRPr="002740EA" w:rsidRDefault="00557CB3" w:rsidP="000C6B37">
            <w:pPr>
              <w:jc w:val="both"/>
              <w:rPr>
                <w:rFonts w:cs="Arial"/>
                <w:sz w:val="16"/>
                <w:szCs w:val="16"/>
              </w:rPr>
            </w:pPr>
            <w:r w:rsidRPr="002740EA">
              <w:rPr>
                <w:rFonts w:cs="Arial"/>
                <w:sz w:val="16"/>
                <w:szCs w:val="16"/>
              </w:rPr>
              <w:t>Actividad C01 A03</w:t>
            </w:r>
          </w:p>
        </w:tc>
        <w:tc>
          <w:tcPr>
            <w:tcW w:w="2583" w:type="pct"/>
            <w:gridSpan w:val="2"/>
            <w:tcBorders>
              <w:top w:val="single" w:sz="4" w:space="0" w:color="auto"/>
              <w:bottom w:val="single" w:sz="4" w:space="0" w:color="auto"/>
            </w:tcBorders>
          </w:tcPr>
          <w:p w14:paraId="3E636623" w14:textId="77777777" w:rsidR="00557CB3" w:rsidRPr="002740EA" w:rsidRDefault="00557CB3" w:rsidP="000C6B37">
            <w:pPr>
              <w:jc w:val="both"/>
              <w:rPr>
                <w:rFonts w:cs="Arial"/>
                <w:sz w:val="16"/>
                <w:szCs w:val="16"/>
              </w:rPr>
            </w:pPr>
            <w:r w:rsidRPr="002740EA">
              <w:rPr>
                <w:rFonts w:cs="Arial"/>
                <w:sz w:val="16"/>
                <w:szCs w:val="16"/>
              </w:rPr>
              <w:t xml:space="preserve">Reportes de calificaciones del alumnado de la Dirección General de Administración Escolar. </w:t>
            </w:r>
            <w:hyperlink r:id="rId20" w:history="1">
              <w:r w:rsidRPr="002740EA">
                <w:rPr>
                  <w:rStyle w:val="Hipervnculo"/>
                  <w:rFonts w:cs="Arial"/>
                  <w:sz w:val="16"/>
                  <w:szCs w:val="16"/>
                </w:rPr>
                <w:t>http://sigc.uqroo.mx/indexp.php?id=12</w:t>
              </w:r>
            </w:hyperlink>
          </w:p>
          <w:p w14:paraId="06522283" w14:textId="77777777" w:rsidR="00557CB3" w:rsidRPr="002740EA" w:rsidRDefault="00557CB3" w:rsidP="000C6B37">
            <w:pPr>
              <w:jc w:val="both"/>
              <w:rPr>
                <w:rFonts w:cs="Arial"/>
                <w:sz w:val="16"/>
                <w:szCs w:val="16"/>
              </w:rPr>
            </w:pPr>
            <w:r w:rsidRPr="002740EA">
              <w:rPr>
                <w:rFonts w:cs="Arial"/>
                <w:sz w:val="16"/>
                <w:szCs w:val="16"/>
              </w:rPr>
              <w:t>(Dirección General de Planeación)</w:t>
            </w:r>
          </w:p>
        </w:tc>
        <w:tc>
          <w:tcPr>
            <w:tcW w:w="241" w:type="pct"/>
            <w:gridSpan w:val="2"/>
            <w:tcBorders>
              <w:top w:val="single" w:sz="4" w:space="0" w:color="auto"/>
              <w:bottom w:val="single" w:sz="4" w:space="0" w:color="auto"/>
            </w:tcBorders>
          </w:tcPr>
          <w:p w14:paraId="1802AE3E"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39E35245"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60D8016C" w14:textId="2D36A9B6"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59BB7CB3" w14:textId="5AAA8F3E"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425A51EA" w14:textId="77777777" w:rsidTr="00A27139">
        <w:trPr>
          <w:trHeight w:val="353"/>
        </w:trPr>
        <w:tc>
          <w:tcPr>
            <w:tcW w:w="848" w:type="pct"/>
            <w:vMerge/>
            <w:shd w:val="clear" w:color="auto" w:fill="FFFFFF" w:themeFill="background1"/>
          </w:tcPr>
          <w:p w14:paraId="4291A3C6"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6844AF34" w14:textId="77777777" w:rsidR="00557CB3" w:rsidRPr="002740EA" w:rsidRDefault="00557CB3" w:rsidP="000C6B37">
            <w:pPr>
              <w:jc w:val="both"/>
              <w:rPr>
                <w:rFonts w:cs="Arial"/>
                <w:sz w:val="16"/>
                <w:szCs w:val="16"/>
              </w:rPr>
            </w:pPr>
            <w:r w:rsidRPr="002740EA">
              <w:rPr>
                <w:rFonts w:cs="Arial"/>
                <w:sz w:val="16"/>
                <w:szCs w:val="16"/>
              </w:rPr>
              <w:t>Actividad C01 A0401</w:t>
            </w:r>
          </w:p>
        </w:tc>
        <w:tc>
          <w:tcPr>
            <w:tcW w:w="2583" w:type="pct"/>
            <w:gridSpan w:val="2"/>
            <w:tcBorders>
              <w:top w:val="single" w:sz="4" w:space="0" w:color="auto"/>
              <w:bottom w:val="single" w:sz="4" w:space="0" w:color="auto"/>
            </w:tcBorders>
          </w:tcPr>
          <w:p w14:paraId="2E025AA6"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Reportes del programa de vida saluidab</w:t>
            </w:r>
            <w:r w:rsidRPr="002740EA">
              <w:rPr>
                <w:rStyle w:val="Refdenotaalpie"/>
                <w:rFonts w:cs="Arial"/>
                <w:sz w:val="16"/>
                <w:szCs w:val="16"/>
              </w:rPr>
              <w:footnoteReference w:id="32"/>
            </w:r>
            <w:r w:rsidRPr="002740EA">
              <w:rPr>
                <w:rFonts w:cs="Arial"/>
                <w:sz w:val="16"/>
                <w:szCs w:val="16"/>
              </w:rPr>
              <w:t xml:space="preserve">le </w:t>
            </w:r>
            <w:hyperlink r:id="rId21" w:history="1">
              <w:r w:rsidRPr="002740EA">
                <w:rPr>
                  <w:rStyle w:val="Hipervnculo"/>
                  <w:rFonts w:cs="Arial"/>
                  <w:sz w:val="16"/>
                  <w:szCs w:val="16"/>
                </w:rPr>
                <w:t>http://sigc.uqroo.mx/indexp.php?id=12</w:t>
              </w:r>
            </w:hyperlink>
          </w:p>
          <w:p w14:paraId="2B5C5657" w14:textId="77777777" w:rsidR="00557CB3" w:rsidRPr="002740EA" w:rsidRDefault="00557CB3" w:rsidP="000C6B37">
            <w:pPr>
              <w:jc w:val="both"/>
              <w:rPr>
                <w:rFonts w:cs="Arial"/>
                <w:sz w:val="16"/>
                <w:szCs w:val="16"/>
              </w:rPr>
            </w:pPr>
            <w:r w:rsidRPr="002740EA">
              <w:rPr>
                <w:rFonts w:cs="Arial"/>
                <w:sz w:val="16"/>
                <w:szCs w:val="16"/>
              </w:rPr>
              <w:t xml:space="preserve">Dirección General de Bienestar Estudiantil. </w:t>
            </w:r>
            <w:hyperlink r:id="rId22" w:history="1">
              <w:r w:rsidRPr="002740EA">
                <w:rPr>
                  <w:rStyle w:val="Hipervnculo"/>
                  <w:rFonts w:cs="Arial"/>
                  <w:sz w:val="16"/>
                  <w:szCs w:val="16"/>
                </w:rPr>
                <w:t>http://sigc.uqroo.mx/indexp.php?id=12</w:t>
              </w:r>
            </w:hyperlink>
          </w:p>
          <w:p w14:paraId="10691EC0" w14:textId="77777777" w:rsidR="00557CB3" w:rsidRPr="002740EA" w:rsidRDefault="00557CB3" w:rsidP="000C6B37">
            <w:pPr>
              <w:jc w:val="both"/>
              <w:rPr>
                <w:rFonts w:cs="Arial"/>
                <w:sz w:val="16"/>
                <w:szCs w:val="16"/>
              </w:rPr>
            </w:pPr>
            <w:r w:rsidRPr="002740EA">
              <w:rPr>
                <w:rFonts w:cs="Arial"/>
                <w:sz w:val="16"/>
                <w:szCs w:val="16"/>
              </w:rPr>
              <w:t>(Dirección General de Bienestar Estudiantil)</w:t>
            </w:r>
          </w:p>
        </w:tc>
        <w:tc>
          <w:tcPr>
            <w:tcW w:w="241" w:type="pct"/>
            <w:gridSpan w:val="2"/>
            <w:tcBorders>
              <w:top w:val="single" w:sz="4" w:space="0" w:color="auto"/>
              <w:bottom w:val="single" w:sz="4" w:space="0" w:color="auto"/>
            </w:tcBorders>
          </w:tcPr>
          <w:p w14:paraId="2BCD68BE"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02381552"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3C96AB87" w14:textId="07ECBD1B"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7B3F317C" w14:textId="72F5C766"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3DBB2F98" w14:textId="77777777" w:rsidTr="00A27139">
        <w:trPr>
          <w:trHeight w:val="353"/>
        </w:trPr>
        <w:tc>
          <w:tcPr>
            <w:tcW w:w="848" w:type="pct"/>
            <w:vMerge/>
            <w:shd w:val="clear" w:color="auto" w:fill="FFFFFF" w:themeFill="background1"/>
          </w:tcPr>
          <w:p w14:paraId="1E055F31"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4F21A4D4" w14:textId="77777777" w:rsidR="00557CB3" w:rsidRPr="002740EA" w:rsidRDefault="00557CB3" w:rsidP="000C6B37">
            <w:pPr>
              <w:jc w:val="both"/>
              <w:rPr>
                <w:rFonts w:cs="Arial"/>
                <w:sz w:val="16"/>
                <w:szCs w:val="16"/>
              </w:rPr>
            </w:pPr>
            <w:r w:rsidRPr="002740EA">
              <w:rPr>
                <w:rFonts w:cs="Arial"/>
                <w:sz w:val="16"/>
                <w:szCs w:val="16"/>
              </w:rPr>
              <w:t>Actividad C01 A0402</w:t>
            </w:r>
          </w:p>
        </w:tc>
        <w:tc>
          <w:tcPr>
            <w:tcW w:w="2583" w:type="pct"/>
            <w:gridSpan w:val="2"/>
            <w:tcBorders>
              <w:top w:val="single" w:sz="4" w:space="0" w:color="auto"/>
              <w:bottom w:val="single" w:sz="4" w:space="0" w:color="auto"/>
            </w:tcBorders>
          </w:tcPr>
          <w:p w14:paraId="58BD4489" w14:textId="77777777" w:rsidR="00557CB3" w:rsidRPr="002740EA" w:rsidRDefault="00557CB3" w:rsidP="000C6B37">
            <w:pPr>
              <w:jc w:val="both"/>
              <w:rPr>
                <w:rStyle w:val="Hipervnculo"/>
                <w:rFonts w:cs="Arial"/>
                <w:sz w:val="16"/>
                <w:szCs w:val="16"/>
              </w:rPr>
            </w:pPr>
            <w:r w:rsidRPr="002740EA">
              <w:rPr>
                <w:rFonts w:cs="Arial"/>
                <w:sz w:val="16"/>
                <w:szCs w:val="16"/>
              </w:rPr>
              <w:t>Reportes del programa de vida saluidable</w:t>
            </w:r>
            <w:r w:rsidRPr="002740EA">
              <w:rPr>
                <w:rStyle w:val="Refdenotaalpie"/>
                <w:rFonts w:cs="Arial"/>
                <w:sz w:val="16"/>
                <w:szCs w:val="16"/>
              </w:rPr>
              <w:footnoteReference w:id="33"/>
            </w:r>
            <w:r w:rsidRPr="002740EA">
              <w:rPr>
                <w:rFonts w:cs="Arial"/>
                <w:sz w:val="16"/>
                <w:szCs w:val="16"/>
              </w:rPr>
              <w:t xml:space="preserve"> la Dirección General de Bienestar Estudiantil. </w:t>
            </w:r>
            <w:hyperlink r:id="rId23" w:history="1">
              <w:r w:rsidRPr="002740EA">
                <w:rPr>
                  <w:rStyle w:val="Hipervnculo"/>
                  <w:rFonts w:cs="Arial"/>
                  <w:sz w:val="16"/>
                  <w:szCs w:val="16"/>
                </w:rPr>
                <w:t>http://sigc.uqroo.mx/indexp.php?id=12</w:t>
              </w:r>
            </w:hyperlink>
          </w:p>
          <w:p w14:paraId="6FFB2EB5" w14:textId="77777777" w:rsidR="00557CB3" w:rsidRPr="002740EA" w:rsidRDefault="00557CB3" w:rsidP="000C6B37">
            <w:pPr>
              <w:jc w:val="both"/>
              <w:rPr>
                <w:rStyle w:val="Hipervnculo"/>
                <w:rFonts w:cs="Arial"/>
                <w:sz w:val="16"/>
                <w:szCs w:val="16"/>
              </w:rPr>
            </w:pPr>
            <w:r w:rsidRPr="002740EA">
              <w:rPr>
                <w:rStyle w:val="Hipervnculo"/>
                <w:rFonts w:cs="Arial"/>
                <w:sz w:val="16"/>
                <w:szCs w:val="16"/>
              </w:rPr>
              <w:t>(</w:t>
            </w:r>
            <w:r w:rsidRPr="002740EA">
              <w:rPr>
                <w:rFonts w:cs="Arial"/>
                <w:sz w:val="16"/>
                <w:szCs w:val="16"/>
              </w:rPr>
              <w:t>Dirección General de Bienestar Estudiantil</w:t>
            </w:r>
            <w:r w:rsidRPr="002740EA">
              <w:rPr>
                <w:rStyle w:val="Hipervnculo"/>
                <w:rFonts w:cs="Arial"/>
                <w:sz w:val="16"/>
                <w:szCs w:val="16"/>
              </w:rPr>
              <w:t>)</w:t>
            </w:r>
          </w:p>
          <w:p w14:paraId="123BC806" w14:textId="77777777" w:rsidR="00557CB3" w:rsidRPr="002740EA" w:rsidRDefault="00557CB3" w:rsidP="000C6B37">
            <w:pPr>
              <w:jc w:val="both"/>
              <w:rPr>
                <w:rFonts w:cs="Arial"/>
                <w:sz w:val="16"/>
                <w:szCs w:val="16"/>
              </w:rPr>
            </w:pPr>
          </w:p>
        </w:tc>
        <w:tc>
          <w:tcPr>
            <w:tcW w:w="241" w:type="pct"/>
            <w:gridSpan w:val="2"/>
            <w:tcBorders>
              <w:top w:val="single" w:sz="4" w:space="0" w:color="auto"/>
              <w:bottom w:val="single" w:sz="4" w:space="0" w:color="auto"/>
            </w:tcBorders>
          </w:tcPr>
          <w:p w14:paraId="1A7541CF"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1F6A5B72"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4E42F590" w14:textId="579E93B8"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79D36449" w14:textId="05A43E34"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27102260" w14:textId="77777777" w:rsidTr="00A27139">
        <w:trPr>
          <w:trHeight w:val="353"/>
        </w:trPr>
        <w:tc>
          <w:tcPr>
            <w:tcW w:w="848" w:type="pct"/>
            <w:vMerge/>
            <w:shd w:val="clear" w:color="auto" w:fill="FFFFFF" w:themeFill="background1"/>
          </w:tcPr>
          <w:p w14:paraId="511DA36C"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791351D4" w14:textId="77777777" w:rsidR="00557CB3" w:rsidRPr="002740EA" w:rsidRDefault="00557CB3" w:rsidP="000C6B37">
            <w:pPr>
              <w:jc w:val="both"/>
              <w:rPr>
                <w:rFonts w:cs="Arial"/>
                <w:sz w:val="16"/>
                <w:szCs w:val="16"/>
              </w:rPr>
            </w:pPr>
            <w:r w:rsidRPr="002740EA">
              <w:rPr>
                <w:rFonts w:cs="Arial"/>
                <w:sz w:val="16"/>
                <w:szCs w:val="16"/>
              </w:rPr>
              <w:t>Actividad C01 A0403</w:t>
            </w:r>
          </w:p>
        </w:tc>
        <w:tc>
          <w:tcPr>
            <w:tcW w:w="2583" w:type="pct"/>
            <w:gridSpan w:val="2"/>
            <w:tcBorders>
              <w:top w:val="single" w:sz="4" w:space="0" w:color="auto"/>
              <w:bottom w:val="single" w:sz="4" w:space="0" w:color="auto"/>
            </w:tcBorders>
          </w:tcPr>
          <w:p w14:paraId="75372BEC"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 xml:space="preserve">Reportes del programa de vida saludable. </w:t>
            </w:r>
            <w:hyperlink r:id="rId24" w:history="1">
              <w:r w:rsidRPr="002740EA">
                <w:rPr>
                  <w:rStyle w:val="Hipervnculo"/>
                  <w:rFonts w:cs="Arial"/>
                  <w:sz w:val="16"/>
                  <w:szCs w:val="16"/>
                </w:rPr>
                <w:t>http://sigc.uqroo.mx/indexp.php?id=12</w:t>
              </w:r>
            </w:hyperlink>
          </w:p>
          <w:p w14:paraId="609CEAF4" w14:textId="77777777" w:rsidR="00557CB3" w:rsidRPr="002740EA" w:rsidRDefault="00557CB3" w:rsidP="000C6B37">
            <w:pPr>
              <w:jc w:val="both"/>
              <w:rPr>
                <w:rFonts w:cs="Arial"/>
                <w:sz w:val="16"/>
                <w:szCs w:val="16"/>
              </w:rPr>
            </w:pPr>
            <w:r w:rsidRPr="002740EA">
              <w:rPr>
                <w:rFonts w:cs="Arial"/>
                <w:sz w:val="16"/>
                <w:szCs w:val="16"/>
              </w:rPr>
              <w:t xml:space="preserve">Dirección General de Bienestar Estudiantil. </w:t>
            </w:r>
            <w:hyperlink r:id="rId25" w:history="1">
              <w:r w:rsidRPr="002740EA">
                <w:rPr>
                  <w:rStyle w:val="Hipervnculo"/>
                  <w:rFonts w:cs="Arial"/>
                  <w:sz w:val="16"/>
                  <w:szCs w:val="16"/>
                </w:rPr>
                <w:t>http://sigc.uqroo.mx/indexp.php?id=12</w:t>
              </w:r>
            </w:hyperlink>
          </w:p>
          <w:p w14:paraId="7EEE73F8" w14:textId="77777777" w:rsidR="00557CB3" w:rsidRPr="002740EA" w:rsidRDefault="00557CB3" w:rsidP="000C6B37">
            <w:pPr>
              <w:jc w:val="both"/>
              <w:rPr>
                <w:rFonts w:cs="Arial"/>
                <w:sz w:val="16"/>
                <w:szCs w:val="16"/>
              </w:rPr>
            </w:pPr>
            <w:r w:rsidRPr="002740EA">
              <w:rPr>
                <w:rFonts w:cs="Arial"/>
                <w:sz w:val="16"/>
                <w:szCs w:val="16"/>
              </w:rPr>
              <w:t>(Dirección General de Bienestar Estudiantil)</w:t>
            </w:r>
          </w:p>
          <w:p w14:paraId="1CE3EF6D" w14:textId="77777777" w:rsidR="00557CB3" w:rsidRPr="002740EA" w:rsidRDefault="00557CB3" w:rsidP="000C6B37">
            <w:pPr>
              <w:jc w:val="both"/>
              <w:rPr>
                <w:rFonts w:cs="Arial"/>
                <w:sz w:val="16"/>
                <w:szCs w:val="16"/>
              </w:rPr>
            </w:pPr>
          </w:p>
        </w:tc>
        <w:tc>
          <w:tcPr>
            <w:tcW w:w="241" w:type="pct"/>
            <w:gridSpan w:val="2"/>
            <w:tcBorders>
              <w:top w:val="single" w:sz="4" w:space="0" w:color="auto"/>
              <w:bottom w:val="single" w:sz="4" w:space="0" w:color="auto"/>
            </w:tcBorders>
          </w:tcPr>
          <w:p w14:paraId="6F64E5A9" w14:textId="77777777" w:rsidR="00557CB3" w:rsidRPr="002740EA" w:rsidRDefault="00557CB3" w:rsidP="000C6B37">
            <w:pPr>
              <w:jc w:val="both"/>
              <w:rPr>
                <w:rFonts w:cs="Arial"/>
                <w:sz w:val="16"/>
                <w:szCs w:val="16"/>
              </w:rPr>
            </w:pPr>
          </w:p>
        </w:tc>
        <w:tc>
          <w:tcPr>
            <w:tcW w:w="248" w:type="pct"/>
            <w:gridSpan w:val="2"/>
            <w:tcBorders>
              <w:top w:val="single" w:sz="4" w:space="0" w:color="auto"/>
              <w:bottom w:val="single" w:sz="4" w:space="0" w:color="auto"/>
            </w:tcBorders>
          </w:tcPr>
          <w:p w14:paraId="0CCB8606" w14:textId="77777777" w:rsidR="00557CB3" w:rsidRPr="002740EA" w:rsidRDefault="00557CB3" w:rsidP="000C6B37">
            <w:pPr>
              <w:jc w:val="both"/>
              <w:rPr>
                <w:rFonts w:cs="Arial"/>
                <w:sz w:val="16"/>
                <w:szCs w:val="16"/>
              </w:rPr>
            </w:pPr>
          </w:p>
        </w:tc>
        <w:tc>
          <w:tcPr>
            <w:tcW w:w="208" w:type="pct"/>
            <w:gridSpan w:val="2"/>
            <w:tcBorders>
              <w:top w:val="single" w:sz="4" w:space="0" w:color="auto"/>
              <w:bottom w:val="single" w:sz="4" w:space="0" w:color="auto"/>
            </w:tcBorders>
          </w:tcPr>
          <w:p w14:paraId="76E150F2" w14:textId="6FEF8551" w:rsidR="00557CB3" w:rsidRPr="002740EA" w:rsidRDefault="00456A66" w:rsidP="000C6B37">
            <w:pPr>
              <w:jc w:val="both"/>
              <w:rPr>
                <w:rFonts w:cs="Arial"/>
                <w:sz w:val="16"/>
                <w:szCs w:val="16"/>
              </w:rPr>
            </w:pPr>
            <w:r w:rsidRPr="002740EA">
              <w:rPr>
                <w:rFonts w:cs="Arial"/>
                <w:sz w:val="16"/>
                <w:szCs w:val="16"/>
              </w:rPr>
              <w:t>X</w:t>
            </w:r>
          </w:p>
        </w:tc>
        <w:tc>
          <w:tcPr>
            <w:tcW w:w="160" w:type="pct"/>
            <w:gridSpan w:val="2"/>
            <w:tcBorders>
              <w:top w:val="single" w:sz="4" w:space="0" w:color="auto"/>
              <w:bottom w:val="single" w:sz="4" w:space="0" w:color="auto"/>
            </w:tcBorders>
          </w:tcPr>
          <w:p w14:paraId="3CEB39AB" w14:textId="1DAE44CB"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4137A6B4" w14:textId="77777777" w:rsidTr="00A27139">
        <w:trPr>
          <w:trHeight w:val="353"/>
        </w:trPr>
        <w:tc>
          <w:tcPr>
            <w:tcW w:w="848" w:type="pct"/>
            <w:vMerge/>
            <w:shd w:val="clear" w:color="auto" w:fill="FFFFFF" w:themeFill="background1"/>
          </w:tcPr>
          <w:p w14:paraId="31037AC4"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6D898C63" w14:textId="77777777" w:rsidR="00557CB3" w:rsidRPr="002740EA" w:rsidRDefault="00557CB3" w:rsidP="000C6B37">
            <w:pPr>
              <w:jc w:val="both"/>
              <w:rPr>
                <w:rFonts w:cs="Arial"/>
                <w:sz w:val="16"/>
                <w:szCs w:val="16"/>
              </w:rPr>
            </w:pPr>
            <w:r w:rsidRPr="002740EA">
              <w:rPr>
                <w:rFonts w:cs="Arial"/>
                <w:sz w:val="16"/>
                <w:szCs w:val="16"/>
              </w:rPr>
              <w:t>Componente 0201</w:t>
            </w:r>
          </w:p>
        </w:tc>
        <w:tc>
          <w:tcPr>
            <w:tcW w:w="2475" w:type="pct"/>
            <w:tcBorders>
              <w:top w:val="single" w:sz="4" w:space="0" w:color="auto"/>
              <w:bottom w:val="single" w:sz="4" w:space="0" w:color="auto"/>
            </w:tcBorders>
          </w:tcPr>
          <w:p w14:paraId="50DBB457"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 xml:space="preserve">Certificados o constancias de los organismos evaluadores y/o Padrón emitido por la Dirección General de Educación Superior Universitaria (DGESU) </w:t>
            </w:r>
            <w:hyperlink r:id="rId26" w:history="1">
              <w:r w:rsidRPr="002740EA">
                <w:rPr>
                  <w:rStyle w:val="Hipervnculo"/>
                  <w:rFonts w:cs="Arial"/>
                  <w:sz w:val="16"/>
                  <w:szCs w:val="16"/>
                </w:rPr>
                <w:t>http://sigc.uqroo.mx/indexp.php?id=12</w:t>
              </w:r>
            </w:hyperlink>
          </w:p>
          <w:p w14:paraId="17A2498C"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(Secretaría Genera)</w:t>
            </w:r>
          </w:p>
          <w:p w14:paraId="47EC2E77" w14:textId="77777777" w:rsidR="00557CB3" w:rsidRPr="002740EA" w:rsidRDefault="00557CB3" w:rsidP="000C6B37">
            <w:pPr>
              <w:autoSpaceDE w:val="0"/>
              <w:autoSpaceDN w:val="0"/>
              <w:adjustRightInd w:val="0"/>
              <w:rPr>
                <w:rFonts w:cs="Arial"/>
                <w:sz w:val="16"/>
                <w:szCs w:val="16"/>
              </w:rPr>
            </w:pPr>
          </w:p>
        </w:tc>
        <w:tc>
          <w:tcPr>
            <w:tcW w:w="215" w:type="pct"/>
            <w:gridSpan w:val="2"/>
            <w:tcBorders>
              <w:top w:val="single" w:sz="4" w:space="0" w:color="auto"/>
              <w:bottom w:val="single" w:sz="4" w:space="0" w:color="auto"/>
            </w:tcBorders>
          </w:tcPr>
          <w:p w14:paraId="4ABF6452"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2B787681"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47670F1A" w14:textId="1737EBA4"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57BB22EC" w14:textId="5C80EB1B"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0E7494DD" w14:textId="77777777" w:rsidTr="00A27139">
        <w:trPr>
          <w:trHeight w:val="353"/>
        </w:trPr>
        <w:tc>
          <w:tcPr>
            <w:tcW w:w="848" w:type="pct"/>
            <w:vMerge/>
            <w:shd w:val="clear" w:color="auto" w:fill="FFFFFF" w:themeFill="background1"/>
          </w:tcPr>
          <w:p w14:paraId="0F03219C"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062D0576" w14:textId="77777777" w:rsidR="00557CB3" w:rsidRPr="002740EA" w:rsidRDefault="00557CB3" w:rsidP="000C6B37">
            <w:pPr>
              <w:jc w:val="both"/>
              <w:rPr>
                <w:rFonts w:cs="Arial"/>
                <w:sz w:val="16"/>
                <w:szCs w:val="16"/>
              </w:rPr>
            </w:pPr>
            <w:r w:rsidRPr="002740EA">
              <w:rPr>
                <w:rFonts w:cs="Arial"/>
                <w:sz w:val="16"/>
                <w:szCs w:val="16"/>
              </w:rPr>
              <w:t>Componente 0202</w:t>
            </w:r>
          </w:p>
        </w:tc>
        <w:tc>
          <w:tcPr>
            <w:tcW w:w="2475" w:type="pct"/>
            <w:tcBorders>
              <w:top w:val="single" w:sz="4" w:space="0" w:color="auto"/>
              <w:bottom w:val="single" w:sz="4" w:space="0" w:color="auto"/>
            </w:tcBorders>
          </w:tcPr>
          <w:p w14:paraId="083744A8" w14:textId="77777777" w:rsidR="00557CB3" w:rsidRPr="002740EA" w:rsidRDefault="00557CB3" w:rsidP="000C6B37">
            <w:pPr>
              <w:jc w:val="both"/>
              <w:rPr>
                <w:rFonts w:cs="Arial"/>
                <w:sz w:val="16"/>
                <w:szCs w:val="16"/>
              </w:rPr>
            </w:pPr>
            <w:r w:rsidRPr="002740EA">
              <w:rPr>
                <w:rFonts w:cs="Arial"/>
                <w:sz w:val="16"/>
                <w:szCs w:val="16"/>
              </w:rPr>
              <w:t xml:space="preserve">Certificados o constancias de los organismos evaluadores y/o Padrón emitido por la Dirección General de Educación Superior Universitaria (DGESU) </w:t>
            </w:r>
            <w:hyperlink r:id="rId27" w:history="1">
              <w:r w:rsidRPr="002740EA">
                <w:rPr>
                  <w:rStyle w:val="Hipervnculo"/>
                  <w:rFonts w:cs="Arial"/>
                  <w:sz w:val="16"/>
                  <w:szCs w:val="16"/>
                </w:rPr>
                <w:t>http://sigc.uqroo.mx/indexp.php?id=12</w:t>
              </w:r>
            </w:hyperlink>
          </w:p>
          <w:p w14:paraId="4B518AC4" w14:textId="77777777" w:rsidR="00557CB3" w:rsidRPr="002740EA" w:rsidRDefault="00557CB3" w:rsidP="000C6B37">
            <w:pPr>
              <w:jc w:val="both"/>
              <w:rPr>
                <w:rFonts w:cs="Arial"/>
                <w:sz w:val="16"/>
                <w:szCs w:val="16"/>
              </w:rPr>
            </w:pPr>
            <w:r w:rsidRPr="002740EA">
              <w:rPr>
                <w:rFonts w:cs="Arial"/>
                <w:sz w:val="16"/>
                <w:szCs w:val="16"/>
              </w:rPr>
              <w:t>(Secretaría Genera)</w:t>
            </w:r>
          </w:p>
          <w:p w14:paraId="124561B7"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0AC25B29"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5D2FF7C7"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14417CDD" w14:textId="2AC0BA5E"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2F5FEF85" w14:textId="12E3268D"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4D43097B" w14:textId="77777777" w:rsidTr="00A27139">
        <w:trPr>
          <w:trHeight w:val="353"/>
        </w:trPr>
        <w:tc>
          <w:tcPr>
            <w:tcW w:w="848" w:type="pct"/>
            <w:vMerge/>
            <w:shd w:val="clear" w:color="auto" w:fill="FFFFFF" w:themeFill="background1"/>
          </w:tcPr>
          <w:p w14:paraId="297FAA11"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21AC2877" w14:textId="77777777" w:rsidR="00557CB3" w:rsidRPr="002740EA" w:rsidRDefault="00557CB3" w:rsidP="000C6B37">
            <w:pPr>
              <w:jc w:val="both"/>
              <w:rPr>
                <w:rFonts w:cs="Arial"/>
                <w:sz w:val="16"/>
                <w:szCs w:val="16"/>
              </w:rPr>
            </w:pPr>
            <w:r w:rsidRPr="002740EA">
              <w:rPr>
                <w:rFonts w:cs="Arial"/>
                <w:sz w:val="16"/>
                <w:szCs w:val="16"/>
              </w:rPr>
              <w:t>Actividad C02 A0101</w:t>
            </w:r>
          </w:p>
        </w:tc>
        <w:tc>
          <w:tcPr>
            <w:tcW w:w="2475" w:type="pct"/>
            <w:tcBorders>
              <w:top w:val="single" w:sz="4" w:space="0" w:color="auto"/>
              <w:bottom w:val="single" w:sz="4" w:space="0" w:color="auto"/>
            </w:tcBorders>
          </w:tcPr>
          <w:p w14:paraId="64993259" w14:textId="77777777" w:rsidR="00557CB3" w:rsidRPr="002740EA" w:rsidRDefault="00557CB3" w:rsidP="000C6B37">
            <w:pPr>
              <w:jc w:val="both"/>
              <w:rPr>
                <w:rFonts w:cs="Arial"/>
                <w:sz w:val="16"/>
                <w:szCs w:val="16"/>
              </w:rPr>
            </w:pPr>
            <w:r w:rsidRPr="002740EA">
              <w:rPr>
                <w:rFonts w:cs="Arial"/>
                <w:sz w:val="16"/>
                <w:szCs w:val="16"/>
              </w:rPr>
              <w:t xml:space="preserve">Universidad de Quintana Roo, </w:t>
            </w:r>
            <w:hyperlink r:id="rId28" w:history="1">
              <w:r w:rsidRPr="002740EA">
                <w:rPr>
                  <w:rStyle w:val="Hipervnculo"/>
                  <w:rFonts w:cs="Arial"/>
                  <w:sz w:val="16"/>
                  <w:szCs w:val="16"/>
                </w:rPr>
                <w:t>http://sigc.uqroo.mx/indexp.php?id=12</w:t>
              </w:r>
            </w:hyperlink>
          </w:p>
          <w:p w14:paraId="642D675B" w14:textId="77777777" w:rsidR="00557CB3" w:rsidRPr="002740EA" w:rsidRDefault="00557CB3" w:rsidP="000C6B37">
            <w:pPr>
              <w:jc w:val="both"/>
              <w:rPr>
                <w:rFonts w:cs="Arial"/>
                <w:sz w:val="16"/>
                <w:szCs w:val="16"/>
              </w:rPr>
            </w:pPr>
            <w:r w:rsidRPr="002740EA">
              <w:rPr>
                <w:rFonts w:cs="Arial"/>
                <w:sz w:val="16"/>
                <w:szCs w:val="16"/>
              </w:rPr>
              <w:t>Reportes del personal docehttp://sigc.uqroo.mx/indexp.php?id=12http://sigc.uqroo.mx</w:t>
            </w:r>
          </w:p>
          <w:p w14:paraId="3CE304E5" w14:textId="77777777" w:rsidR="00557CB3" w:rsidRPr="002740EA" w:rsidRDefault="00557CB3" w:rsidP="000C6B37">
            <w:pPr>
              <w:jc w:val="both"/>
              <w:rPr>
                <w:rFonts w:cs="Arial"/>
                <w:sz w:val="16"/>
                <w:szCs w:val="16"/>
              </w:rPr>
            </w:pPr>
            <w:r w:rsidRPr="002740EA">
              <w:rPr>
                <w:rFonts w:cs="Arial"/>
                <w:sz w:val="16"/>
                <w:szCs w:val="16"/>
              </w:rPr>
              <w:t>(Dirección General de Investigación y Posgrado)</w:t>
            </w:r>
          </w:p>
          <w:p w14:paraId="6C3FA22D"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603D8225"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32B6B190"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25C6BF46" w14:textId="60B497A4"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54A4B1BA" w14:textId="734DDE54"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63E38E7B" w14:textId="77777777" w:rsidTr="00A27139">
        <w:trPr>
          <w:trHeight w:val="353"/>
        </w:trPr>
        <w:tc>
          <w:tcPr>
            <w:tcW w:w="848" w:type="pct"/>
            <w:vMerge/>
            <w:shd w:val="clear" w:color="auto" w:fill="FFFFFF" w:themeFill="background1"/>
          </w:tcPr>
          <w:p w14:paraId="1FCF9684"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79CE0FD4" w14:textId="77777777" w:rsidR="00557CB3" w:rsidRPr="002740EA" w:rsidRDefault="00557CB3" w:rsidP="000C6B37">
            <w:pPr>
              <w:jc w:val="both"/>
              <w:rPr>
                <w:rFonts w:cs="Arial"/>
                <w:sz w:val="16"/>
                <w:szCs w:val="16"/>
              </w:rPr>
            </w:pPr>
            <w:r w:rsidRPr="002740EA">
              <w:rPr>
                <w:rFonts w:cs="Arial"/>
                <w:sz w:val="16"/>
                <w:szCs w:val="16"/>
              </w:rPr>
              <w:t>Actividad C02 A0102</w:t>
            </w:r>
          </w:p>
        </w:tc>
        <w:tc>
          <w:tcPr>
            <w:tcW w:w="2475" w:type="pct"/>
            <w:tcBorders>
              <w:top w:val="single" w:sz="4" w:space="0" w:color="auto"/>
              <w:bottom w:val="single" w:sz="4" w:space="0" w:color="auto"/>
            </w:tcBorders>
          </w:tcPr>
          <w:p w14:paraId="71423BF6" w14:textId="77777777" w:rsidR="00557CB3" w:rsidRPr="002740EA" w:rsidRDefault="00557CB3" w:rsidP="000C6B37">
            <w:pPr>
              <w:jc w:val="both"/>
              <w:rPr>
                <w:rFonts w:cs="Arial"/>
                <w:sz w:val="16"/>
                <w:szCs w:val="16"/>
              </w:rPr>
            </w:pPr>
            <w:r w:rsidRPr="002740EA">
              <w:rPr>
                <w:rFonts w:cs="Arial"/>
                <w:sz w:val="16"/>
                <w:szCs w:val="16"/>
              </w:rPr>
              <w:t>Padrón del Programa para el Desarrollo Profesional Docente (PRODEP) de la Subsecretaría de Educación Superior de la SEP.http://sigc.uqroo.mx/indexp.php?id=12</w:t>
            </w:r>
          </w:p>
          <w:p w14:paraId="150347A1" w14:textId="77777777" w:rsidR="00557CB3" w:rsidRPr="002740EA" w:rsidRDefault="00557CB3" w:rsidP="000C6B37">
            <w:pPr>
              <w:jc w:val="both"/>
              <w:rPr>
                <w:rFonts w:cs="Arial"/>
                <w:sz w:val="16"/>
                <w:szCs w:val="16"/>
              </w:rPr>
            </w:pPr>
            <w:r w:rsidRPr="002740EA">
              <w:rPr>
                <w:rFonts w:cs="Arial"/>
                <w:sz w:val="16"/>
                <w:szCs w:val="16"/>
              </w:rPr>
              <w:t xml:space="preserve">Universidad de Quintana Roo, </w:t>
            </w:r>
            <w:hyperlink r:id="rId29" w:history="1">
              <w:r w:rsidRPr="002740EA">
                <w:rPr>
                  <w:rStyle w:val="Hipervnculo"/>
                  <w:rFonts w:cs="Arial"/>
                  <w:sz w:val="16"/>
                  <w:szCs w:val="16"/>
                </w:rPr>
                <w:t>http://sigc.uqroo.mx/indexp.php?id=12</w:t>
              </w:r>
            </w:hyperlink>
          </w:p>
          <w:p w14:paraId="39DF9752" w14:textId="77777777" w:rsidR="00557CB3" w:rsidRPr="002740EA" w:rsidRDefault="00557CB3" w:rsidP="000C6B37">
            <w:pPr>
              <w:jc w:val="both"/>
              <w:rPr>
                <w:rFonts w:cs="Arial"/>
                <w:sz w:val="16"/>
                <w:szCs w:val="16"/>
              </w:rPr>
            </w:pPr>
            <w:r w:rsidRPr="002740EA">
              <w:rPr>
                <w:rFonts w:cs="Arial"/>
                <w:sz w:val="16"/>
                <w:szCs w:val="16"/>
              </w:rPr>
              <w:t>(Dirección General de Investigación y Posgrado)</w:t>
            </w:r>
          </w:p>
          <w:p w14:paraId="51BD0898"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5BFF86F5"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74E959BD"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3724A7B7" w14:textId="722160AA"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1442DB4B" w14:textId="0CAF15B5"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6D92341A" w14:textId="77777777" w:rsidTr="00A27139">
        <w:trPr>
          <w:trHeight w:val="353"/>
        </w:trPr>
        <w:tc>
          <w:tcPr>
            <w:tcW w:w="848" w:type="pct"/>
            <w:vMerge/>
            <w:shd w:val="clear" w:color="auto" w:fill="FFFFFF" w:themeFill="background1"/>
          </w:tcPr>
          <w:p w14:paraId="2BDDF467"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7CF5E696" w14:textId="77777777" w:rsidR="00557CB3" w:rsidRPr="002740EA" w:rsidRDefault="00557CB3" w:rsidP="000C6B37">
            <w:pPr>
              <w:jc w:val="both"/>
              <w:rPr>
                <w:rFonts w:cs="Arial"/>
                <w:sz w:val="16"/>
                <w:szCs w:val="16"/>
              </w:rPr>
            </w:pPr>
            <w:r w:rsidRPr="002740EA">
              <w:rPr>
                <w:rFonts w:cs="Arial"/>
                <w:sz w:val="16"/>
                <w:szCs w:val="16"/>
              </w:rPr>
              <w:t>Actividad C02 A0201</w:t>
            </w:r>
          </w:p>
        </w:tc>
        <w:tc>
          <w:tcPr>
            <w:tcW w:w="2475" w:type="pct"/>
            <w:tcBorders>
              <w:top w:val="single" w:sz="4" w:space="0" w:color="auto"/>
              <w:bottom w:val="single" w:sz="4" w:space="0" w:color="auto"/>
            </w:tcBorders>
          </w:tcPr>
          <w:p w14:paraId="009BFA2A"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Padrón del Sistema Nacional de Investigadores (SNI) del</w:t>
            </w:r>
          </w:p>
          <w:p w14:paraId="7AD8BF7F" w14:textId="77777777" w:rsidR="00557CB3" w:rsidRPr="002740EA" w:rsidRDefault="00557CB3" w:rsidP="000C6B37">
            <w:pPr>
              <w:jc w:val="both"/>
              <w:rPr>
                <w:rFonts w:cs="Arial"/>
                <w:sz w:val="16"/>
                <w:szCs w:val="16"/>
              </w:rPr>
            </w:pPr>
            <w:r w:rsidRPr="002740EA">
              <w:rPr>
                <w:rFonts w:cs="Arial"/>
                <w:sz w:val="16"/>
                <w:szCs w:val="16"/>
              </w:rPr>
              <w:t>CONACYT.http://sigc.uqroo.mx/indexp.php?id=12</w:t>
            </w:r>
          </w:p>
          <w:p w14:paraId="68376BB6" w14:textId="77777777" w:rsidR="00557CB3" w:rsidRPr="002740EA" w:rsidRDefault="00557CB3" w:rsidP="000C6B37">
            <w:pPr>
              <w:jc w:val="both"/>
              <w:rPr>
                <w:rFonts w:cs="Arial"/>
                <w:sz w:val="16"/>
                <w:szCs w:val="16"/>
              </w:rPr>
            </w:pPr>
            <w:r w:rsidRPr="002740EA">
              <w:rPr>
                <w:rFonts w:cs="Arial"/>
                <w:sz w:val="16"/>
                <w:szCs w:val="16"/>
              </w:rPr>
              <w:t>(Dirección General de Investigación y Posgrado)</w:t>
            </w:r>
          </w:p>
          <w:p w14:paraId="312C252C"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059ACCB9"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1EAC907A"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5D2F65CB" w14:textId="4392FBB8"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7E6115E7" w14:textId="504F31D7"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1A8AAAAC" w14:textId="77777777" w:rsidTr="00A27139">
        <w:trPr>
          <w:trHeight w:val="353"/>
        </w:trPr>
        <w:tc>
          <w:tcPr>
            <w:tcW w:w="848" w:type="pct"/>
            <w:vMerge/>
            <w:shd w:val="clear" w:color="auto" w:fill="FFFFFF" w:themeFill="background1"/>
          </w:tcPr>
          <w:p w14:paraId="1CE5CCF2"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36F4315D" w14:textId="77777777" w:rsidR="00557CB3" w:rsidRPr="002740EA" w:rsidRDefault="00557CB3" w:rsidP="000C6B37">
            <w:pPr>
              <w:jc w:val="both"/>
              <w:rPr>
                <w:rFonts w:cs="Arial"/>
                <w:sz w:val="16"/>
                <w:szCs w:val="16"/>
              </w:rPr>
            </w:pPr>
            <w:r w:rsidRPr="002740EA">
              <w:rPr>
                <w:rFonts w:cs="Arial"/>
                <w:sz w:val="16"/>
                <w:szCs w:val="16"/>
              </w:rPr>
              <w:t>Actividad C02 A0202</w:t>
            </w:r>
          </w:p>
        </w:tc>
        <w:tc>
          <w:tcPr>
            <w:tcW w:w="2475" w:type="pct"/>
            <w:tcBorders>
              <w:top w:val="single" w:sz="4" w:space="0" w:color="auto"/>
              <w:bottom w:val="single" w:sz="4" w:space="0" w:color="auto"/>
            </w:tcBorders>
          </w:tcPr>
          <w:p w14:paraId="51168145"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Reportes del personal docente de la Dirección General de Investigación y Posgrado.</w:t>
            </w:r>
          </w:p>
          <w:p w14:paraId="676A0EA7" w14:textId="77777777" w:rsidR="00557CB3" w:rsidRPr="002740EA" w:rsidRDefault="00DC170A" w:rsidP="000C6B37">
            <w:pPr>
              <w:jc w:val="both"/>
              <w:rPr>
                <w:rFonts w:cs="Arial"/>
                <w:sz w:val="16"/>
                <w:szCs w:val="16"/>
              </w:rPr>
            </w:pPr>
            <w:hyperlink r:id="rId30" w:history="1">
              <w:r w:rsidR="00557CB3" w:rsidRPr="002740EA">
                <w:rPr>
                  <w:rStyle w:val="Hipervnculo"/>
                  <w:rFonts w:cs="Arial"/>
                  <w:sz w:val="16"/>
                  <w:szCs w:val="16"/>
                </w:rPr>
                <w:t>http://sigc.uqroo.mx/indexp.php?id=12</w:t>
              </w:r>
            </w:hyperlink>
          </w:p>
          <w:p w14:paraId="6AC10DA8" w14:textId="77777777" w:rsidR="00557CB3" w:rsidRPr="002740EA" w:rsidRDefault="00557CB3" w:rsidP="000C6B37">
            <w:pPr>
              <w:jc w:val="both"/>
              <w:rPr>
                <w:rFonts w:cs="Arial"/>
                <w:sz w:val="16"/>
                <w:szCs w:val="16"/>
              </w:rPr>
            </w:pPr>
            <w:r w:rsidRPr="002740EA">
              <w:rPr>
                <w:rFonts w:cs="Arial"/>
                <w:sz w:val="16"/>
                <w:szCs w:val="16"/>
              </w:rPr>
              <w:t>(Dirección General de Investigación y Posgrado)</w:t>
            </w:r>
          </w:p>
          <w:p w14:paraId="0B35E2F1"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2D4FE329"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6CCA6ACB"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2C6FD1DA" w14:textId="3F7C3B12"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58D26572" w14:textId="5118E723"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460333EC" w14:textId="77777777" w:rsidTr="00A27139">
        <w:trPr>
          <w:trHeight w:val="353"/>
        </w:trPr>
        <w:tc>
          <w:tcPr>
            <w:tcW w:w="848" w:type="pct"/>
            <w:vMerge/>
            <w:shd w:val="clear" w:color="auto" w:fill="FFFFFF" w:themeFill="background1"/>
          </w:tcPr>
          <w:p w14:paraId="54C23D4F"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3AB6DBB6" w14:textId="77777777" w:rsidR="00557CB3" w:rsidRPr="002740EA" w:rsidRDefault="00557CB3" w:rsidP="000C6B37">
            <w:pPr>
              <w:jc w:val="both"/>
              <w:rPr>
                <w:rFonts w:cs="Arial"/>
                <w:sz w:val="16"/>
                <w:szCs w:val="16"/>
              </w:rPr>
            </w:pPr>
            <w:r w:rsidRPr="002740EA">
              <w:rPr>
                <w:rFonts w:cs="Arial"/>
                <w:sz w:val="16"/>
                <w:szCs w:val="16"/>
              </w:rPr>
              <w:t>Actividad C02 A03</w:t>
            </w:r>
          </w:p>
        </w:tc>
        <w:tc>
          <w:tcPr>
            <w:tcW w:w="2475" w:type="pct"/>
            <w:tcBorders>
              <w:top w:val="single" w:sz="4" w:space="0" w:color="auto"/>
              <w:bottom w:val="single" w:sz="4" w:space="0" w:color="auto"/>
            </w:tcBorders>
          </w:tcPr>
          <w:p w14:paraId="1417B10F"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 xml:space="preserve">Reportes de programas educativos de la Secretaría General. </w:t>
            </w:r>
            <w:hyperlink r:id="rId31" w:history="1">
              <w:r w:rsidRPr="002740EA">
                <w:rPr>
                  <w:rStyle w:val="Hipervnculo"/>
                  <w:rFonts w:cs="Arial"/>
                  <w:sz w:val="16"/>
                  <w:szCs w:val="16"/>
                </w:rPr>
                <w:t>http://sigc.uqroo.mx/indexp.php?id=12</w:t>
              </w:r>
            </w:hyperlink>
          </w:p>
          <w:p w14:paraId="6BF03B0D"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 xml:space="preserve"> (Secretaría General)</w:t>
            </w:r>
          </w:p>
          <w:p w14:paraId="7A16612C" w14:textId="77777777" w:rsidR="00557CB3" w:rsidRPr="002740EA" w:rsidRDefault="00557CB3" w:rsidP="000C6B37">
            <w:pPr>
              <w:autoSpaceDE w:val="0"/>
              <w:autoSpaceDN w:val="0"/>
              <w:adjustRightInd w:val="0"/>
              <w:rPr>
                <w:rFonts w:cs="Arial"/>
                <w:sz w:val="16"/>
                <w:szCs w:val="16"/>
              </w:rPr>
            </w:pPr>
          </w:p>
        </w:tc>
        <w:tc>
          <w:tcPr>
            <w:tcW w:w="215" w:type="pct"/>
            <w:gridSpan w:val="2"/>
            <w:tcBorders>
              <w:top w:val="single" w:sz="4" w:space="0" w:color="auto"/>
              <w:bottom w:val="single" w:sz="4" w:space="0" w:color="auto"/>
            </w:tcBorders>
          </w:tcPr>
          <w:p w14:paraId="479AD423"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19C925FF"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54C374F6" w14:textId="09E41EAC"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696AEC96" w14:textId="4090D8F3"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7E5AEA9C" w14:textId="77777777" w:rsidTr="00A27139">
        <w:trPr>
          <w:trHeight w:val="353"/>
        </w:trPr>
        <w:tc>
          <w:tcPr>
            <w:tcW w:w="848" w:type="pct"/>
            <w:vMerge/>
            <w:shd w:val="clear" w:color="auto" w:fill="FFFFFF" w:themeFill="background1"/>
          </w:tcPr>
          <w:p w14:paraId="03EBC120"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065C9AAE" w14:textId="77777777" w:rsidR="00557CB3" w:rsidRPr="002740EA" w:rsidRDefault="00557CB3" w:rsidP="000C6B37">
            <w:pPr>
              <w:jc w:val="both"/>
              <w:rPr>
                <w:rFonts w:cs="Arial"/>
                <w:sz w:val="16"/>
                <w:szCs w:val="16"/>
              </w:rPr>
            </w:pPr>
            <w:r w:rsidRPr="002740EA">
              <w:rPr>
                <w:rFonts w:cs="Arial"/>
                <w:sz w:val="16"/>
                <w:szCs w:val="16"/>
              </w:rPr>
              <w:t>Componente 03</w:t>
            </w:r>
          </w:p>
        </w:tc>
        <w:tc>
          <w:tcPr>
            <w:tcW w:w="2475" w:type="pct"/>
            <w:tcBorders>
              <w:top w:val="single" w:sz="4" w:space="0" w:color="auto"/>
              <w:bottom w:val="single" w:sz="4" w:space="0" w:color="auto"/>
            </w:tcBorders>
          </w:tcPr>
          <w:p w14:paraId="29A6C593"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Reportes de convenios de la Dirección General de Cooperación Académica.</w:t>
            </w:r>
          </w:p>
          <w:p w14:paraId="7DF6735D" w14:textId="77777777" w:rsidR="00557CB3" w:rsidRPr="002740EA" w:rsidRDefault="00DC170A" w:rsidP="000C6B37">
            <w:pPr>
              <w:jc w:val="both"/>
              <w:rPr>
                <w:rFonts w:cs="Arial"/>
                <w:sz w:val="16"/>
                <w:szCs w:val="16"/>
              </w:rPr>
            </w:pPr>
            <w:hyperlink r:id="rId32" w:history="1">
              <w:r w:rsidR="00557CB3" w:rsidRPr="002740EA">
                <w:rPr>
                  <w:rStyle w:val="Hipervnculo"/>
                  <w:rFonts w:cs="Arial"/>
                  <w:sz w:val="16"/>
                  <w:szCs w:val="16"/>
                </w:rPr>
                <w:t>http://sigc.uqroo.mx/indexp.php?id=12</w:t>
              </w:r>
            </w:hyperlink>
          </w:p>
          <w:p w14:paraId="72B4A441" w14:textId="77777777" w:rsidR="00557CB3" w:rsidRPr="002740EA" w:rsidRDefault="00557CB3" w:rsidP="000C6B37">
            <w:pPr>
              <w:jc w:val="both"/>
              <w:rPr>
                <w:rFonts w:cs="Arial"/>
                <w:sz w:val="16"/>
                <w:szCs w:val="16"/>
              </w:rPr>
            </w:pPr>
            <w:r w:rsidRPr="002740EA">
              <w:rPr>
                <w:rFonts w:cs="Arial"/>
                <w:sz w:val="16"/>
                <w:szCs w:val="16"/>
              </w:rPr>
              <w:t>( Dirección General de Vinculación y Extensión)</w:t>
            </w:r>
          </w:p>
          <w:p w14:paraId="170E39FE"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17D379CD"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26F46D9D"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0A1DE619" w14:textId="161B12BF"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3810FA31" w14:textId="5FE52798"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438FBAF9" w14:textId="77777777" w:rsidTr="00A27139">
        <w:trPr>
          <w:trHeight w:val="353"/>
        </w:trPr>
        <w:tc>
          <w:tcPr>
            <w:tcW w:w="848" w:type="pct"/>
            <w:vMerge/>
            <w:shd w:val="clear" w:color="auto" w:fill="FFFFFF" w:themeFill="background1"/>
          </w:tcPr>
          <w:p w14:paraId="00E76773"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tcPr>
          <w:p w14:paraId="48785528" w14:textId="77777777" w:rsidR="00557CB3" w:rsidRPr="002740EA" w:rsidRDefault="00557CB3" w:rsidP="000C6B37">
            <w:pPr>
              <w:jc w:val="both"/>
              <w:rPr>
                <w:rFonts w:cs="Arial"/>
                <w:sz w:val="16"/>
                <w:szCs w:val="16"/>
              </w:rPr>
            </w:pPr>
            <w:r w:rsidRPr="002740EA">
              <w:rPr>
                <w:rFonts w:cs="Arial"/>
                <w:sz w:val="16"/>
                <w:szCs w:val="16"/>
              </w:rPr>
              <w:t>Actividad C03 A01</w:t>
            </w:r>
          </w:p>
        </w:tc>
        <w:tc>
          <w:tcPr>
            <w:tcW w:w="2475" w:type="pct"/>
            <w:tcBorders>
              <w:top w:val="single" w:sz="4" w:space="0" w:color="auto"/>
              <w:bottom w:val="single" w:sz="4" w:space="0" w:color="auto"/>
            </w:tcBorders>
          </w:tcPr>
          <w:p w14:paraId="4B67CA14" w14:textId="77777777" w:rsidR="00557CB3" w:rsidRPr="002740EA" w:rsidRDefault="00557CB3" w:rsidP="000C6B37">
            <w:pPr>
              <w:autoSpaceDE w:val="0"/>
              <w:autoSpaceDN w:val="0"/>
              <w:adjustRightInd w:val="0"/>
              <w:rPr>
                <w:rFonts w:cs="Arial"/>
                <w:sz w:val="16"/>
                <w:szCs w:val="16"/>
              </w:rPr>
            </w:pPr>
            <w:r w:rsidRPr="002740EA">
              <w:rPr>
                <w:rFonts w:cs="Arial"/>
                <w:sz w:val="16"/>
                <w:szCs w:val="16"/>
              </w:rPr>
              <w:t>Reportes de movilidad nacional e internacional de la DirecciónGeneral de Cooperación Académica.</w:t>
            </w:r>
          </w:p>
          <w:p w14:paraId="67C051CE" w14:textId="77777777" w:rsidR="00557CB3" w:rsidRPr="002740EA" w:rsidRDefault="00DC170A" w:rsidP="000C6B37">
            <w:pPr>
              <w:jc w:val="both"/>
              <w:rPr>
                <w:rFonts w:cs="Arial"/>
                <w:sz w:val="16"/>
                <w:szCs w:val="16"/>
              </w:rPr>
            </w:pPr>
            <w:hyperlink r:id="rId33" w:history="1">
              <w:r w:rsidR="00557CB3" w:rsidRPr="002740EA">
                <w:rPr>
                  <w:rStyle w:val="Hipervnculo"/>
                  <w:rFonts w:cs="Arial"/>
                  <w:sz w:val="16"/>
                  <w:szCs w:val="16"/>
                </w:rPr>
                <w:t>http://sigc.uqroo.mx/indexp.php?id=12</w:t>
              </w:r>
            </w:hyperlink>
          </w:p>
          <w:p w14:paraId="580F454B" w14:textId="77777777" w:rsidR="00557CB3" w:rsidRPr="002740EA" w:rsidRDefault="00557CB3" w:rsidP="000C6B37">
            <w:pPr>
              <w:jc w:val="both"/>
              <w:rPr>
                <w:rFonts w:cs="Arial"/>
                <w:sz w:val="16"/>
                <w:szCs w:val="16"/>
              </w:rPr>
            </w:pPr>
            <w:r w:rsidRPr="002740EA">
              <w:rPr>
                <w:rFonts w:cs="Arial"/>
                <w:sz w:val="16"/>
                <w:szCs w:val="16"/>
              </w:rPr>
              <w:t>(Dirección General de Vinculación y Extensión)</w:t>
            </w:r>
          </w:p>
          <w:p w14:paraId="5CE238F1" w14:textId="77777777" w:rsidR="00557CB3" w:rsidRPr="002740EA" w:rsidRDefault="00557CB3" w:rsidP="000C6B37">
            <w:pPr>
              <w:jc w:val="both"/>
              <w:rPr>
                <w:rFonts w:cs="Arial"/>
                <w:sz w:val="16"/>
                <w:szCs w:val="16"/>
              </w:rPr>
            </w:pPr>
          </w:p>
        </w:tc>
        <w:tc>
          <w:tcPr>
            <w:tcW w:w="215" w:type="pct"/>
            <w:gridSpan w:val="2"/>
            <w:tcBorders>
              <w:top w:val="single" w:sz="4" w:space="0" w:color="auto"/>
              <w:bottom w:val="single" w:sz="4" w:space="0" w:color="auto"/>
            </w:tcBorders>
          </w:tcPr>
          <w:p w14:paraId="6DAF6890"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tcPr>
          <w:p w14:paraId="7D4B558B"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tcPr>
          <w:p w14:paraId="4E1DB1CD" w14:textId="566301AB"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tcPr>
          <w:p w14:paraId="643AEC7F" w14:textId="5804F3C3" w:rsidR="00557CB3" w:rsidRPr="002740EA" w:rsidRDefault="00456A66" w:rsidP="000C6B37">
            <w:pPr>
              <w:jc w:val="both"/>
              <w:rPr>
                <w:rFonts w:cs="Arial"/>
                <w:sz w:val="16"/>
                <w:szCs w:val="16"/>
              </w:rPr>
            </w:pPr>
            <w:r w:rsidRPr="002740EA">
              <w:rPr>
                <w:rFonts w:cs="Arial"/>
                <w:sz w:val="16"/>
                <w:szCs w:val="16"/>
              </w:rPr>
              <w:t>X</w:t>
            </w:r>
          </w:p>
        </w:tc>
      </w:tr>
      <w:tr w:rsidR="00A27139" w:rsidRPr="002740EA" w14:paraId="158F03BC" w14:textId="77777777" w:rsidTr="00A27139">
        <w:trPr>
          <w:trHeight w:val="720"/>
        </w:trPr>
        <w:tc>
          <w:tcPr>
            <w:tcW w:w="848" w:type="pct"/>
            <w:vMerge w:val="restart"/>
            <w:shd w:val="clear" w:color="auto" w:fill="FFFFFF" w:themeFill="background1"/>
          </w:tcPr>
          <w:p w14:paraId="7C04BF71" w14:textId="77777777" w:rsidR="00557CB3" w:rsidRPr="002740EA" w:rsidRDefault="00557CB3" w:rsidP="000C6B37">
            <w:pPr>
              <w:jc w:val="both"/>
              <w:rPr>
                <w:rFonts w:cs="Arial"/>
                <w:sz w:val="16"/>
                <w:szCs w:val="16"/>
              </w:rPr>
            </w:pPr>
            <w:r w:rsidRPr="002740EA">
              <w:rPr>
                <w:rFonts w:cs="Arial"/>
                <w:sz w:val="16"/>
                <w:szCs w:val="16"/>
              </w:rPr>
              <w:t>M001 - Gestión y Apoyo Institucional</w:t>
            </w:r>
          </w:p>
        </w:tc>
        <w:tc>
          <w:tcPr>
            <w:tcW w:w="712" w:type="pct"/>
            <w:tcBorders>
              <w:top w:val="single" w:sz="4" w:space="0" w:color="auto"/>
              <w:bottom w:val="single" w:sz="4" w:space="0" w:color="auto"/>
            </w:tcBorders>
            <w:shd w:val="clear" w:color="auto" w:fill="FFFFFF" w:themeFill="background1"/>
          </w:tcPr>
          <w:p w14:paraId="5D313BD9" w14:textId="77777777" w:rsidR="00557CB3" w:rsidRPr="002740EA" w:rsidRDefault="00557CB3" w:rsidP="000C6B37">
            <w:pPr>
              <w:jc w:val="both"/>
              <w:rPr>
                <w:rFonts w:cs="Arial"/>
                <w:sz w:val="16"/>
                <w:szCs w:val="16"/>
              </w:rPr>
            </w:pPr>
            <w:r w:rsidRPr="002740EA">
              <w:rPr>
                <w:rFonts w:cs="Arial"/>
                <w:sz w:val="16"/>
                <w:szCs w:val="16"/>
              </w:rPr>
              <w:t>Fin</w:t>
            </w:r>
          </w:p>
        </w:tc>
        <w:tc>
          <w:tcPr>
            <w:tcW w:w="2475" w:type="pct"/>
            <w:tcBorders>
              <w:top w:val="single" w:sz="4" w:space="0" w:color="auto"/>
              <w:bottom w:val="single" w:sz="4" w:space="0" w:color="auto"/>
            </w:tcBorders>
            <w:shd w:val="clear" w:color="auto" w:fill="FFFFFF" w:themeFill="background1"/>
          </w:tcPr>
          <w:p w14:paraId="44D1DFF4" w14:textId="77777777" w:rsidR="00557CB3" w:rsidRPr="002740EA" w:rsidRDefault="00557CB3" w:rsidP="000C6B37">
            <w:pPr>
              <w:jc w:val="both"/>
              <w:rPr>
                <w:rFonts w:cs="Arial"/>
                <w:sz w:val="16"/>
                <w:szCs w:val="16"/>
                <w:lang w:val="en-US"/>
              </w:rPr>
            </w:pPr>
            <w:r w:rsidRPr="002740EA">
              <w:rPr>
                <w:rFonts w:cs="Arial"/>
                <w:sz w:val="16"/>
                <w:szCs w:val="16"/>
                <w:lang w:val="en-US"/>
              </w:rPr>
              <w:t xml:space="preserve">SHCP-SEFIPLAN </w:t>
            </w:r>
            <w:hyperlink r:id="rId34" w:history="1">
              <w:r w:rsidRPr="002740EA">
                <w:rPr>
                  <w:rStyle w:val="Hipervnculo"/>
                  <w:rFonts w:cs="Arial"/>
                  <w:sz w:val="16"/>
                  <w:szCs w:val="16"/>
                  <w:lang w:val="en-US"/>
                </w:rPr>
                <w:t>www.sefiplan.qroo.gob.mx</w:t>
              </w:r>
            </w:hyperlink>
          </w:p>
          <w:p w14:paraId="4289719A" w14:textId="77777777" w:rsidR="00557CB3" w:rsidRPr="002740EA" w:rsidRDefault="00557CB3" w:rsidP="000C6B37">
            <w:pPr>
              <w:jc w:val="both"/>
              <w:rPr>
                <w:rFonts w:cs="Arial"/>
                <w:sz w:val="16"/>
                <w:szCs w:val="16"/>
              </w:rPr>
            </w:pPr>
            <w:r w:rsidRPr="002740EA">
              <w:rPr>
                <w:rFonts w:cs="Arial"/>
                <w:sz w:val="16"/>
                <w:szCs w:val="16"/>
              </w:rPr>
              <w:t>(Rectoría)</w:t>
            </w:r>
          </w:p>
        </w:tc>
        <w:tc>
          <w:tcPr>
            <w:tcW w:w="215" w:type="pct"/>
            <w:gridSpan w:val="2"/>
            <w:tcBorders>
              <w:top w:val="single" w:sz="4" w:space="0" w:color="auto"/>
              <w:bottom w:val="single" w:sz="4" w:space="0" w:color="auto"/>
            </w:tcBorders>
            <w:shd w:val="clear" w:color="auto" w:fill="FFFFFF" w:themeFill="background1"/>
          </w:tcPr>
          <w:p w14:paraId="2DD7F23E"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shd w:val="clear" w:color="auto" w:fill="FFFFFF" w:themeFill="background1"/>
          </w:tcPr>
          <w:p w14:paraId="5075116F"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shd w:val="clear" w:color="auto" w:fill="FFFFFF" w:themeFill="background1"/>
          </w:tcPr>
          <w:p w14:paraId="362AB228" w14:textId="4BB253DC"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shd w:val="clear" w:color="auto" w:fill="FFFFFF" w:themeFill="background1"/>
          </w:tcPr>
          <w:p w14:paraId="1F01726A" w14:textId="4D75079D" w:rsidR="00557CB3" w:rsidRPr="002740EA" w:rsidRDefault="00456A66" w:rsidP="000C6B37">
            <w:pPr>
              <w:jc w:val="both"/>
              <w:rPr>
                <w:rFonts w:cs="Arial"/>
                <w:sz w:val="16"/>
                <w:szCs w:val="16"/>
              </w:rPr>
            </w:pPr>
            <w:r w:rsidRPr="002740EA">
              <w:rPr>
                <w:rFonts w:cs="Arial"/>
                <w:sz w:val="16"/>
                <w:szCs w:val="16"/>
              </w:rPr>
              <w:t>X</w:t>
            </w:r>
          </w:p>
        </w:tc>
      </w:tr>
      <w:tr w:rsidR="00A27139" w:rsidRPr="002740EA" w14:paraId="3D51B9DD" w14:textId="77777777" w:rsidTr="00A27139">
        <w:trPr>
          <w:trHeight w:val="720"/>
        </w:trPr>
        <w:tc>
          <w:tcPr>
            <w:tcW w:w="848" w:type="pct"/>
            <w:vMerge/>
            <w:shd w:val="clear" w:color="auto" w:fill="FFFFFF" w:themeFill="background1"/>
          </w:tcPr>
          <w:p w14:paraId="2A8EF1C1"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shd w:val="clear" w:color="auto" w:fill="FFFFFF" w:themeFill="background1"/>
          </w:tcPr>
          <w:p w14:paraId="48DD4444" w14:textId="77777777" w:rsidR="00557CB3" w:rsidRPr="002740EA" w:rsidRDefault="00557CB3" w:rsidP="000C6B37">
            <w:pPr>
              <w:jc w:val="both"/>
              <w:rPr>
                <w:rFonts w:cs="Arial"/>
                <w:sz w:val="16"/>
                <w:szCs w:val="16"/>
              </w:rPr>
            </w:pPr>
            <w:r w:rsidRPr="002740EA">
              <w:rPr>
                <w:rFonts w:cs="Arial"/>
                <w:sz w:val="16"/>
                <w:szCs w:val="16"/>
              </w:rPr>
              <w:t>Propósito</w:t>
            </w:r>
          </w:p>
        </w:tc>
        <w:tc>
          <w:tcPr>
            <w:tcW w:w="2475" w:type="pct"/>
            <w:tcBorders>
              <w:top w:val="single" w:sz="4" w:space="0" w:color="auto"/>
              <w:bottom w:val="single" w:sz="4" w:space="0" w:color="auto"/>
            </w:tcBorders>
            <w:shd w:val="clear" w:color="auto" w:fill="FFFFFF" w:themeFill="background1"/>
          </w:tcPr>
          <w:p w14:paraId="6B90C5A8" w14:textId="77777777" w:rsidR="00557CB3" w:rsidRPr="002740EA" w:rsidRDefault="00557CB3" w:rsidP="000C6B37">
            <w:pPr>
              <w:jc w:val="both"/>
              <w:rPr>
                <w:rFonts w:cs="Arial"/>
                <w:sz w:val="16"/>
                <w:szCs w:val="16"/>
              </w:rPr>
            </w:pPr>
            <w:r w:rsidRPr="002740EA">
              <w:rPr>
                <w:rFonts w:cs="Arial"/>
                <w:sz w:val="16"/>
                <w:szCs w:val="16"/>
              </w:rPr>
              <w:t xml:space="preserve">SEFIPLAN, www.sefiplan.qroo.gob.mx Reportes del Departamento de Seguimiento y Evaluación. UQROO. </w:t>
            </w:r>
            <w:hyperlink r:id="rId35" w:history="1">
              <w:r w:rsidRPr="002740EA">
                <w:rPr>
                  <w:rStyle w:val="Hipervnculo"/>
                  <w:rFonts w:cs="Arial"/>
                  <w:sz w:val="16"/>
                  <w:szCs w:val="16"/>
                </w:rPr>
                <w:t>http://sigc.uqroo.mx/indexp.php?id=12</w:t>
              </w:r>
            </w:hyperlink>
          </w:p>
          <w:p w14:paraId="2BFBBFE2" w14:textId="77777777" w:rsidR="00557CB3" w:rsidRPr="002740EA" w:rsidRDefault="00557CB3" w:rsidP="000C6B37">
            <w:pPr>
              <w:jc w:val="both"/>
              <w:rPr>
                <w:rFonts w:cs="Arial"/>
                <w:sz w:val="16"/>
                <w:szCs w:val="16"/>
              </w:rPr>
            </w:pPr>
            <w:r w:rsidRPr="002740EA">
              <w:rPr>
                <w:rFonts w:cs="Arial"/>
                <w:sz w:val="16"/>
                <w:szCs w:val="16"/>
              </w:rPr>
              <w:t>(Rectoría)</w:t>
            </w:r>
          </w:p>
        </w:tc>
        <w:tc>
          <w:tcPr>
            <w:tcW w:w="215" w:type="pct"/>
            <w:gridSpan w:val="2"/>
            <w:tcBorders>
              <w:top w:val="single" w:sz="4" w:space="0" w:color="auto"/>
              <w:bottom w:val="single" w:sz="4" w:space="0" w:color="auto"/>
            </w:tcBorders>
            <w:shd w:val="clear" w:color="auto" w:fill="FFFFFF" w:themeFill="background1"/>
          </w:tcPr>
          <w:p w14:paraId="73FD12B2" w14:textId="1620DE5F" w:rsidR="00557CB3" w:rsidRPr="002740EA" w:rsidRDefault="00456A66" w:rsidP="000C6B37">
            <w:pPr>
              <w:jc w:val="both"/>
              <w:rPr>
                <w:rFonts w:cs="Arial"/>
                <w:sz w:val="16"/>
                <w:szCs w:val="16"/>
              </w:rPr>
            </w:pPr>
            <w:r w:rsidRPr="002740EA">
              <w:rPr>
                <w:rFonts w:cs="Arial"/>
                <w:sz w:val="16"/>
                <w:szCs w:val="16"/>
              </w:rPr>
              <w:t>X</w:t>
            </w:r>
          </w:p>
        </w:tc>
        <w:tc>
          <w:tcPr>
            <w:tcW w:w="276" w:type="pct"/>
            <w:gridSpan w:val="2"/>
            <w:tcBorders>
              <w:top w:val="single" w:sz="4" w:space="0" w:color="auto"/>
              <w:bottom w:val="single" w:sz="4" w:space="0" w:color="auto"/>
            </w:tcBorders>
            <w:shd w:val="clear" w:color="auto" w:fill="FFFFFF" w:themeFill="background1"/>
          </w:tcPr>
          <w:p w14:paraId="4EC32F73" w14:textId="3D098FF7" w:rsidR="00557CB3" w:rsidRPr="002740EA" w:rsidRDefault="00456A66" w:rsidP="000C6B37">
            <w:pPr>
              <w:jc w:val="both"/>
              <w:rPr>
                <w:rFonts w:cs="Arial"/>
                <w:sz w:val="16"/>
                <w:szCs w:val="16"/>
              </w:rPr>
            </w:pPr>
            <w:r w:rsidRPr="002740EA">
              <w:rPr>
                <w:rFonts w:cs="Arial"/>
                <w:sz w:val="16"/>
                <w:szCs w:val="16"/>
              </w:rPr>
              <w:t>X</w:t>
            </w:r>
          </w:p>
        </w:tc>
        <w:tc>
          <w:tcPr>
            <w:tcW w:w="210" w:type="pct"/>
            <w:gridSpan w:val="2"/>
            <w:tcBorders>
              <w:top w:val="single" w:sz="4" w:space="0" w:color="auto"/>
              <w:bottom w:val="single" w:sz="4" w:space="0" w:color="auto"/>
            </w:tcBorders>
            <w:shd w:val="clear" w:color="auto" w:fill="FFFFFF" w:themeFill="background1"/>
          </w:tcPr>
          <w:p w14:paraId="31002120" w14:textId="4BA79995"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shd w:val="clear" w:color="auto" w:fill="FFFFFF" w:themeFill="background1"/>
          </w:tcPr>
          <w:p w14:paraId="6D039400" w14:textId="7C4CD211" w:rsidR="00557CB3" w:rsidRPr="002740EA" w:rsidRDefault="00456A66" w:rsidP="000C6B37">
            <w:pPr>
              <w:jc w:val="both"/>
              <w:rPr>
                <w:rFonts w:cs="Arial"/>
                <w:sz w:val="16"/>
                <w:szCs w:val="16"/>
              </w:rPr>
            </w:pPr>
            <w:r w:rsidRPr="002740EA">
              <w:rPr>
                <w:rFonts w:cs="Arial"/>
                <w:sz w:val="16"/>
                <w:szCs w:val="16"/>
              </w:rPr>
              <w:t>X</w:t>
            </w:r>
          </w:p>
        </w:tc>
      </w:tr>
      <w:tr w:rsidR="00A27139" w:rsidRPr="002740EA" w14:paraId="6B48EA88" w14:textId="77777777" w:rsidTr="00A27139">
        <w:trPr>
          <w:trHeight w:val="544"/>
        </w:trPr>
        <w:tc>
          <w:tcPr>
            <w:tcW w:w="848" w:type="pct"/>
            <w:vMerge/>
            <w:shd w:val="clear" w:color="auto" w:fill="FFFFFF" w:themeFill="background1"/>
          </w:tcPr>
          <w:p w14:paraId="0354227D"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shd w:val="clear" w:color="auto" w:fill="FFFFFF" w:themeFill="background1"/>
          </w:tcPr>
          <w:p w14:paraId="4DBBC8A9" w14:textId="77777777" w:rsidR="00557CB3" w:rsidRPr="002740EA" w:rsidRDefault="00557CB3" w:rsidP="000C6B37">
            <w:pPr>
              <w:jc w:val="both"/>
              <w:rPr>
                <w:rFonts w:cs="Arial"/>
                <w:sz w:val="16"/>
                <w:szCs w:val="16"/>
              </w:rPr>
            </w:pPr>
            <w:r w:rsidRPr="002740EA">
              <w:rPr>
                <w:rFonts w:cs="Arial"/>
                <w:sz w:val="16"/>
                <w:szCs w:val="16"/>
              </w:rPr>
              <w:t>Componente 01</w:t>
            </w:r>
          </w:p>
        </w:tc>
        <w:tc>
          <w:tcPr>
            <w:tcW w:w="2475" w:type="pct"/>
            <w:tcBorders>
              <w:top w:val="single" w:sz="4" w:space="0" w:color="auto"/>
              <w:bottom w:val="single" w:sz="4" w:space="0" w:color="auto"/>
            </w:tcBorders>
            <w:shd w:val="clear" w:color="auto" w:fill="FFFFFF" w:themeFill="background1"/>
          </w:tcPr>
          <w:p w14:paraId="380DDE87" w14:textId="77777777" w:rsidR="00557CB3" w:rsidRPr="002740EA" w:rsidRDefault="00557CB3" w:rsidP="000C6B37">
            <w:pPr>
              <w:jc w:val="both"/>
              <w:rPr>
                <w:rFonts w:cs="Arial"/>
                <w:sz w:val="16"/>
                <w:szCs w:val="16"/>
              </w:rPr>
            </w:pPr>
            <w:r w:rsidRPr="002740EA">
              <w:rPr>
                <w:rFonts w:cs="Arial"/>
                <w:sz w:val="16"/>
                <w:szCs w:val="16"/>
              </w:rPr>
              <w:t xml:space="preserve">Universidad de Quintana Roo. </w:t>
            </w:r>
            <w:hyperlink r:id="rId36" w:history="1">
              <w:r w:rsidRPr="002740EA">
                <w:rPr>
                  <w:rStyle w:val="Hipervnculo"/>
                  <w:rFonts w:cs="Arial"/>
                  <w:sz w:val="16"/>
                  <w:szCs w:val="16"/>
                </w:rPr>
                <w:t>http://sigc.uqroo.mx/indexp.php?id=12</w:t>
              </w:r>
            </w:hyperlink>
          </w:p>
          <w:p w14:paraId="071EB770" w14:textId="77777777" w:rsidR="00557CB3" w:rsidRPr="002740EA" w:rsidRDefault="00557CB3" w:rsidP="000C6B37">
            <w:pPr>
              <w:jc w:val="both"/>
              <w:rPr>
                <w:rFonts w:cs="Arial"/>
                <w:sz w:val="16"/>
                <w:szCs w:val="16"/>
              </w:rPr>
            </w:pPr>
            <w:r w:rsidRPr="002740EA">
              <w:rPr>
                <w:rFonts w:cs="Arial"/>
                <w:sz w:val="16"/>
                <w:szCs w:val="16"/>
              </w:rPr>
              <w:t>(Dirección General de Planeación)</w:t>
            </w:r>
          </w:p>
        </w:tc>
        <w:tc>
          <w:tcPr>
            <w:tcW w:w="215" w:type="pct"/>
            <w:gridSpan w:val="2"/>
            <w:tcBorders>
              <w:top w:val="single" w:sz="4" w:space="0" w:color="auto"/>
              <w:bottom w:val="single" w:sz="4" w:space="0" w:color="auto"/>
            </w:tcBorders>
            <w:shd w:val="clear" w:color="auto" w:fill="FFFFFF" w:themeFill="background1"/>
          </w:tcPr>
          <w:p w14:paraId="407007B9"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shd w:val="clear" w:color="auto" w:fill="FFFFFF" w:themeFill="background1"/>
          </w:tcPr>
          <w:p w14:paraId="24E51B5A"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shd w:val="clear" w:color="auto" w:fill="FFFFFF" w:themeFill="background1"/>
          </w:tcPr>
          <w:p w14:paraId="045708B1" w14:textId="3DDE0239"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shd w:val="clear" w:color="auto" w:fill="FFFFFF" w:themeFill="background1"/>
          </w:tcPr>
          <w:p w14:paraId="19F51C3C" w14:textId="190CC113" w:rsidR="00557CB3" w:rsidRPr="002740EA" w:rsidRDefault="00456A66" w:rsidP="000C6B37">
            <w:pPr>
              <w:jc w:val="both"/>
              <w:rPr>
                <w:rFonts w:cs="Arial"/>
                <w:sz w:val="16"/>
                <w:szCs w:val="16"/>
              </w:rPr>
            </w:pPr>
            <w:r w:rsidRPr="002740EA">
              <w:rPr>
                <w:rFonts w:cs="Arial"/>
                <w:sz w:val="16"/>
                <w:szCs w:val="16"/>
              </w:rPr>
              <w:t>X</w:t>
            </w:r>
          </w:p>
        </w:tc>
      </w:tr>
      <w:tr w:rsidR="00A27139" w:rsidRPr="002740EA" w14:paraId="29493EA3" w14:textId="77777777" w:rsidTr="00A27139">
        <w:trPr>
          <w:trHeight w:val="735"/>
        </w:trPr>
        <w:tc>
          <w:tcPr>
            <w:tcW w:w="848" w:type="pct"/>
            <w:vMerge/>
            <w:shd w:val="clear" w:color="auto" w:fill="FFFFFF" w:themeFill="background1"/>
          </w:tcPr>
          <w:p w14:paraId="675A6135" w14:textId="77777777" w:rsidR="00557CB3" w:rsidRPr="002740EA" w:rsidRDefault="00557CB3" w:rsidP="000C6B37">
            <w:pPr>
              <w:jc w:val="both"/>
              <w:rPr>
                <w:rFonts w:cs="Arial"/>
                <w:sz w:val="16"/>
                <w:szCs w:val="16"/>
              </w:rPr>
            </w:pPr>
          </w:p>
        </w:tc>
        <w:tc>
          <w:tcPr>
            <w:tcW w:w="712" w:type="pct"/>
            <w:tcBorders>
              <w:top w:val="single" w:sz="4" w:space="0" w:color="auto"/>
              <w:bottom w:val="single" w:sz="4" w:space="0" w:color="auto"/>
            </w:tcBorders>
            <w:shd w:val="clear" w:color="auto" w:fill="FFFFFF" w:themeFill="background1"/>
          </w:tcPr>
          <w:p w14:paraId="11502D8F" w14:textId="77777777" w:rsidR="00557CB3" w:rsidRPr="002740EA" w:rsidRDefault="00557CB3" w:rsidP="000C6B37">
            <w:pPr>
              <w:jc w:val="both"/>
              <w:rPr>
                <w:rFonts w:cs="Arial"/>
                <w:sz w:val="16"/>
                <w:szCs w:val="16"/>
              </w:rPr>
            </w:pPr>
            <w:r w:rsidRPr="002740EA">
              <w:rPr>
                <w:rFonts w:cs="Arial"/>
                <w:sz w:val="16"/>
                <w:szCs w:val="16"/>
              </w:rPr>
              <w:t>Actividad 01</w:t>
            </w:r>
          </w:p>
        </w:tc>
        <w:tc>
          <w:tcPr>
            <w:tcW w:w="2475" w:type="pct"/>
            <w:tcBorders>
              <w:top w:val="single" w:sz="4" w:space="0" w:color="auto"/>
              <w:bottom w:val="single" w:sz="4" w:space="0" w:color="auto"/>
            </w:tcBorders>
            <w:shd w:val="clear" w:color="auto" w:fill="FFFFFF" w:themeFill="background1"/>
          </w:tcPr>
          <w:p w14:paraId="4BF091BA" w14:textId="77777777" w:rsidR="00557CB3" w:rsidRPr="002740EA" w:rsidRDefault="00557CB3" w:rsidP="000C6B37">
            <w:pPr>
              <w:jc w:val="both"/>
              <w:rPr>
                <w:rFonts w:cs="Arial"/>
                <w:sz w:val="16"/>
                <w:szCs w:val="16"/>
              </w:rPr>
            </w:pPr>
            <w:r w:rsidRPr="002740EA">
              <w:rPr>
                <w:rFonts w:cs="Arial"/>
                <w:sz w:val="16"/>
                <w:szCs w:val="16"/>
              </w:rPr>
              <w:t>ttp://sigc.uqroo.mx/indexp.php?id=12-Dirección General de Planeación-</w:t>
            </w:r>
          </w:p>
          <w:p w14:paraId="6713710C" w14:textId="77777777" w:rsidR="00557CB3" w:rsidRPr="002740EA" w:rsidRDefault="00DC170A" w:rsidP="000C6B37">
            <w:pPr>
              <w:jc w:val="both"/>
              <w:rPr>
                <w:rFonts w:cs="Arial"/>
                <w:sz w:val="16"/>
                <w:szCs w:val="16"/>
              </w:rPr>
            </w:pPr>
            <w:hyperlink r:id="rId37" w:history="1">
              <w:r w:rsidR="00557CB3" w:rsidRPr="002740EA">
                <w:rPr>
                  <w:rStyle w:val="Hipervnculo"/>
                  <w:rFonts w:cs="Arial"/>
                  <w:sz w:val="16"/>
                  <w:szCs w:val="16"/>
                </w:rPr>
                <w:t>http://sigc.uqroo.mx/indexp.php?id=12</w:t>
              </w:r>
            </w:hyperlink>
          </w:p>
          <w:p w14:paraId="6FE4C973" w14:textId="77777777" w:rsidR="00557CB3" w:rsidRPr="002740EA" w:rsidRDefault="00557CB3" w:rsidP="000C6B37">
            <w:pPr>
              <w:jc w:val="both"/>
              <w:rPr>
                <w:rFonts w:cs="Arial"/>
                <w:sz w:val="16"/>
                <w:szCs w:val="16"/>
              </w:rPr>
            </w:pPr>
            <w:r w:rsidRPr="002740EA">
              <w:rPr>
                <w:rFonts w:cs="Arial"/>
                <w:sz w:val="16"/>
                <w:szCs w:val="16"/>
              </w:rPr>
              <w:t>(Dirección General de Planeación)</w:t>
            </w:r>
          </w:p>
        </w:tc>
        <w:tc>
          <w:tcPr>
            <w:tcW w:w="215" w:type="pct"/>
            <w:gridSpan w:val="2"/>
            <w:tcBorders>
              <w:top w:val="single" w:sz="4" w:space="0" w:color="auto"/>
              <w:bottom w:val="single" w:sz="4" w:space="0" w:color="auto"/>
            </w:tcBorders>
            <w:shd w:val="clear" w:color="auto" w:fill="FFFFFF" w:themeFill="background1"/>
          </w:tcPr>
          <w:p w14:paraId="371136CA" w14:textId="77777777" w:rsidR="00557CB3" w:rsidRPr="002740EA" w:rsidRDefault="00557CB3" w:rsidP="000C6B37">
            <w:pPr>
              <w:jc w:val="both"/>
              <w:rPr>
                <w:rFonts w:cs="Arial"/>
                <w:sz w:val="16"/>
                <w:szCs w:val="16"/>
              </w:rPr>
            </w:pPr>
          </w:p>
        </w:tc>
        <w:tc>
          <w:tcPr>
            <w:tcW w:w="276" w:type="pct"/>
            <w:gridSpan w:val="2"/>
            <w:tcBorders>
              <w:top w:val="single" w:sz="4" w:space="0" w:color="auto"/>
              <w:bottom w:val="single" w:sz="4" w:space="0" w:color="auto"/>
            </w:tcBorders>
            <w:shd w:val="clear" w:color="auto" w:fill="FFFFFF" w:themeFill="background1"/>
          </w:tcPr>
          <w:p w14:paraId="2A6FC085" w14:textId="77777777" w:rsidR="00557CB3" w:rsidRPr="002740EA" w:rsidRDefault="00557CB3" w:rsidP="000C6B37">
            <w:pPr>
              <w:jc w:val="both"/>
              <w:rPr>
                <w:rFonts w:cs="Arial"/>
                <w:sz w:val="16"/>
                <w:szCs w:val="16"/>
              </w:rPr>
            </w:pPr>
          </w:p>
        </w:tc>
        <w:tc>
          <w:tcPr>
            <w:tcW w:w="210" w:type="pct"/>
            <w:gridSpan w:val="2"/>
            <w:tcBorders>
              <w:top w:val="single" w:sz="4" w:space="0" w:color="auto"/>
              <w:bottom w:val="single" w:sz="4" w:space="0" w:color="auto"/>
            </w:tcBorders>
            <w:shd w:val="clear" w:color="auto" w:fill="FFFFFF" w:themeFill="background1"/>
          </w:tcPr>
          <w:p w14:paraId="1C397FB1" w14:textId="55D57FB5" w:rsidR="00557CB3" w:rsidRPr="002740EA" w:rsidRDefault="00456A66" w:rsidP="000C6B37">
            <w:pPr>
              <w:jc w:val="both"/>
              <w:rPr>
                <w:rFonts w:cs="Arial"/>
                <w:sz w:val="16"/>
                <w:szCs w:val="16"/>
              </w:rPr>
            </w:pPr>
            <w:r w:rsidRPr="002740EA">
              <w:rPr>
                <w:rFonts w:cs="Arial"/>
                <w:sz w:val="16"/>
                <w:szCs w:val="16"/>
              </w:rPr>
              <w:t>X</w:t>
            </w:r>
          </w:p>
        </w:tc>
        <w:tc>
          <w:tcPr>
            <w:tcW w:w="263" w:type="pct"/>
            <w:gridSpan w:val="3"/>
            <w:tcBorders>
              <w:top w:val="single" w:sz="4" w:space="0" w:color="auto"/>
              <w:bottom w:val="single" w:sz="4" w:space="0" w:color="auto"/>
            </w:tcBorders>
            <w:shd w:val="clear" w:color="auto" w:fill="FFFFFF" w:themeFill="background1"/>
          </w:tcPr>
          <w:p w14:paraId="64E466D1" w14:textId="2D6454FC" w:rsidR="00557CB3" w:rsidRPr="002740EA" w:rsidRDefault="00456A66" w:rsidP="000C6B37">
            <w:pPr>
              <w:jc w:val="both"/>
              <w:rPr>
                <w:rFonts w:cs="Arial"/>
                <w:sz w:val="16"/>
                <w:szCs w:val="16"/>
              </w:rPr>
            </w:pPr>
            <w:r w:rsidRPr="002740EA">
              <w:rPr>
                <w:rFonts w:cs="Arial"/>
                <w:sz w:val="16"/>
                <w:szCs w:val="16"/>
              </w:rPr>
              <w:t>X</w:t>
            </w:r>
          </w:p>
        </w:tc>
      </w:tr>
      <w:tr w:rsidR="00557CB3" w:rsidRPr="002740EA" w14:paraId="224E304F" w14:textId="77777777" w:rsidTr="00563EA8">
        <w:trPr>
          <w:trHeight w:val="765"/>
        </w:trPr>
        <w:tc>
          <w:tcPr>
            <w:tcW w:w="848" w:type="pct"/>
            <w:shd w:val="clear" w:color="auto" w:fill="FFFFFF" w:themeFill="background1"/>
          </w:tcPr>
          <w:p w14:paraId="79F4BD77" w14:textId="77777777" w:rsidR="00557CB3" w:rsidRPr="002740EA" w:rsidRDefault="00557CB3" w:rsidP="000C6B37">
            <w:pPr>
              <w:spacing w:line="276" w:lineRule="auto"/>
              <w:jc w:val="both"/>
              <w:rPr>
                <w:rFonts w:cs="Arial"/>
                <w:sz w:val="16"/>
                <w:szCs w:val="16"/>
              </w:rPr>
            </w:pPr>
          </w:p>
        </w:tc>
        <w:tc>
          <w:tcPr>
            <w:tcW w:w="4152" w:type="pct"/>
            <w:gridSpan w:val="11"/>
            <w:tcBorders>
              <w:top w:val="single" w:sz="4" w:space="0" w:color="auto"/>
            </w:tcBorders>
            <w:shd w:val="clear" w:color="auto" w:fill="FFFFFF" w:themeFill="background1"/>
          </w:tcPr>
          <w:p w14:paraId="3D157EA8" w14:textId="77777777" w:rsidR="00557CB3" w:rsidRPr="002740EA" w:rsidRDefault="00557CB3" w:rsidP="000C6B37">
            <w:pPr>
              <w:spacing w:line="276" w:lineRule="auto"/>
              <w:jc w:val="both"/>
              <w:rPr>
                <w:rFonts w:cs="Arial"/>
                <w:b/>
                <w:sz w:val="16"/>
                <w:szCs w:val="16"/>
              </w:rPr>
            </w:pPr>
            <w:r w:rsidRPr="002740EA">
              <w:rPr>
                <w:rFonts w:cs="Arial"/>
                <w:sz w:val="16"/>
                <w:szCs w:val="16"/>
              </w:rPr>
              <w:t>* N: Nombre completo del documento.                  * N A: Nombre del área que genera o publica la información.</w:t>
            </w:r>
          </w:p>
          <w:p w14:paraId="7CA8D9C1" w14:textId="77777777" w:rsidR="00557CB3" w:rsidRPr="002740EA" w:rsidRDefault="00557CB3" w:rsidP="000C6B37">
            <w:pPr>
              <w:pBdr>
                <w:bottom w:val="single" w:sz="4" w:space="1" w:color="auto"/>
              </w:pBdr>
              <w:jc w:val="right"/>
              <w:rPr>
                <w:rFonts w:cs="Arial"/>
                <w:sz w:val="16"/>
                <w:szCs w:val="16"/>
              </w:rPr>
            </w:pPr>
            <w:r w:rsidRPr="002740EA">
              <w:rPr>
                <w:rFonts w:cs="Arial"/>
                <w:sz w:val="16"/>
                <w:szCs w:val="16"/>
              </w:rPr>
              <w:t>* P: Periodicidad con la que se publica la información.          * L: La liga a la página de la que se obtiene la información</w:t>
            </w:r>
          </w:p>
          <w:p w14:paraId="74B6C270" w14:textId="732A870A" w:rsidR="00557CB3" w:rsidRPr="002740EA" w:rsidRDefault="00456A66" w:rsidP="000C6B37">
            <w:pPr>
              <w:pBdr>
                <w:bottom w:val="single" w:sz="4" w:space="1" w:color="auto"/>
              </w:pBdr>
              <w:jc w:val="both"/>
              <w:rPr>
                <w:rFonts w:cs="Arial"/>
                <w:sz w:val="16"/>
                <w:szCs w:val="16"/>
              </w:rPr>
            </w:pPr>
            <w:r>
              <w:rPr>
                <w:rFonts w:cs="Arial"/>
                <w:sz w:val="16"/>
                <w:szCs w:val="16"/>
              </w:rPr>
              <w:t xml:space="preserve">Fuente: </w:t>
            </w:r>
            <w:r w:rsidR="00557CB3" w:rsidRPr="002740EA">
              <w:rPr>
                <w:rFonts w:cs="Arial"/>
                <w:sz w:val="16"/>
                <w:szCs w:val="16"/>
              </w:rPr>
              <w:t>Elaborado por la ASEQROO, con base en información proporcionada por la UQROO.</w:t>
            </w:r>
          </w:p>
        </w:tc>
      </w:tr>
    </w:tbl>
    <w:p w14:paraId="2CA016A6" w14:textId="77777777" w:rsidR="00557CB3" w:rsidRPr="002740EA" w:rsidRDefault="00557CB3" w:rsidP="000C6B37">
      <w:pPr>
        <w:spacing w:after="0" w:line="276" w:lineRule="auto"/>
        <w:jc w:val="both"/>
        <w:rPr>
          <w:rFonts w:cs="Arial"/>
          <w:sz w:val="18"/>
          <w:szCs w:val="18"/>
        </w:rPr>
      </w:pPr>
    </w:p>
    <w:p w14:paraId="05E8C058" w14:textId="77A4DDC6" w:rsidR="00421BE0" w:rsidRDefault="00421BE0" w:rsidP="00421BE0">
      <w:pPr>
        <w:pStyle w:val="Prrafodelista"/>
        <w:spacing w:after="0"/>
        <w:ind w:left="1077"/>
        <w:jc w:val="both"/>
        <w:rPr>
          <w:rFonts w:cs="Arial"/>
          <w:szCs w:val="24"/>
        </w:rPr>
      </w:pPr>
    </w:p>
    <w:p w14:paraId="0ADCE134" w14:textId="77777777" w:rsidR="00456A66" w:rsidRPr="002740EA" w:rsidRDefault="00456A66" w:rsidP="00421BE0">
      <w:pPr>
        <w:pStyle w:val="Prrafodelista"/>
        <w:spacing w:after="0"/>
        <w:ind w:left="1077"/>
        <w:jc w:val="both"/>
        <w:rPr>
          <w:rFonts w:cs="Arial"/>
          <w:szCs w:val="24"/>
        </w:rPr>
      </w:pPr>
    </w:p>
    <w:p w14:paraId="343B61A9" w14:textId="1D85C850" w:rsidR="00557CB3" w:rsidRPr="002740EA" w:rsidRDefault="00557CB3" w:rsidP="000C6B37">
      <w:pPr>
        <w:pStyle w:val="Prrafodelista"/>
        <w:numPr>
          <w:ilvl w:val="0"/>
          <w:numId w:val="8"/>
        </w:numPr>
        <w:spacing w:after="0"/>
        <w:ind w:left="1077" w:hanging="357"/>
        <w:jc w:val="both"/>
        <w:rPr>
          <w:rFonts w:cs="Arial"/>
          <w:szCs w:val="24"/>
        </w:rPr>
      </w:pPr>
      <w:r w:rsidRPr="002740EA">
        <w:rPr>
          <w:rFonts w:cs="Arial"/>
          <w:b/>
          <w:szCs w:val="24"/>
        </w:rPr>
        <w:t>Supuestos:</w:t>
      </w:r>
      <w:r w:rsidRPr="002740EA">
        <w:rPr>
          <w:rFonts w:cs="Arial"/>
          <w:szCs w:val="24"/>
        </w:rPr>
        <w:t xml:space="preserve"> se constataron tres aspectos fundamentales: la identificación de factores externos, la verificación de las condiciones de supuestos, y el análisis de consistencia en la relación causal entre objetivos. En consecuencia, de la valoración realizada a los supuestos se determinó que </w:t>
      </w:r>
      <w:r w:rsidRPr="00456A66">
        <w:rPr>
          <w:rFonts w:cs="Arial"/>
          <w:szCs w:val="24"/>
        </w:rPr>
        <w:t>el 32 % presentó áreas de oportunidad</w:t>
      </w:r>
      <w:r w:rsidRPr="002740EA">
        <w:rPr>
          <w:rFonts w:cs="Arial"/>
          <w:szCs w:val="24"/>
        </w:rPr>
        <w:t xml:space="preserve"> en los siguientes niveles</w:t>
      </w:r>
      <w:r w:rsidR="0007748D">
        <w:rPr>
          <w:rFonts w:cs="Arial"/>
          <w:sz w:val="18"/>
          <w:szCs w:val="18"/>
        </w:rPr>
        <w:t>.</w:t>
      </w:r>
    </w:p>
    <w:p w14:paraId="651E5387" w14:textId="77777777" w:rsidR="00557CB3" w:rsidRPr="002740EA" w:rsidRDefault="00557CB3" w:rsidP="000C6B37">
      <w:pPr>
        <w:spacing w:after="0" w:line="276" w:lineRule="auto"/>
        <w:jc w:val="both"/>
        <w:rPr>
          <w:rFonts w:eastAsia="Times New Roman" w:cs="Arial"/>
          <w:sz w:val="18"/>
          <w:szCs w:val="18"/>
          <w:lang w:eastAsia="es-ES"/>
        </w:rPr>
      </w:pPr>
    </w:p>
    <w:tbl>
      <w:tblPr>
        <w:tblStyle w:val="Tablaconcuadrcula"/>
        <w:tblW w:w="503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1814"/>
        <w:gridCol w:w="1445"/>
        <w:gridCol w:w="1346"/>
        <w:gridCol w:w="1492"/>
        <w:gridCol w:w="3044"/>
      </w:tblGrid>
      <w:tr w:rsidR="00557CB3" w:rsidRPr="002740EA" w14:paraId="1890ED1D" w14:textId="77777777" w:rsidTr="000C0D35">
        <w:trPr>
          <w:cantSplit/>
          <w:tblHeader/>
        </w:trPr>
        <w:tc>
          <w:tcPr>
            <w:tcW w:w="5000" w:type="pct"/>
            <w:gridSpan w:val="5"/>
            <w:tcBorders>
              <w:bottom w:val="single" w:sz="4" w:space="0" w:color="auto"/>
            </w:tcBorders>
            <w:shd w:val="clear" w:color="auto" w:fill="DEEAF6" w:themeFill="accent1" w:themeFillTint="33"/>
          </w:tcPr>
          <w:p w14:paraId="577758A7" w14:textId="77777777" w:rsidR="00557CB3" w:rsidRPr="002740EA" w:rsidRDefault="00557CB3" w:rsidP="000C6B37">
            <w:pPr>
              <w:spacing w:line="240" w:lineRule="atLeast"/>
              <w:jc w:val="center"/>
              <w:rPr>
                <w:rFonts w:cs="Arial"/>
                <w:b/>
                <w:color w:val="000000" w:themeColor="text1"/>
                <w:sz w:val="18"/>
                <w:szCs w:val="18"/>
              </w:rPr>
            </w:pPr>
            <w:r w:rsidRPr="002740EA">
              <w:rPr>
                <w:rFonts w:cs="Arial"/>
                <w:b/>
                <w:color w:val="000000" w:themeColor="text1"/>
                <w:sz w:val="18"/>
                <w:szCs w:val="18"/>
                <w:shd w:val="clear" w:color="auto" w:fill="DEEAF6" w:themeFill="accent1" w:themeFillTint="33"/>
              </w:rPr>
              <w:t>Tabla 8. Área de Oportunidad de los Supuestos</w:t>
            </w:r>
            <w:r w:rsidRPr="002740EA">
              <w:rPr>
                <w:rFonts w:cs="Arial"/>
                <w:b/>
                <w:color w:val="000000" w:themeColor="text1"/>
                <w:sz w:val="18"/>
                <w:szCs w:val="18"/>
              </w:rPr>
              <w:t>.</w:t>
            </w:r>
          </w:p>
        </w:tc>
      </w:tr>
      <w:tr w:rsidR="00557CB3" w:rsidRPr="002740EA" w14:paraId="46CD7896" w14:textId="77777777" w:rsidTr="0007748D">
        <w:trPr>
          <w:cantSplit/>
          <w:trHeight w:val="535"/>
          <w:tblHeader/>
        </w:trPr>
        <w:tc>
          <w:tcPr>
            <w:tcW w:w="992" w:type="pct"/>
            <w:tcBorders>
              <w:top w:val="single" w:sz="4" w:space="0" w:color="auto"/>
              <w:bottom w:val="single" w:sz="4" w:space="0" w:color="auto"/>
            </w:tcBorders>
            <w:shd w:val="clear" w:color="auto" w:fill="DEEAF6" w:themeFill="accent1" w:themeFillTint="33"/>
          </w:tcPr>
          <w:p w14:paraId="180844E1" w14:textId="25877BD7" w:rsidR="00557CB3" w:rsidRPr="0007748D" w:rsidRDefault="0007748D" w:rsidP="0007748D">
            <w:pPr>
              <w:spacing w:line="240" w:lineRule="atLeast"/>
              <w:jc w:val="center"/>
              <w:rPr>
                <w:rFonts w:cs="Arial"/>
                <w:b/>
                <w:color w:val="000000" w:themeColor="text1"/>
                <w:sz w:val="18"/>
                <w:szCs w:val="18"/>
              </w:rPr>
            </w:pPr>
            <w:r>
              <w:rPr>
                <w:rFonts w:cs="Arial"/>
                <w:b/>
                <w:color w:val="000000" w:themeColor="text1"/>
                <w:sz w:val="18"/>
                <w:szCs w:val="18"/>
              </w:rPr>
              <w:t>Programas Presupuestarios</w:t>
            </w:r>
          </w:p>
        </w:tc>
        <w:tc>
          <w:tcPr>
            <w:tcW w:w="791" w:type="pct"/>
            <w:tcBorders>
              <w:top w:val="single" w:sz="4" w:space="0" w:color="auto"/>
              <w:bottom w:val="single" w:sz="4" w:space="0" w:color="auto"/>
            </w:tcBorders>
            <w:shd w:val="clear" w:color="auto" w:fill="DEEAF6" w:themeFill="accent1" w:themeFillTint="33"/>
          </w:tcPr>
          <w:p w14:paraId="10472DE7" w14:textId="77777777" w:rsidR="00557CB3" w:rsidRPr="002740EA" w:rsidRDefault="00557CB3" w:rsidP="000C0D35">
            <w:pPr>
              <w:spacing w:line="240" w:lineRule="atLeast"/>
              <w:ind w:right="416"/>
              <w:jc w:val="center"/>
              <w:rPr>
                <w:rFonts w:cs="Arial"/>
                <w:color w:val="000000" w:themeColor="text1"/>
                <w:sz w:val="18"/>
                <w:szCs w:val="18"/>
              </w:rPr>
            </w:pPr>
            <w:r w:rsidRPr="002740EA">
              <w:rPr>
                <w:rFonts w:cs="Arial"/>
                <w:b/>
                <w:color w:val="000000" w:themeColor="text1"/>
                <w:sz w:val="18"/>
                <w:szCs w:val="18"/>
              </w:rPr>
              <w:t>Nivel de la MIR</w:t>
            </w:r>
          </w:p>
        </w:tc>
        <w:tc>
          <w:tcPr>
            <w:tcW w:w="736" w:type="pct"/>
            <w:tcBorders>
              <w:top w:val="single" w:sz="4" w:space="0" w:color="auto"/>
              <w:bottom w:val="single" w:sz="4" w:space="0" w:color="auto"/>
            </w:tcBorders>
            <w:shd w:val="clear" w:color="auto" w:fill="DEEAF6" w:themeFill="accent1" w:themeFillTint="33"/>
          </w:tcPr>
          <w:p w14:paraId="6AA9BCA0" w14:textId="6F76C121" w:rsidR="00557CB3" w:rsidRPr="0007748D" w:rsidRDefault="0007748D" w:rsidP="0007748D">
            <w:pPr>
              <w:spacing w:line="240" w:lineRule="atLeast"/>
              <w:jc w:val="center"/>
              <w:rPr>
                <w:rFonts w:cs="Arial"/>
                <w:b/>
                <w:color w:val="000000" w:themeColor="text1"/>
                <w:sz w:val="18"/>
                <w:szCs w:val="18"/>
              </w:rPr>
            </w:pPr>
            <w:r>
              <w:rPr>
                <w:rFonts w:cs="Arial"/>
                <w:b/>
                <w:color w:val="000000" w:themeColor="text1"/>
                <w:sz w:val="18"/>
                <w:szCs w:val="18"/>
              </w:rPr>
              <w:t>Resumen Narrativo</w:t>
            </w:r>
          </w:p>
        </w:tc>
        <w:tc>
          <w:tcPr>
            <w:tcW w:w="816" w:type="pct"/>
            <w:tcBorders>
              <w:top w:val="single" w:sz="4" w:space="0" w:color="auto"/>
              <w:bottom w:val="single" w:sz="4" w:space="0" w:color="auto"/>
            </w:tcBorders>
            <w:shd w:val="clear" w:color="auto" w:fill="DEEAF6" w:themeFill="accent1" w:themeFillTint="33"/>
          </w:tcPr>
          <w:p w14:paraId="0CB6376C" w14:textId="77777777" w:rsidR="00557CB3" w:rsidRPr="002740EA" w:rsidRDefault="00557CB3" w:rsidP="000C6B37">
            <w:pPr>
              <w:spacing w:line="240" w:lineRule="atLeast"/>
              <w:jc w:val="center"/>
              <w:rPr>
                <w:rFonts w:cs="Arial"/>
                <w:color w:val="000000" w:themeColor="text1"/>
                <w:sz w:val="18"/>
                <w:szCs w:val="18"/>
              </w:rPr>
            </w:pPr>
            <w:r w:rsidRPr="002740EA">
              <w:rPr>
                <w:rFonts w:cs="Arial"/>
                <w:b/>
                <w:color w:val="000000" w:themeColor="text1"/>
                <w:sz w:val="18"/>
                <w:szCs w:val="18"/>
              </w:rPr>
              <w:t>Supuesto</w:t>
            </w:r>
          </w:p>
        </w:tc>
        <w:tc>
          <w:tcPr>
            <w:tcW w:w="1662" w:type="pct"/>
            <w:tcBorders>
              <w:top w:val="single" w:sz="4" w:space="0" w:color="auto"/>
              <w:bottom w:val="single" w:sz="4" w:space="0" w:color="auto"/>
            </w:tcBorders>
            <w:shd w:val="clear" w:color="auto" w:fill="DEEAF6" w:themeFill="accent1" w:themeFillTint="33"/>
          </w:tcPr>
          <w:p w14:paraId="4578CFEC" w14:textId="77777777" w:rsidR="00557CB3" w:rsidRPr="002740EA" w:rsidRDefault="00557CB3" w:rsidP="000C6B37">
            <w:pPr>
              <w:spacing w:line="240" w:lineRule="atLeast"/>
              <w:jc w:val="center"/>
              <w:rPr>
                <w:rFonts w:cs="Arial"/>
                <w:color w:val="000000" w:themeColor="text1"/>
                <w:sz w:val="18"/>
                <w:szCs w:val="18"/>
              </w:rPr>
            </w:pPr>
            <w:r w:rsidRPr="002740EA">
              <w:rPr>
                <w:rFonts w:cs="Arial"/>
                <w:b/>
                <w:color w:val="000000" w:themeColor="text1"/>
                <w:sz w:val="18"/>
                <w:szCs w:val="18"/>
              </w:rPr>
              <w:t>Análisis</w:t>
            </w:r>
          </w:p>
        </w:tc>
      </w:tr>
      <w:tr w:rsidR="00557CB3" w:rsidRPr="002740EA" w14:paraId="257CF9CC" w14:textId="77777777" w:rsidTr="000C0D35">
        <w:tc>
          <w:tcPr>
            <w:tcW w:w="992" w:type="pct"/>
            <w:vMerge w:val="restart"/>
            <w:tcBorders>
              <w:top w:val="single" w:sz="4" w:space="0" w:color="auto"/>
              <w:bottom w:val="single" w:sz="4" w:space="0" w:color="auto"/>
            </w:tcBorders>
            <w:shd w:val="clear" w:color="auto" w:fill="FFFFFF" w:themeFill="background1"/>
          </w:tcPr>
          <w:p w14:paraId="5397E2E4" w14:textId="77777777" w:rsidR="00557CB3" w:rsidRPr="002740EA" w:rsidRDefault="00557CB3" w:rsidP="000C6B37">
            <w:pPr>
              <w:spacing w:line="240" w:lineRule="atLeast"/>
              <w:jc w:val="center"/>
              <w:rPr>
                <w:rFonts w:cs="Arial"/>
                <w:color w:val="000000" w:themeColor="text1"/>
                <w:sz w:val="18"/>
                <w:szCs w:val="18"/>
              </w:rPr>
            </w:pPr>
            <w:r w:rsidRPr="002740EA">
              <w:rPr>
                <w:rFonts w:cs="Arial"/>
                <w:sz w:val="18"/>
                <w:szCs w:val="18"/>
              </w:rPr>
              <w:t>E 103- Educación Superior</w:t>
            </w:r>
          </w:p>
        </w:tc>
        <w:tc>
          <w:tcPr>
            <w:tcW w:w="791" w:type="pct"/>
            <w:tcBorders>
              <w:top w:val="single" w:sz="4" w:space="0" w:color="auto"/>
              <w:bottom w:val="single" w:sz="4" w:space="0" w:color="auto"/>
            </w:tcBorders>
            <w:shd w:val="clear" w:color="auto" w:fill="FFFFFF" w:themeFill="background1"/>
          </w:tcPr>
          <w:p w14:paraId="04E81ADA" w14:textId="77777777" w:rsidR="00557CB3" w:rsidRPr="002740EA" w:rsidRDefault="00557CB3" w:rsidP="000C6B37">
            <w:pPr>
              <w:spacing w:line="240" w:lineRule="atLeast"/>
              <w:jc w:val="both"/>
              <w:rPr>
                <w:rFonts w:cs="Arial"/>
                <w:color w:val="000000" w:themeColor="text1"/>
                <w:sz w:val="18"/>
                <w:szCs w:val="18"/>
              </w:rPr>
            </w:pPr>
            <w:r w:rsidRPr="002740EA">
              <w:rPr>
                <w:rFonts w:eastAsia="Times New Roman" w:cs="Arial"/>
                <w:color w:val="000000" w:themeColor="text1"/>
                <w:sz w:val="16"/>
                <w:szCs w:val="16"/>
              </w:rPr>
              <w:t>C01</w:t>
            </w:r>
          </w:p>
        </w:tc>
        <w:tc>
          <w:tcPr>
            <w:tcW w:w="736" w:type="pct"/>
            <w:tcBorders>
              <w:top w:val="single" w:sz="4" w:space="0" w:color="auto"/>
              <w:bottom w:val="single" w:sz="4" w:space="0" w:color="auto"/>
            </w:tcBorders>
            <w:shd w:val="clear" w:color="auto" w:fill="FFFFFF" w:themeFill="background1"/>
          </w:tcPr>
          <w:p w14:paraId="575ABE63" w14:textId="77777777" w:rsidR="00557CB3" w:rsidRPr="002740EA" w:rsidRDefault="00557CB3" w:rsidP="000C6B37">
            <w:pPr>
              <w:spacing w:line="240" w:lineRule="atLeast"/>
              <w:jc w:val="both"/>
              <w:rPr>
                <w:rFonts w:cs="Arial"/>
                <w:color w:val="000000" w:themeColor="text1"/>
                <w:sz w:val="18"/>
                <w:szCs w:val="18"/>
              </w:rPr>
            </w:pPr>
            <w:r w:rsidRPr="002740EA">
              <w:rPr>
                <w:rFonts w:eastAsia="Times New Roman" w:cs="Arial"/>
                <w:color w:val="000000" w:themeColor="text1"/>
                <w:sz w:val="16"/>
                <w:szCs w:val="16"/>
              </w:rPr>
              <w:t>Educación superior con calidad y pertinencia impartida.</w:t>
            </w:r>
          </w:p>
        </w:tc>
        <w:tc>
          <w:tcPr>
            <w:tcW w:w="816" w:type="pct"/>
            <w:tcBorders>
              <w:top w:val="single" w:sz="4" w:space="0" w:color="auto"/>
              <w:bottom w:val="single" w:sz="4" w:space="0" w:color="auto"/>
            </w:tcBorders>
            <w:shd w:val="clear" w:color="auto" w:fill="FFFFFF" w:themeFill="background1"/>
          </w:tcPr>
          <w:p w14:paraId="4F46C7B6"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Las IES reciben las asignaciones financieras de manera oportuna para su operación.</w:t>
            </w:r>
          </w:p>
        </w:tc>
        <w:tc>
          <w:tcPr>
            <w:tcW w:w="1662" w:type="pct"/>
            <w:tcBorders>
              <w:top w:val="single" w:sz="4" w:space="0" w:color="auto"/>
              <w:bottom w:val="single" w:sz="4" w:space="0" w:color="auto"/>
            </w:tcBorders>
            <w:shd w:val="clear" w:color="auto" w:fill="FFFFFF" w:themeFill="background1"/>
          </w:tcPr>
          <w:p w14:paraId="69687299" w14:textId="04945A36" w:rsidR="00557CB3" w:rsidRPr="002740EA" w:rsidRDefault="00557CB3" w:rsidP="000C6B37">
            <w:pPr>
              <w:spacing w:line="240" w:lineRule="atLeast"/>
              <w:jc w:val="both"/>
              <w:rPr>
                <w:rFonts w:eastAsia="Times New Roman" w:cs="Arial"/>
                <w:color w:val="000000" w:themeColor="text1"/>
                <w:sz w:val="16"/>
                <w:szCs w:val="16"/>
              </w:rPr>
            </w:pPr>
            <w:r w:rsidRPr="002740EA">
              <w:rPr>
                <w:rFonts w:cs="Arial"/>
                <w:color w:val="000000" w:themeColor="text1"/>
                <w:sz w:val="16"/>
                <w:szCs w:val="16"/>
                <w:lang w:val="es-ES"/>
              </w:rPr>
              <w:t xml:space="preserve">El supuesto </w:t>
            </w:r>
            <w:r w:rsidR="00E53A08" w:rsidRPr="002740EA">
              <w:rPr>
                <w:rFonts w:cs="Arial"/>
                <w:color w:val="000000" w:themeColor="text1"/>
                <w:sz w:val="16"/>
                <w:szCs w:val="16"/>
                <w:lang w:val="es-ES"/>
              </w:rPr>
              <w:t xml:space="preserve">establecido para esta actividad </w:t>
            </w:r>
            <w:r w:rsidRPr="002740EA">
              <w:rPr>
                <w:rFonts w:eastAsia="Times New Roman" w:cs="Arial"/>
                <w:color w:val="000000" w:themeColor="text1"/>
                <w:sz w:val="16"/>
                <w:szCs w:val="16"/>
              </w:rPr>
              <w:t xml:space="preserve">presenta </w:t>
            </w:r>
            <w:r w:rsidRPr="002740EA">
              <w:rPr>
                <w:rFonts w:eastAsia="Times New Roman" w:cs="Arial"/>
                <w:b/>
                <w:color w:val="000000" w:themeColor="text1"/>
                <w:sz w:val="16"/>
                <w:szCs w:val="16"/>
              </w:rPr>
              <w:t>área de oportunidad</w:t>
            </w:r>
            <w:r w:rsidRPr="002740EA">
              <w:rPr>
                <w:rFonts w:eastAsia="Times New Roman" w:cs="Arial"/>
                <w:color w:val="000000" w:themeColor="text1"/>
                <w:sz w:val="16"/>
                <w:szCs w:val="16"/>
              </w:rPr>
              <w:t>, ya que cuenta con las siguientes características.</w:t>
            </w:r>
          </w:p>
          <w:p w14:paraId="67013D7C" w14:textId="77777777" w:rsidR="00557CB3" w:rsidRPr="002740EA" w:rsidRDefault="00557CB3" w:rsidP="000C6B37">
            <w:pPr>
              <w:spacing w:line="240" w:lineRule="atLeast"/>
              <w:jc w:val="both"/>
              <w:rPr>
                <w:rFonts w:cs="Arial"/>
                <w:color w:val="000000" w:themeColor="text1"/>
                <w:sz w:val="18"/>
                <w:szCs w:val="18"/>
              </w:rPr>
            </w:pPr>
          </w:p>
          <w:p w14:paraId="35A09916" w14:textId="77777777" w:rsidR="00557CB3" w:rsidRPr="002740EA" w:rsidRDefault="00557CB3" w:rsidP="000C6B37">
            <w:pPr>
              <w:numPr>
                <w:ilvl w:val="0"/>
                <w:numId w:val="9"/>
              </w:numPr>
              <w:suppressAutoHyphens/>
              <w:spacing w:line="240" w:lineRule="atLeast"/>
              <w:ind w:left="346" w:hanging="241"/>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El supuesto no es un factor externo a los ejecutores del programa. </w:t>
            </w:r>
          </w:p>
          <w:p w14:paraId="6D1DAF11" w14:textId="77777777" w:rsidR="00557CB3" w:rsidRPr="002740EA" w:rsidRDefault="00557CB3" w:rsidP="000C6B37">
            <w:pPr>
              <w:numPr>
                <w:ilvl w:val="0"/>
                <w:numId w:val="9"/>
              </w:numPr>
              <w:suppressAutoHyphens/>
              <w:spacing w:line="240" w:lineRule="atLeast"/>
              <w:ind w:left="346" w:hanging="241"/>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Se encuentra redactado en relación directa con el objetivo </w:t>
            </w:r>
          </w:p>
          <w:p w14:paraId="26D2035B" w14:textId="77777777" w:rsidR="00557CB3" w:rsidRPr="002740EA" w:rsidRDefault="00557CB3" w:rsidP="000C6B37">
            <w:pPr>
              <w:numPr>
                <w:ilvl w:val="0"/>
                <w:numId w:val="9"/>
              </w:numPr>
              <w:suppressAutoHyphens/>
              <w:spacing w:line="240" w:lineRule="atLeast"/>
              <w:ind w:left="346" w:hanging="241"/>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61D78E5A" w14:textId="77777777" w:rsidR="00557CB3" w:rsidRPr="002740EA" w:rsidRDefault="00557CB3" w:rsidP="000C6B37">
            <w:pPr>
              <w:spacing w:line="240" w:lineRule="atLeast"/>
              <w:jc w:val="both"/>
              <w:rPr>
                <w:rFonts w:cs="Arial"/>
                <w:color w:val="000000" w:themeColor="text1"/>
                <w:sz w:val="18"/>
                <w:szCs w:val="18"/>
              </w:rPr>
            </w:pPr>
          </w:p>
        </w:tc>
      </w:tr>
      <w:tr w:rsidR="00557CB3" w:rsidRPr="002740EA" w14:paraId="34501640" w14:textId="77777777" w:rsidTr="000C0D35">
        <w:tc>
          <w:tcPr>
            <w:tcW w:w="992" w:type="pct"/>
            <w:vMerge/>
            <w:tcBorders>
              <w:top w:val="single" w:sz="4" w:space="0" w:color="auto"/>
              <w:bottom w:val="single" w:sz="4" w:space="0" w:color="auto"/>
            </w:tcBorders>
            <w:shd w:val="clear" w:color="auto" w:fill="FFFFFF" w:themeFill="background1"/>
          </w:tcPr>
          <w:p w14:paraId="4687DE8D" w14:textId="77777777" w:rsidR="00557CB3" w:rsidRPr="002740EA" w:rsidRDefault="00557CB3" w:rsidP="000C6B37">
            <w:pPr>
              <w:spacing w:line="240" w:lineRule="atLeast"/>
              <w:jc w:val="both"/>
              <w:rPr>
                <w:rFonts w:cs="Arial"/>
                <w:color w:val="000000" w:themeColor="text1"/>
                <w:sz w:val="18"/>
                <w:szCs w:val="18"/>
              </w:rPr>
            </w:pPr>
          </w:p>
        </w:tc>
        <w:tc>
          <w:tcPr>
            <w:tcW w:w="791" w:type="pct"/>
            <w:tcBorders>
              <w:top w:val="single" w:sz="4" w:space="0" w:color="auto"/>
              <w:bottom w:val="single" w:sz="4" w:space="0" w:color="auto"/>
            </w:tcBorders>
            <w:shd w:val="clear" w:color="auto" w:fill="FFFFFF" w:themeFill="background1"/>
          </w:tcPr>
          <w:p w14:paraId="6571A016"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8"/>
                <w:szCs w:val="18"/>
              </w:rPr>
              <w:t>C02.01</w:t>
            </w:r>
          </w:p>
        </w:tc>
        <w:tc>
          <w:tcPr>
            <w:tcW w:w="736" w:type="pct"/>
            <w:tcBorders>
              <w:top w:val="single" w:sz="4" w:space="0" w:color="auto"/>
              <w:bottom w:val="single" w:sz="4" w:space="0" w:color="auto"/>
            </w:tcBorders>
            <w:shd w:val="clear" w:color="auto" w:fill="FFFFFF" w:themeFill="background1"/>
          </w:tcPr>
          <w:p w14:paraId="5317562A" w14:textId="77777777" w:rsidR="00557CB3" w:rsidRPr="002740EA" w:rsidRDefault="00557CB3" w:rsidP="000C6B37">
            <w:pPr>
              <w:spacing w:line="240" w:lineRule="atLeast"/>
              <w:ind w:firstLine="76"/>
              <w:rPr>
                <w:rFonts w:cs="Arial"/>
                <w:color w:val="000000" w:themeColor="text1"/>
                <w:sz w:val="18"/>
                <w:szCs w:val="18"/>
              </w:rPr>
            </w:pPr>
            <w:r w:rsidRPr="002740EA">
              <w:rPr>
                <w:rFonts w:cs="Arial"/>
                <w:color w:val="000000" w:themeColor="text1"/>
                <w:sz w:val="16"/>
                <w:szCs w:val="16"/>
              </w:rPr>
              <w:t>C02.-Programas educativos evaluables de calidad ofertados</w:t>
            </w:r>
          </w:p>
        </w:tc>
        <w:tc>
          <w:tcPr>
            <w:tcW w:w="816" w:type="pct"/>
            <w:tcBorders>
              <w:top w:val="single" w:sz="4" w:space="0" w:color="auto"/>
              <w:bottom w:val="single" w:sz="4" w:space="0" w:color="auto"/>
            </w:tcBorders>
            <w:shd w:val="clear" w:color="auto" w:fill="FFFFFF" w:themeFill="background1"/>
          </w:tcPr>
          <w:p w14:paraId="415171DC" w14:textId="77777777" w:rsidR="00557CB3" w:rsidRPr="002740EA" w:rsidRDefault="00557CB3" w:rsidP="000C6B37">
            <w:pPr>
              <w:spacing w:line="240" w:lineRule="atLeast"/>
              <w:jc w:val="both"/>
              <w:rPr>
                <w:rFonts w:cs="Arial"/>
                <w:color w:val="000000" w:themeColor="text1"/>
                <w:sz w:val="16"/>
                <w:szCs w:val="16"/>
              </w:rPr>
            </w:pPr>
            <w:r w:rsidRPr="002740EA">
              <w:rPr>
                <w:rFonts w:cs="Arial"/>
                <w:color w:val="000000" w:themeColor="text1"/>
                <w:sz w:val="16"/>
                <w:szCs w:val="16"/>
              </w:rPr>
              <w:t>La calidad de la educación superior continúa siendo prioridad nacional.</w:t>
            </w:r>
          </w:p>
          <w:p w14:paraId="6C89CE46" w14:textId="77777777" w:rsidR="00557CB3" w:rsidRPr="002740EA" w:rsidRDefault="00557CB3" w:rsidP="000C6B37">
            <w:pPr>
              <w:spacing w:line="240" w:lineRule="atLeast"/>
              <w:jc w:val="both"/>
              <w:rPr>
                <w:rFonts w:cs="Arial"/>
                <w:color w:val="000000" w:themeColor="text1"/>
                <w:sz w:val="18"/>
                <w:szCs w:val="18"/>
              </w:rPr>
            </w:pPr>
          </w:p>
        </w:tc>
        <w:tc>
          <w:tcPr>
            <w:tcW w:w="1662" w:type="pct"/>
            <w:tcBorders>
              <w:top w:val="single" w:sz="4" w:space="0" w:color="auto"/>
              <w:bottom w:val="single" w:sz="4" w:space="0" w:color="auto"/>
            </w:tcBorders>
            <w:shd w:val="clear" w:color="auto" w:fill="FFFFFF" w:themeFill="background1"/>
          </w:tcPr>
          <w:p w14:paraId="7DBB4CF6" w14:textId="77777777" w:rsidR="00557CB3" w:rsidRPr="002740EA" w:rsidRDefault="00557CB3" w:rsidP="000C6B37">
            <w:pPr>
              <w:spacing w:line="240" w:lineRule="atLeast"/>
              <w:ind w:right="102"/>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El supuesto </w:t>
            </w:r>
            <w:r w:rsidRPr="002740EA">
              <w:rPr>
                <w:rFonts w:eastAsia="Times New Roman" w:cs="Arial"/>
                <w:b/>
                <w:color w:val="000000" w:themeColor="text1"/>
                <w:sz w:val="16"/>
                <w:szCs w:val="16"/>
              </w:rPr>
              <w:t>presenta área de oportunidad</w:t>
            </w:r>
            <w:r w:rsidRPr="002740EA">
              <w:rPr>
                <w:rFonts w:eastAsia="Times New Roman" w:cs="Arial"/>
                <w:color w:val="000000" w:themeColor="text1"/>
                <w:sz w:val="16"/>
                <w:szCs w:val="16"/>
              </w:rPr>
              <w:t>, ya que contiene las siguientes características:</w:t>
            </w:r>
          </w:p>
          <w:p w14:paraId="15846B30" w14:textId="77777777" w:rsidR="00557CB3" w:rsidRPr="002740EA" w:rsidRDefault="00557CB3" w:rsidP="000C6B37">
            <w:pPr>
              <w:spacing w:line="240" w:lineRule="atLeast"/>
              <w:ind w:right="102"/>
              <w:jc w:val="both"/>
              <w:rPr>
                <w:rFonts w:eastAsia="Times New Roman" w:cs="Arial"/>
                <w:b/>
                <w:color w:val="000000" w:themeColor="text1"/>
                <w:sz w:val="16"/>
                <w:szCs w:val="16"/>
              </w:rPr>
            </w:pPr>
          </w:p>
          <w:p w14:paraId="1410C09F"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Es un factor externo probable de ocurrir. </w:t>
            </w:r>
          </w:p>
          <w:p w14:paraId="61BA3F5E"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411DEE69" w14:textId="77777777" w:rsidR="00557CB3" w:rsidRPr="002740EA" w:rsidRDefault="00557CB3" w:rsidP="000C6B37">
            <w:pPr>
              <w:pStyle w:val="Prrafodelista"/>
              <w:numPr>
                <w:ilvl w:val="0"/>
                <w:numId w:val="10"/>
              </w:numPr>
              <w:spacing w:after="0" w:line="240" w:lineRule="atLeast"/>
              <w:jc w:val="both"/>
              <w:rPr>
                <w:rFonts w:cs="Arial"/>
                <w:color w:val="000000" w:themeColor="text1"/>
                <w:sz w:val="18"/>
                <w:szCs w:val="18"/>
              </w:rPr>
            </w:pPr>
            <w:r w:rsidRPr="002740EA">
              <w:rPr>
                <w:rFonts w:eastAsia="Times New Roman" w:cs="Arial"/>
                <w:color w:val="000000" w:themeColor="text1"/>
                <w:sz w:val="16"/>
                <w:szCs w:val="16"/>
              </w:rPr>
              <w:t xml:space="preserve">Sin embargo, el supuesto no está en el nivel apropiado de la MIR. </w:t>
            </w:r>
          </w:p>
        </w:tc>
      </w:tr>
      <w:tr w:rsidR="00557CB3" w:rsidRPr="002740EA" w14:paraId="073902BC" w14:textId="77777777" w:rsidTr="000C0D35">
        <w:tc>
          <w:tcPr>
            <w:tcW w:w="992" w:type="pct"/>
            <w:vMerge w:val="restart"/>
            <w:tcBorders>
              <w:top w:val="single" w:sz="4" w:space="0" w:color="auto"/>
            </w:tcBorders>
            <w:shd w:val="clear" w:color="auto" w:fill="FFFFFF" w:themeFill="background1"/>
          </w:tcPr>
          <w:p w14:paraId="7F72627F" w14:textId="77777777" w:rsidR="00557CB3" w:rsidRPr="002740EA" w:rsidRDefault="00557CB3" w:rsidP="000C6B37">
            <w:pPr>
              <w:spacing w:line="240" w:lineRule="atLeast"/>
              <w:jc w:val="both"/>
              <w:rPr>
                <w:rFonts w:cs="Arial"/>
                <w:color w:val="000000" w:themeColor="text1"/>
                <w:sz w:val="18"/>
                <w:szCs w:val="18"/>
              </w:rPr>
            </w:pPr>
          </w:p>
        </w:tc>
        <w:tc>
          <w:tcPr>
            <w:tcW w:w="791" w:type="pct"/>
            <w:tcBorders>
              <w:top w:val="single" w:sz="4" w:space="0" w:color="auto"/>
            </w:tcBorders>
            <w:shd w:val="clear" w:color="auto" w:fill="FFFFFF" w:themeFill="background1"/>
          </w:tcPr>
          <w:p w14:paraId="6239ACC1"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8"/>
                <w:szCs w:val="18"/>
              </w:rPr>
              <w:t>C02-02</w:t>
            </w:r>
          </w:p>
        </w:tc>
        <w:tc>
          <w:tcPr>
            <w:tcW w:w="736" w:type="pct"/>
            <w:tcBorders>
              <w:top w:val="single" w:sz="4" w:space="0" w:color="auto"/>
            </w:tcBorders>
            <w:shd w:val="clear" w:color="auto" w:fill="FFFFFF" w:themeFill="background1"/>
          </w:tcPr>
          <w:p w14:paraId="59A54373"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Programas educativos evaluables de calidad ofertados</w:t>
            </w:r>
          </w:p>
        </w:tc>
        <w:tc>
          <w:tcPr>
            <w:tcW w:w="816" w:type="pct"/>
            <w:tcBorders>
              <w:top w:val="single" w:sz="4" w:space="0" w:color="auto"/>
            </w:tcBorders>
            <w:shd w:val="clear" w:color="auto" w:fill="FFFFFF" w:themeFill="background1"/>
          </w:tcPr>
          <w:p w14:paraId="34197CBA"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La calidad de la educación superior continua siendo prioridad nacional</w:t>
            </w:r>
          </w:p>
        </w:tc>
        <w:tc>
          <w:tcPr>
            <w:tcW w:w="1662" w:type="pct"/>
            <w:tcBorders>
              <w:top w:val="single" w:sz="4" w:space="0" w:color="auto"/>
            </w:tcBorders>
            <w:shd w:val="clear" w:color="auto" w:fill="FFFFFF" w:themeFill="background1"/>
          </w:tcPr>
          <w:p w14:paraId="50D2BF44" w14:textId="77777777" w:rsidR="00557CB3" w:rsidRPr="002740EA" w:rsidRDefault="00557CB3" w:rsidP="000C6B37">
            <w:pPr>
              <w:spacing w:line="240" w:lineRule="atLeast"/>
              <w:ind w:right="102"/>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El supuesto presenta </w:t>
            </w:r>
            <w:r w:rsidRPr="002740EA">
              <w:rPr>
                <w:rFonts w:eastAsia="Times New Roman" w:cs="Arial"/>
                <w:b/>
                <w:color w:val="000000" w:themeColor="text1"/>
                <w:sz w:val="16"/>
                <w:szCs w:val="16"/>
              </w:rPr>
              <w:t>área de oportunidad,</w:t>
            </w:r>
            <w:r w:rsidRPr="002740EA">
              <w:rPr>
                <w:rFonts w:eastAsia="Times New Roman" w:cs="Arial"/>
                <w:color w:val="000000" w:themeColor="text1"/>
                <w:sz w:val="16"/>
                <w:szCs w:val="16"/>
              </w:rPr>
              <w:t xml:space="preserve"> ya que contiene las siguientes características:</w:t>
            </w:r>
          </w:p>
          <w:p w14:paraId="4000696C" w14:textId="77777777" w:rsidR="00557CB3" w:rsidRPr="002740EA" w:rsidRDefault="00557CB3" w:rsidP="000C6B37">
            <w:pPr>
              <w:spacing w:line="240" w:lineRule="atLeast"/>
              <w:ind w:right="102"/>
              <w:jc w:val="both"/>
              <w:rPr>
                <w:rFonts w:eastAsia="Times New Roman" w:cs="Arial"/>
                <w:b/>
                <w:color w:val="000000" w:themeColor="text1"/>
                <w:sz w:val="16"/>
                <w:szCs w:val="16"/>
              </w:rPr>
            </w:pPr>
          </w:p>
          <w:p w14:paraId="6AD92647"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Es un factor externo probable de ocurrir. </w:t>
            </w:r>
          </w:p>
          <w:p w14:paraId="279E6E07"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7C41E69D" w14:textId="70A7A18B" w:rsidR="00557CB3" w:rsidRPr="0007748D"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Sin embargo, el supuesto no se encuentra ubicado en el nivel apropiado de la MIR.</w:t>
            </w:r>
          </w:p>
        </w:tc>
      </w:tr>
      <w:tr w:rsidR="00557CB3" w:rsidRPr="002740EA" w14:paraId="66E30756" w14:textId="77777777" w:rsidTr="000C0D35">
        <w:tc>
          <w:tcPr>
            <w:tcW w:w="992" w:type="pct"/>
            <w:vMerge/>
            <w:shd w:val="clear" w:color="auto" w:fill="FFFFFF" w:themeFill="background1"/>
          </w:tcPr>
          <w:p w14:paraId="312A96C7" w14:textId="77777777" w:rsidR="00557CB3" w:rsidRPr="002740EA" w:rsidRDefault="00557CB3" w:rsidP="000C6B37">
            <w:pPr>
              <w:spacing w:line="240" w:lineRule="atLeast"/>
              <w:jc w:val="both"/>
              <w:rPr>
                <w:rFonts w:cs="Arial"/>
                <w:color w:val="000000" w:themeColor="text1"/>
                <w:sz w:val="18"/>
                <w:szCs w:val="18"/>
              </w:rPr>
            </w:pPr>
          </w:p>
        </w:tc>
        <w:tc>
          <w:tcPr>
            <w:tcW w:w="791" w:type="pct"/>
            <w:tcBorders>
              <w:bottom w:val="single" w:sz="4" w:space="0" w:color="auto"/>
            </w:tcBorders>
            <w:shd w:val="clear" w:color="auto" w:fill="FFFFFF" w:themeFill="background1"/>
          </w:tcPr>
          <w:p w14:paraId="49E717C6"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8"/>
                <w:szCs w:val="18"/>
              </w:rPr>
              <w:t>C02 A03</w:t>
            </w:r>
          </w:p>
        </w:tc>
        <w:tc>
          <w:tcPr>
            <w:tcW w:w="736" w:type="pct"/>
            <w:tcBorders>
              <w:bottom w:val="single" w:sz="4" w:space="0" w:color="auto"/>
            </w:tcBorders>
            <w:shd w:val="clear" w:color="auto" w:fill="FFFFFF" w:themeFill="background1"/>
          </w:tcPr>
          <w:p w14:paraId="4187EBB5"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Revisión y actualización de planes de estudios.</w:t>
            </w:r>
          </w:p>
        </w:tc>
        <w:tc>
          <w:tcPr>
            <w:tcW w:w="816" w:type="pct"/>
            <w:tcBorders>
              <w:bottom w:val="single" w:sz="4" w:space="0" w:color="auto"/>
            </w:tcBorders>
            <w:shd w:val="clear" w:color="auto" w:fill="FFFFFF" w:themeFill="background1"/>
          </w:tcPr>
          <w:p w14:paraId="166A645C"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Se conserva el actual modelo educativo.</w:t>
            </w:r>
          </w:p>
        </w:tc>
        <w:tc>
          <w:tcPr>
            <w:tcW w:w="1662" w:type="pct"/>
            <w:tcBorders>
              <w:bottom w:val="single" w:sz="4" w:space="0" w:color="auto"/>
            </w:tcBorders>
            <w:shd w:val="clear" w:color="auto" w:fill="FFFFFF" w:themeFill="background1"/>
          </w:tcPr>
          <w:p w14:paraId="0A98DC97" w14:textId="77777777" w:rsidR="00557CB3" w:rsidRPr="002740EA" w:rsidRDefault="00557CB3" w:rsidP="000C6B37">
            <w:pPr>
              <w:spacing w:line="240" w:lineRule="atLeast"/>
              <w:ind w:right="102"/>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El supuesto </w:t>
            </w:r>
            <w:r w:rsidRPr="002740EA">
              <w:rPr>
                <w:rFonts w:eastAsia="Times New Roman" w:cs="Arial"/>
                <w:b/>
                <w:color w:val="000000" w:themeColor="text1"/>
                <w:sz w:val="16"/>
                <w:szCs w:val="16"/>
              </w:rPr>
              <w:t>presenta área de oportunidad,</w:t>
            </w:r>
            <w:r w:rsidRPr="002740EA">
              <w:rPr>
                <w:rFonts w:eastAsia="Times New Roman" w:cs="Arial"/>
                <w:color w:val="000000" w:themeColor="text1"/>
                <w:sz w:val="16"/>
                <w:szCs w:val="16"/>
              </w:rPr>
              <w:t xml:space="preserve"> ya que contiene las siguientes características:</w:t>
            </w:r>
          </w:p>
          <w:p w14:paraId="2553450E" w14:textId="77777777" w:rsidR="00557CB3" w:rsidRPr="002740EA" w:rsidRDefault="00557CB3" w:rsidP="000C6B37">
            <w:pPr>
              <w:spacing w:line="240" w:lineRule="atLeast"/>
              <w:ind w:right="102"/>
              <w:jc w:val="both"/>
              <w:rPr>
                <w:rFonts w:eastAsia="Times New Roman" w:cs="Arial"/>
                <w:b/>
                <w:color w:val="000000" w:themeColor="text1"/>
                <w:sz w:val="16"/>
                <w:szCs w:val="16"/>
              </w:rPr>
            </w:pPr>
          </w:p>
          <w:p w14:paraId="068CE668"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 Se encuentra redactado en relación directa con el objetivo. </w:t>
            </w:r>
          </w:p>
          <w:p w14:paraId="666FDFB9"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6CE6A208" w14:textId="77777777" w:rsidR="00557CB3" w:rsidRPr="002740EA" w:rsidRDefault="00557CB3" w:rsidP="004725C8">
            <w:pPr>
              <w:pStyle w:val="Prrafodelista"/>
              <w:numPr>
                <w:ilvl w:val="0"/>
                <w:numId w:val="10"/>
              </w:numPr>
              <w:spacing w:after="0" w:line="240" w:lineRule="atLeast"/>
              <w:jc w:val="both"/>
              <w:rPr>
                <w:rFonts w:cs="Arial"/>
                <w:color w:val="000000" w:themeColor="text1"/>
                <w:sz w:val="18"/>
                <w:szCs w:val="18"/>
              </w:rPr>
            </w:pPr>
            <w:r w:rsidRPr="002740EA">
              <w:rPr>
                <w:rFonts w:eastAsia="Times New Roman" w:cs="Arial"/>
                <w:color w:val="000000" w:themeColor="text1"/>
                <w:sz w:val="16"/>
                <w:szCs w:val="16"/>
              </w:rPr>
              <w:t>Sin embargo, el supuesto se encuentra dentro de la gestión de los operadores del programa.</w:t>
            </w:r>
          </w:p>
        </w:tc>
      </w:tr>
      <w:tr w:rsidR="00557CB3" w:rsidRPr="002740EA" w14:paraId="4395A656" w14:textId="77777777" w:rsidTr="000C0D35">
        <w:tc>
          <w:tcPr>
            <w:tcW w:w="992" w:type="pct"/>
            <w:vMerge/>
            <w:shd w:val="clear" w:color="auto" w:fill="FFFFFF" w:themeFill="background1"/>
          </w:tcPr>
          <w:p w14:paraId="2E9D66F4" w14:textId="77777777" w:rsidR="00557CB3" w:rsidRPr="002740EA" w:rsidRDefault="00557CB3" w:rsidP="000C6B37">
            <w:pPr>
              <w:spacing w:line="240" w:lineRule="atLeast"/>
              <w:jc w:val="both"/>
              <w:rPr>
                <w:rFonts w:cs="Arial"/>
                <w:color w:val="000000" w:themeColor="text1"/>
                <w:sz w:val="18"/>
                <w:szCs w:val="18"/>
              </w:rPr>
            </w:pPr>
          </w:p>
        </w:tc>
        <w:tc>
          <w:tcPr>
            <w:tcW w:w="791" w:type="pct"/>
            <w:tcBorders>
              <w:top w:val="single" w:sz="4" w:space="0" w:color="auto"/>
              <w:bottom w:val="single" w:sz="4" w:space="0" w:color="auto"/>
            </w:tcBorders>
            <w:shd w:val="clear" w:color="auto" w:fill="FFFFFF" w:themeFill="background1"/>
          </w:tcPr>
          <w:p w14:paraId="67836A04"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8"/>
                <w:szCs w:val="18"/>
              </w:rPr>
              <w:t>C03 A01</w:t>
            </w:r>
          </w:p>
        </w:tc>
        <w:tc>
          <w:tcPr>
            <w:tcW w:w="736" w:type="pct"/>
            <w:tcBorders>
              <w:top w:val="single" w:sz="4" w:space="0" w:color="auto"/>
              <w:bottom w:val="single" w:sz="4" w:space="0" w:color="auto"/>
            </w:tcBorders>
            <w:shd w:val="clear" w:color="auto" w:fill="FFFFFF" w:themeFill="background1"/>
          </w:tcPr>
          <w:p w14:paraId="37871151"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Impulso a la cooperación académica.</w:t>
            </w:r>
          </w:p>
        </w:tc>
        <w:tc>
          <w:tcPr>
            <w:tcW w:w="816" w:type="pct"/>
            <w:tcBorders>
              <w:top w:val="single" w:sz="4" w:space="0" w:color="auto"/>
              <w:bottom w:val="single" w:sz="4" w:space="0" w:color="auto"/>
            </w:tcBorders>
            <w:shd w:val="clear" w:color="auto" w:fill="FFFFFF" w:themeFill="background1"/>
          </w:tcPr>
          <w:p w14:paraId="53B01F8D"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Los convenios de movilidad nacional y extranjera continúan vigentes.</w:t>
            </w:r>
          </w:p>
        </w:tc>
        <w:tc>
          <w:tcPr>
            <w:tcW w:w="1662" w:type="pct"/>
            <w:tcBorders>
              <w:top w:val="single" w:sz="4" w:space="0" w:color="auto"/>
              <w:bottom w:val="single" w:sz="4" w:space="0" w:color="auto"/>
            </w:tcBorders>
            <w:shd w:val="clear" w:color="auto" w:fill="FFFFFF" w:themeFill="background1"/>
          </w:tcPr>
          <w:p w14:paraId="26B736DF" w14:textId="30DD1945" w:rsidR="00557CB3" w:rsidRPr="002740EA" w:rsidRDefault="00557CB3" w:rsidP="000C6B37">
            <w:pPr>
              <w:spacing w:line="240" w:lineRule="atLeast"/>
              <w:ind w:right="102"/>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El supuesto </w:t>
            </w:r>
            <w:r w:rsidRPr="002740EA">
              <w:rPr>
                <w:rFonts w:eastAsia="Times New Roman" w:cs="Arial"/>
                <w:b/>
                <w:color w:val="000000" w:themeColor="text1"/>
                <w:sz w:val="16"/>
                <w:szCs w:val="16"/>
              </w:rPr>
              <w:t>presenta área de oportunidad</w:t>
            </w:r>
            <w:r w:rsidRPr="002740EA">
              <w:rPr>
                <w:rFonts w:eastAsia="Times New Roman" w:cs="Arial"/>
                <w:color w:val="000000" w:themeColor="text1"/>
                <w:sz w:val="16"/>
                <w:szCs w:val="16"/>
              </w:rPr>
              <w:t>, ya que contiene las siguientes características:</w:t>
            </w:r>
          </w:p>
          <w:p w14:paraId="5DC0C9E6"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 xml:space="preserve"> Se encuentra redactado en relación directa con el objetivo. </w:t>
            </w:r>
          </w:p>
          <w:p w14:paraId="480E61EF" w14:textId="77777777" w:rsidR="00557CB3" w:rsidRPr="002740EA" w:rsidRDefault="00557CB3" w:rsidP="000C6B37">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6ACFDE72" w14:textId="77777777" w:rsidR="00557CB3" w:rsidRPr="002740EA" w:rsidRDefault="00557CB3" w:rsidP="003007D9">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Asimismo, el supuesto se encuentra dentro de la gestión de los operadores del programa.</w:t>
            </w:r>
          </w:p>
        </w:tc>
      </w:tr>
      <w:tr w:rsidR="00557CB3" w:rsidRPr="002740EA" w14:paraId="5A70CF9B" w14:textId="77777777" w:rsidTr="000C0D35">
        <w:tc>
          <w:tcPr>
            <w:tcW w:w="992" w:type="pct"/>
            <w:tcBorders>
              <w:bottom w:val="single" w:sz="4" w:space="0" w:color="auto"/>
            </w:tcBorders>
            <w:shd w:val="clear" w:color="auto" w:fill="FFFFFF" w:themeFill="background1"/>
          </w:tcPr>
          <w:p w14:paraId="5F1B12DF" w14:textId="77777777" w:rsidR="00557CB3" w:rsidRPr="002740EA" w:rsidRDefault="00557CB3" w:rsidP="000C6B37">
            <w:pPr>
              <w:spacing w:line="240" w:lineRule="atLeast"/>
              <w:ind w:left="708"/>
              <w:jc w:val="both"/>
              <w:rPr>
                <w:rFonts w:cs="Arial"/>
                <w:color w:val="000000" w:themeColor="text1"/>
                <w:sz w:val="18"/>
                <w:szCs w:val="18"/>
              </w:rPr>
            </w:pPr>
            <w:r w:rsidRPr="002740EA">
              <w:rPr>
                <w:rFonts w:cs="Arial"/>
                <w:color w:val="000000" w:themeColor="text1"/>
                <w:sz w:val="16"/>
                <w:szCs w:val="16"/>
                <w:lang w:val="es-ES_tradnl"/>
              </w:rPr>
              <w:t>M</w:t>
            </w:r>
            <w:r w:rsidRPr="002740EA">
              <w:rPr>
                <w:rFonts w:cs="Arial"/>
                <w:color w:val="000000" w:themeColor="text1"/>
                <w:sz w:val="16"/>
                <w:szCs w:val="16"/>
              </w:rPr>
              <w:t>001 - Gestión y Apoyo Institucional</w:t>
            </w:r>
            <w:r w:rsidRPr="002740EA">
              <w:rPr>
                <w:rFonts w:eastAsia="Times New Roman" w:cs="Arial"/>
                <w:bCs/>
                <w:color w:val="000000" w:themeColor="text1"/>
                <w:sz w:val="16"/>
                <w:szCs w:val="16"/>
              </w:rPr>
              <w:t>.</w:t>
            </w:r>
          </w:p>
        </w:tc>
        <w:tc>
          <w:tcPr>
            <w:tcW w:w="791" w:type="pct"/>
            <w:tcBorders>
              <w:top w:val="single" w:sz="4" w:space="0" w:color="auto"/>
              <w:bottom w:val="single" w:sz="4" w:space="0" w:color="auto"/>
            </w:tcBorders>
            <w:shd w:val="clear" w:color="auto" w:fill="FFFFFF" w:themeFill="background1"/>
          </w:tcPr>
          <w:p w14:paraId="2CAFE8DA" w14:textId="77777777" w:rsidR="00557CB3" w:rsidRPr="002740EA" w:rsidRDefault="00557CB3" w:rsidP="000C6B37">
            <w:pPr>
              <w:spacing w:line="240" w:lineRule="atLeast"/>
              <w:ind w:left="708"/>
              <w:jc w:val="both"/>
              <w:rPr>
                <w:rFonts w:cs="Arial"/>
                <w:color w:val="000000" w:themeColor="text1"/>
                <w:sz w:val="18"/>
                <w:szCs w:val="18"/>
              </w:rPr>
            </w:pPr>
            <w:r w:rsidRPr="002740EA">
              <w:rPr>
                <w:rFonts w:cs="Arial"/>
                <w:color w:val="000000" w:themeColor="text1"/>
                <w:sz w:val="18"/>
                <w:szCs w:val="18"/>
              </w:rPr>
              <w:t>C01 A01</w:t>
            </w:r>
          </w:p>
        </w:tc>
        <w:tc>
          <w:tcPr>
            <w:tcW w:w="736" w:type="pct"/>
            <w:tcBorders>
              <w:top w:val="single" w:sz="4" w:space="0" w:color="auto"/>
              <w:bottom w:val="single" w:sz="4" w:space="0" w:color="auto"/>
            </w:tcBorders>
            <w:shd w:val="clear" w:color="auto" w:fill="FFFFFF" w:themeFill="background1"/>
          </w:tcPr>
          <w:p w14:paraId="7384C5FD"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Actividades de facilitación (apoyo) desarrolladas para el cumplimiento de metas de las áreas sustantivas</w:t>
            </w:r>
          </w:p>
        </w:tc>
        <w:tc>
          <w:tcPr>
            <w:tcW w:w="816" w:type="pct"/>
            <w:tcBorders>
              <w:top w:val="single" w:sz="4" w:space="0" w:color="auto"/>
              <w:bottom w:val="single" w:sz="4" w:space="0" w:color="auto"/>
            </w:tcBorders>
            <w:shd w:val="clear" w:color="auto" w:fill="FFFFFF" w:themeFill="background1"/>
          </w:tcPr>
          <w:p w14:paraId="47AC7019"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Las áreas sustantivas programan metas realistas de lograrse.</w:t>
            </w:r>
          </w:p>
        </w:tc>
        <w:tc>
          <w:tcPr>
            <w:tcW w:w="1662" w:type="pct"/>
            <w:tcBorders>
              <w:top w:val="single" w:sz="4" w:space="0" w:color="auto"/>
              <w:bottom w:val="single" w:sz="4" w:space="0" w:color="auto"/>
            </w:tcBorders>
            <w:shd w:val="clear" w:color="auto" w:fill="FFFFFF" w:themeFill="background1"/>
          </w:tcPr>
          <w:p w14:paraId="3D554C38" w14:textId="77777777" w:rsidR="00557CB3" w:rsidRPr="002740EA" w:rsidRDefault="00557CB3" w:rsidP="000C6B37">
            <w:pPr>
              <w:spacing w:line="240" w:lineRule="atLeast"/>
              <w:ind w:right="68"/>
              <w:jc w:val="both"/>
              <w:rPr>
                <w:rFonts w:eastAsia="Times New Roman" w:cs="Arial"/>
                <w:color w:val="000000" w:themeColor="text1"/>
                <w:sz w:val="16"/>
                <w:szCs w:val="16"/>
              </w:rPr>
            </w:pPr>
            <w:r w:rsidRPr="002740EA">
              <w:rPr>
                <w:rFonts w:eastAsia="Times New Roman" w:cs="Arial"/>
                <w:color w:val="000000" w:themeColor="text1"/>
                <w:sz w:val="16"/>
                <w:szCs w:val="16"/>
              </w:rPr>
              <w:t>El supuesto presenta área de oportunidad, ya que contiene las siguientes características:</w:t>
            </w:r>
          </w:p>
          <w:p w14:paraId="0C59D1B8" w14:textId="77777777" w:rsidR="00557CB3" w:rsidRPr="002740EA" w:rsidRDefault="00557CB3" w:rsidP="00A619B4">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Se encuentra redactado en relación directa con el objetivo.</w:t>
            </w:r>
          </w:p>
          <w:p w14:paraId="6CCF3D5C" w14:textId="77777777" w:rsidR="00557CB3" w:rsidRPr="002740EA" w:rsidRDefault="00557CB3" w:rsidP="00A619B4">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6571D121" w14:textId="77777777" w:rsidR="00557CB3" w:rsidRPr="002740EA" w:rsidRDefault="00557CB3" w:rsidP="00CC4E0C">
            <w:pPr>
              <w:pStyle w:val="Prrafodelista"/>
              <w:numPr>
                <w:ilvl w:val="0"/>
                <w:numId w:val="10"/>
              </w:numPr>
              <w:spacing w:after="0" w:line="240" w:lineRule="atLeast"/>
              <w:jc w:val="both"/>
              <w:rPr>
                <w:rFonts w:cs="Arial"/>
                <w:color w:val="000000" w:themeColor="text1"/>
                <w:sz w:val="18"/>
                <w:szCs w:val="18"/>
              </w:rPr>
            </w:pPr>
            <w:r w:rsidRPr="002740EA">
              <w:rPr>
                <w:rFonts w:eastAsia="Times New Roman" w:cs="Arial"/>
                <w:color w:val="000000" w:themeColor="text1"/>
                <w:sz w:val="16"/>
                <w:szCs w:val="16"/>
              </w:rPr>
              <w:t>Sin embargo, su ocurrencia se encuentra dentro de la gestión de los ejecutores del programa.</w:t>
            </w:r>
          </w:p>
        </w:tc>
      </w:tr>
      <w:tr w:rsidR="00557CB3" w:rsidRPr="002740EA" w14:paraId="1E0544B8" w14:textId="77777777" w:rsidTr="000C0D35">
        <w:tc>
          <w:tcPr>
            <w:tcW w:w="992" w:type="pct"/>
            <w:tcBorders>
              <w:top w:val="single" w:sz="4" w:space="0" w:color="auto"/>
            </w:tcBorders>
            <w:shd w:val="clear" w:color="auto" w:fill="FFFFFF" w:themeFill="background1"/>
          </w:tcPr>
          <w:p w14:paraId="34D94760" w14:textId="77777777" w:rsidR="00557CB3" w:rsidRPr="002740EA" w:rsidRDefault="00557CB3" w:rsidP="000C6B37">
            <w:pPr>
              <w:spacing w:line="240" w:lineRule="atLeast"/>
              <w:ind w:left="708"/>
              <w:jc w:val="both"/>
              <w:rPr>
                <w:rFonts w:cs="Arial"/>
                <w:color w:val="000000" w:themeColor="text1"/>
                <w:sz w:val="16"/>
                <w:szCs w:val="16"/>
                <w:lang w:val="es-ES_tradnl"/>
              </w:rPr>
            </w:pPr>
          </w:p>
        </w:tc>
        <w:tc>
          <w:tcPr>
            <w:tcW w:w="791" w:type="pct"/>
            <w:tcBorders>
              <w:top w:val="single" w:sz="4" w:space="0" w:color="auto"/>
            </w:tcBorders>
            <w:shd w:val="clear" w:color="auto" w:fill="FFFFFF" w:themeFill="background1"/>
          </w:tcPr>
          <w:p w14:paraId="0E93EE18" w14:textId="77777777" w:rsidR="00557CB3" w:rsidRPr="002740EA" w:rsidRDefault="00557CB3" w:rsidP="000C6B37">
            <w:pPr>
              <w:spacing w:line="240" w:lineRule="atLeast"/>
              <w:ind w:left="708"/>
              <w:jc w:val="both"/>
              <w:rPr>
                <w:rFonts w:cs="Arial"/>
                <w:color w:val="000000" w:themeColor="text1"/>
                <w:sz w:val="18"/>
                <w:szCs w:val="18"/>
              </w:rPr>
            </w:pPr>
            <w:r w:rsidRPr="002740EA">
              <w:rPr>
                <w:rFonts w:cs="Arial"/>
                <w:color w:val="000000" w:themeColor="text1"/>
                <w:sz w:val="18"/>
                <w:szCs w:val="18"/>
              </w:rPr>
              <w:t>C01 A01</w:t>
            </w:r>
          </w:p>
        </w:tc>
        <w:tc>
          <w:tcPr>
            <w:tcW w:w="736" w:type="pct"/>
            <w:tcBorders>
              <w:top w:val="single" w:sz="4" w:space="0" w:color="auto"/>
            </w:tcBorders>
            <w:shd w:val="clear" w:color="auto" w:fill="FFFFFF" w:themeFill="background1"/>
          </w:tcPr>
          <w:p w14:paraId="5C21B561" w14:textId="77777777" w:rsidR="00557CB3" w:rsidRPr="002740EA" w:rsidRDefault="00557CB3" w:rsidP="000C6B37">
            <w:pPr>
              <w:spacing w:line="240" w:lineRule="atLeast"/>
              <w:jc w:val="both"/>
              <w:rPr>
                <w:rFonts w:cs="Arial"/>
                <w:color w:val="000000" w:themeColor="text1"/>
                <w:sz w:val="18"/>
                <w:szCs w:val="18"/>
              </w:rPr>
            </w:pPr>
            <w:r w:rsidRPr="002740EA">
              <w:rPr>
                <w:rFonts w:cs="Arial"/>
                <w:color w:val="000000" w:themeColor="text1"/>
                <w:sz w:val="16"/>
                <w:szCs w:val="16"/>
              </w:rPr>
              <w:t>Asistencia a las áreas sustantivas en funciones administrativas, jurídicas, de planeación, relaciones públicas u otras funciones de staff</w:t>
            </w:r>
          </w:p>
        </w:tc>
        <w:tc>
          <w:tcPr>
            <w:tcW w:w="816" w:type="pct"/>
            <w:tcBorders>
              <w:top w:val="single" w:sz="4" w:space="0" w:color="auto"/>
            </w:tcBorders>
            <w:shd w:val="clear" w:color="auto" w:fill="FFFFFF" w:themeFill="background1"/>
          </w:tcPr>
          <w:p w14:paraId="14383FF4" w14:textId="77777777" w:rsidR="00557CB3" w:rsidRPr="002740EA" w:rsidRDefault="00557CB3" w:rsidP="000C6B37">
            <w:pPr>
              <w:autoSpaceDE w:val="0"/>
              <w:autoSpaceDN w:val="0"/>
              <w:adjustRightInd w:val="0"/>
              <w:spacing w:line="240" w:lineRule="atLeast"/>
              <w:jc w:val="both"/>
              <w:rPr>
                <w:rFonts w:cs="Arial"/>
                <w:color w:val="000000" w:themeColor="text1"/>
                <w:sz w:val="18"/>
                <w:szCs w:val="18"/>
              </w:rPr>
            </w:pPr>
            <w:r w:rsidRPr="002740EA">
              <w:rPr>
                <w:rFonts w:cs="Arial"/>
                <w:color w:val="000000" w:themeColor="text1"/>
                <w:sz w:val="16"/>
                <w:szCs w:val="16"/>
              </w:rPr>
              <w:t>Las áreas sustantivas solicitan con oportunidad funciones administrativas, jurídicas, de planeación, relaciones públicas u otras funciones de staff.</w:t>
            </w:r>
          </w:p>
        </w:tc>
        <w:tc>
          <w:tcPr>
            <w:tcW w:w="1662" w:type="pct"/>
            <w:tcBorders>
              <w:top w:val="single" w:sz="4" w:space="0" w:color="auto"/>
            </w:tcBorders>
            <w:shd w:val="clear" w:color="auto" w:fill="FFFFFF" w:themeFill="background1"/>
          </w:tcPr>
          <w:p w14:paraId="4CFA34D4" w14:textId="77777777" w:rsidR="00557CB3" w:rsidRPr="002740EA" w:rsidRDefault="00557CB3" w:rsidP="000C6B37">
            <w:pPr>
              <w:spacing w:line="240" w:lineRule="atLeast"/>
              <w:ind w:right="68"/>
              <w:jc w:val="both"/>
              <w:rPr>
                <w:rFonts w:eastAsia="Times New Roman" w:cs="Arial"/>
                <w:color w:val="000000" w:themeColor="text1"/>
                <w:sz w:val="16"/>
                <w:szCs w:val="16"/>
              </w:rPr>
            </w:pPr>
            <w:r w:rsidRPr="002740EA">
              <w:rPr>
                <w:rFonts w:eastAsia="Times New Roman" w:cs="Arial"/>
                <w:color w:val="000000" w:themeColor="text1"/>
                <w:sz w:val="16"/>
                <w:szCs w:val="16"/>
              </w:rPr>
              <w:t>El supuesto presenta área de oportunidad, ya que contiene las siguientes características:</w:t>
            </w:r>
          </w:p>
          <w:p w14:paraId="35C983E8" w14:textId="77777777" w:rsidR="00557CB3" w:rsidRPr="002740EA" w:rsidRDefault="00557CB3" w:rsidP="00A619B4">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Se encuentra redactado en relación directa con el objetivo.</w:t>
            </w:r>
          </w:p>
          <w:p w14:paraId="0ED61B6C" w14:textId="77777777" w:rsidR="00557CB3" w:rsidRPr="002740EA" w:rsidRDefault="00557CB3" w:rsidP="00A619B4">
            <w:pPr>
              <w:pStyle w:val="Prrafodelista"/>
              <w:numPr>
                <w:ilvl w:val="0"/>
                <w:numId w:val="10"/>
              </w:numPr>
              <w:spacing w:after="0" w:line="240" w:lineRule="atLeast"/>
              <w:jc w:val="both"/>
              <w:rPr>
                <w:rFonts w:eastAsia="Times New Roman" w:cs="Arial"/>
                <w:color w:val="000000" w:themeColor="text1"/>
                <w:sz w:val="16"/>
                <w:szCs w:val="16"/>
              </w:rPr>
            </w:pPr>
            <w:r w:rsidRPr="002740EA">
              <w:rPr>
                <w:rFonts w:eastAsia="Times New Roman" w:cs="Arial"/>
                <w:color w:val="000000" w:themeColor="text1"/>
                <w:sz w:val="16"/>
                <w:szCs w:val="16"/>
              </w:rPr>
              <w:t>Está expresado como una condición positiva que tiene que cumplirse.</w:t>
            </w:r>
          </w:p>
          <w:p w14:paraId="46E6C44B" w14:textId="77777777" w:rsidR="00557CB3" w:rsidRPr="002740EA" w:rsidRDefault="00557CB3" w:rsidP="00CC4E0C">
            <w:pPr>
              <w:pStyle w:val="Prrafodelista"/>
              <w:numPr>
                <w:ilvl w:val="0"/>
                <w:numId w:val="10"/>
              </w:numPr>
              <w:spacing w:after="0" w:line="240" w:lineRule="atLeast"/>
              <w:jc w:val="both"/>
              <w:rPr>
                <w:rFonts w:cs="Arial"/>
                <w:color w:val="000000" w:themeColor="text1"/>
                <w:sz w:val="18"/>
                <w:szCs w:val="18"/>
              </w:rPr>
            </w:pPr>
            <w:r w:rsidRPr="002740EA">
              <w:rPr>
                <w:rFonts w:eastAsia="Times New Roman" w:cs="Arial"/>
                <w:color w:val="000000" w:themeColor="text1"/>
                <w:sz w:val="16"/>
                <w:szCs w:val="16"/>
              </w:rPr>
              <w:t>Sin embargo, su ocurrencia se encuentra dentro de la gestión de los ejecutores del programa.</w:t>
            </w:r>
          </w:p>
        </w:tc>
      </w:tr>
      <w:tr w:rsidR="00557CB3" w:rsidRPr="002740EA" w14:paraId="61BC41CB" w14:textId="77777777" w:rsidTr="000C0D35">
        <w:trPr>
          <w:cantSplit/>
        </w:trPr>
        <w:tc>
          <w:tcPr>
            <w:tcW w:w="5000" w:type="pct"/>
            <w:gridSpan w:val="5"/>
            <w:shd w:val="clear" w:color="auto" w:fill="FFFFFF" w:themeFill="background1"/>
          </w:tcPr>
          <w:p w14:paraId="26749671" w14:textId="77777777" w:rsidR="00557CB3" w:rsidRPr="002740EA" w:rsidRDefault="00557CB3" w:rsidP="000C6B37">
            <w:pPr>
              <w:spacing w:line="240" w:lineRule="atLeast"/>
              <w:ind w:right="68"/>
              <w:jc w:val="center"/>
              <w:rPr>
                <w:rFonts w:eastAsia="Times New Roman" w:cs="Arial"/>
                <w:color w:val="000000" w:themeColor="text1"/>
                <w:sz w:val="16"/>
                <w:szCs w:val="16"/>
              </w:rPr>
            </w:pPr>
            <w:r w:rsidRPr="002740EA">
              <w:rPr>
                <w:rFonts w:eastAsia="Times New Roman" w:cs="Arial"/>
                <w:color w:val="000000" w:themeColor="text1"/>
                <w:sz w:val="16"/>
                <w:szCs w:val="16"/>
              </w:rPr>
              <w:t>Fuente: elaborado por la ASEQROO, con base en información proporcionada por la UQROO.</w:t>
            </w:r>
          </w:p>
        </w:tc>
      </w:tr>
    </w:tbl>
    <w:p w14:paraId="3ABADEF9" w14:textId="77777777" w:rsidR="00B53EAE" w:rsidRPr="002740EA" w:rsidRDefault="00B53EAE" w:rsidP="000C6B37">
      <w:pPr>
        <w:spacing w:after="0" w:line="276" w:lineRule="auto"/>
        <w:jc w:val="both"/>
        <w:rPr>
          <w:rFonts w:cs="Arial"/>
          <w:color w:val="000000" w:themeColor="text1"/>
          <w:szCs w:val="24"/>
        </w:rPr>
      </w:pPr>
    </w:p>
    <w:p w14:paraId="20666954" w14:textId="6614EBDD" w:rsidR="00557CB3" w:rsidRPr="002740EA" w:rsidRDefault="00557CB3" w:rsidP="000C6B37">
      <w:pPr>
        <w:spacing w:after="0" w:line="276" w:lineRule="auto"/>
        <w:jc w:val="both"/>
        <w:rPr>
          <w:rFonts w:eastAsia="Times New Roman" w:cs="Arial"/>
          <w:szCs w:val="24"/>
          <w:lang w:eastAsia="es-ES"/>
        </w:rPr>
      </w:pPr>
      <w:r w:rsidRPr="002740EA">
        <w:rPr>
          <w:rFonts w:cs="Arial"/>
          <w:color w:val="000000" w:themeColor="text1"/>
          <w:szCs w:val="24"/>
        </w:rPr>
        <w:t xml:space="preserve">En este </w:t>
      </w:r>
      <w:r w:rsidRPr="002740EA">
        <w:rPr>
          <w:rFonts w:cs="Arial"/>
          <w:szCs w:val="24"/>
        </w:rPr>
        <w:t xml:space="preserve">sentido, se llevó a cabo la revisión y análisis de información correspondiente a los Programas Presupuestarios E103–Educación Superior y M001–Gestión y Apoyo Institucional presentados por la </w:t>
      </w:r>
      <w:r w:rsidRPr="002740EA">
        <w:rPr>
          <w:rFonts w:cs="Arial"/>
          <w:bCs/>
          <w:szCs w:val="24"/>
        </w:rPr>
        <w:t xml:space="preserve">Universidad de Quintana Roo, </w:t>
      </w:r>
      <w:r w:rsidRPr="002740EA">
        <w:rPr>
          <w:rFonts w:cs="Arial"/>
          <w:szCs w:val="24"/>
        </w:rPr>
        <w:t>con la finalidad de determinar si cumplen con la Lógica Vertical y Lógica Horizontal conforme a la Metodología del Marco Lógico (MML)</w:t>
      </w:r>
      <w:r w:rsidRPr="002740EA">
        <w:rPr>
          <w:rFonts w:eastAsia="Times New Roman" w:cs="Arial"/>
          <w:szCs w:val="24"/>
          <w:lang w:eastAsia="es-ES"/>
        </w:rPr>
        <w:t>.</w:t>
      </w:r>
    </w:p>
    <w:p w14:paraId="588C5E60" w14:textId="2D027064" w:rsidR="0094097B" w:rsidRPr="002740EA" w:rsidRDefault="0094097B" w:rsidP="000C6B37">
      <w:pPr>
        <w:spacing w:after="0" w:line="276" w:lineRule="auto"/>
        <w:jc w:val="both"/>
        <w:rPr>
          <w:rFonts w:eastAsia="Times New Roman" w:cs="Arial"/>
          <w:szCs w:val="24"/>
          <w:lang w:eastAsia="es-ES"/>
        </w:rPr>
      </w:pPr>
    </w:p>
    <w:p w14:paraId="68231F87" w14:textId="3DF909FF" w:rsidR="00433BE5" w:rsidRPr="002740EA" w:rsidRDefault="00433BE5" w:rsidP="000C6B37">
      <w:pPr>
        <w:spacing w:after="0"/>
        <w:jc w:val="both"/>
        <w:rPr>
          <w:rFonts w:cs="Arial"/>
          <w:szCs w:val="24"/>
        </w:rPr>
      </w:pPr>
      <w:r w:rsidRPr="002740EA">
        <w:rPr>
          <w:rFonts w:cs="Arial"/>
          <w:szCs w:val="24"/>
        </w:rPr>
        <w:t>Derivado del análisis anterior se determinó la siguiente observación:</w:t>
      </w:r>
    </w:p>
    <w:p w14:paraId="76040B5D" w14:textId="77777777" w:rsidR="001F36DD" w:rsidRPr="002740EA" w:rsidRDefault="001F36DD" w:rsidP="000C6B37">
      <w:pPr>
        <w:spacing w:after="0" w:line="276" w:lineRule="auto"/>
        <w:jc w:val="both"/>
        <w:rPr>
          <w:rFonts w:cs="Arial"/>
          <w:szCs w:val="24"/>
        </w:rPr>
      </w:pPr>
    </w:p>
    <w:p w14:paraId="74874071" w14:textId="0AC3DB1D" w:rsidR="00557CB3" w:rsidRPr="002740EA" w:rsidRDefault="00557CB3" w:rsidP="00C04396">
      <w:pPr>
        <w:pStyle w:val="Prrafodelista"/>
        <w:numPr>
          <w:ilvl w:val="0"/>
          <w:numId w:val="20"/>
        </w:numPr>
        <w:autoSpaceDE w:val="0"/>
        <w:autoSpaceDN w:val="0"/>
        <w:adjustRightInd w:val="0"/>
        <w:spacing w:after="0"/>
        <w:jc w:val="both"/>
        <w:rPr>
          <w:rFonts w:cs="Arial"/>
          <w:szCs w:val="24"/>
        </w:rPr>
      </w:pPr>
      <w:r w:rsidRPr="002740EA">
        <w:rPr>
          <w:rFonts w:cs="Arial"/>
          <w:szCs w:val="24"/>
        </w:rPr>
        <w:t xml:space="preserve">La </w:t>
      </w:r>
      <w:r w:rsidRPr="002740EA">
        <w:rPr>
          <w:rFonts w:cs="Arial"/>
          <w:bCs/>
          <w:szCs w:val="24"/>
        </w:rPr>
        <w:t>Universidad de Quintana Roo</w:t>
      </w:r>
      <w:r w:rsidRPr="002740EA">
        <w:rPr>
          <w:rFonts w:cs="Arial"/>
          <w:szCs w:val="24"/>
        </w:rPr>
        <w:t xml:space="preserve"> presentó debilidad en la implementación de la Metodología del Marco Lógico al diseñar las Matrices de Indicadores para Resultados de los Programas Presupuestarios E103-Educación Superior y M001-Gestión y Apoyo Institucional, lo que ocasionó que las MIR de los programas en cuestión no cuenten con una Lógica Vertical y una Lógica Horizontal.</w:t>
      </w:r>
    </w:p>
    <w:p w14:paraId="03B675B7" w14:textId="77777777" w:rsidR="005E23A6" w:rsidRPr="002740EA" w:rsidRDefault="005E23A6" w:rsidP="000C6B37">
      <w:pPr>
        <w:pStyle w:val="Prrafodelista"/>
        <w:autoSpaceDE w:val="0"/>
        <w:autoSpaceDN w:val="0"/>
        <w:adjustRightInd w:val="0"/>
        <w:spacing w:after="0"/>
        <w:jc w:val="both"/>
        <w:rPr>
          <w:rFonts w:cs="Arial"/>
          <w:szCs w:val="24"/>
        </w:rPr>
      </w:pPr>
    </w:p>
    <w:p w14:paraId="4041AAE2" w14:textId="019D5965" w:rsidR="00B144F7" w:rsidRPr="002740EA" w:rsidRDefault="00B144F7" w:rsidP="000C6B37">
      <w:pPr>
        <w:spacing w:after="0"/>
        <w:jc w:val="both"/>
        <w:rPr>
          <w:rFonts w:eastAsia="Times New Roman" w:cs="Arial"/>
          <w:szCs w:val="24"/>
          <w:lang w:eastAsia="es-ES"/>
        </w:rPr>
      </w:pPr>
      <w:r w:rsidRPr="002740EA">
        <w:rPr>
          <w:rFonts w:eastAsia="Times New Roman" w:cs="Arial"/>
          <w:b/>
          <w:szCs w:val="24"/>
          <w:lang w:eastAsia="es-ES"/>
        </w:rPr>
        <w:t xml:space="preserve">Acción Promovida:   </w:t>
      </w:r>
      <w:r w:rsidR="00FB2A66">
        <w:rPr>
          <w:rFonts w:eastAsia="Times New Roman" w:cs="Arial"/>
          <w:szCs w:val="24"/>
          <w:lang w:eastAsia="es-ES"/>
        </w:rPr>
        <w:t>Recomendación de</w:t>
      </w:r>
      <w:r w:rsidRPr="002740EA">
        <w:rPr>
          <w:rFonts w:eastAsia="Times New Roman" w:cs="Arial"/>
          <w:szCs w:val="24"/>
          <w:lang w:eastAsia="es-ES"/>
        </w:rPr>
        <w:t xml:space="preserve"> Desempeño.</w:t>
      </w:r>
    </w:p>
    <w:p w14:paraId="32458209" w14:textId="77777777" w:rsidR="00B144F7" w:rsidRPr="002740EA" w:rsidRDefault="00B144F7" w:rsidP="000C6B37">
      <w:pPr>
        <w:spacing w:after="0"/>
        <w:jc w:val="both"/>
        <w:rPr>
          <w:rFonts w:eastAsia="Times New Roman" w:cs="Arial"/>
          <w:szCs w:val="24"/>
          <w:lang w:eastAsia="es-ES"/>
        </w:rPr>
      </w:pPr>
    </w:p>
    <w:p w14:paraId="2F9A5642" w14:textId="062CF9A3" w:rsidR="00B144F7" w:rsidRPr="002740EA" w:rsidRDefault="00B144F7" w:rsidP="000C6B37">
      <w:pPr>
        <w:spacing w:after="0"/>
        <w:jc w:val="both"/>
        <w:rPr>
          <w:rFonts w:eastAsia="Times New Roman" w:cs="Arial"/>
          <w:szCs w:val="24"/>
          <w:lang w:eastAsia="es-ES"/>
        </w:rPr>
      </w:pPr>
      <w:r w:rsidRPr="002740EA">
        <w:rPr>
          <w:rFonts w:eastAsia="Times New Roman" w:cs="Arial"/>
          <w:szCs w:val="24"/>
          <w:lang w:eastAsia="es-ES"/>
        </w:rPr>
        <w:t>La Auditoría Superior del Estado de Quintana Roo recomienda a la</w:t>
      </w:r>
      <w:r w:rsidRPr="002740EA">
        <w:rPr>
          <w:rFonts w:eastAsia="Times New Roman" w:cs="Arial"/>
          <w:b/>
          <w:szCs w:val="24"/>
          <w:lang w:eastAsia="es-ES"/>
        </w:rPr>
        <w:t xml:space="preserve"> </w:t>
      </w:r>
      <w:r w:rsidRPr="002740EA">
        <w:rPr>
          <w:rFonts w:eastAsia="Times New Roman" w:cs="Arial"/>
          <w:szCs w:val="24"/>
          <w:lang w:eastAsia="es-ES"/>
        </w:rPr>
        <w:t>Universidad de Quintana Roo lo siguiente:</w:t>
      </w:r>
    </w:p>
    <w:p w14:paraId="0671A594" w14:textId="77777777" w:rsidR="00F63F71" w:rsidRPr="002740EA" w:rsidRDefault="00F63F71" w:rsidP="000C6B37">
      <w:pPr>
        <w:spacing w:after="0"/>
        <w:jc w:val="both"/>
        <w:rPr>
          <w:rFonts w:eastAsia="Times New Roman" w:cs="Arial"/>
          <w:szCs w:val="24"/>
          <w:lang w:eastAsia="es-ES"/>
        </w:rPr>
      </w:pPr>
    </w:p>
    <w:p w14:paraId="692FE960" w14:textId="0F1122AD" w:rsidR="007F461E" w:rsidRPr="002740EA" w:rsidRDefault="00456A66" w:rsidP="000C6B37">
      <w:pPr>
        <w:spacing w:after="0"/>
        <w:jc w:val="both"/>
        <w:rPr>
          <w:rFonts w:cs="Arial"/>
          <w:lang w:val="es-ES"/>
        </w:rPr>
      </w:pPr>
      <w:r>
        <w:rPr>
          <w:rFonts w:eastAsia="Times New Roman" w:cs="Arial"/>
          <w:b/>
          <w:szCs w:val="24"/>
          <w:lang w:eastAsia="es-ES"/>
        </w:rPr>
        <w:t>Para la observación 1</w:t>
      </w:r>
    </w:p>
    <w:p w14:paraId="6F1DADD1" w14:textId="253E7C36" w:rsidR="00CE01D5" w:rsidRPr="002740EA" w:rsidRDefault="00BE2BA3" w:rsidP="000C6B37">
      <w:pPr>
        <w:spacing w:after="0"/>
        <w:jc w:val="both"/>
        <w:rPr>
          <w:rFonts w:cs="Arial"/>
          <w:lang w:val="es-ES"/>
        </w:rPr>
      </w:pPr>
      <w:r w:rsidRPr="002740EA">
        <w:rPr>
          <w:rFonts w:cs="Arial"/>
          <w:lang w:val="es-ES"/>
        </w:rPr>
        <w:t xml:space="preserve"> </w:t>
      </w:r>
    </w:p>
    <w:p w14:paraId="4AA1BB35" w14:textId="26367FA3" w:rsidR="00B144F7" w:rsidRPr="002740EA" w:rsidRDefault="00E9780E" w:rsidP="00F63F71">
      <w:pPr>
        <w:autoSpaceDE w:val="0"/>
        <w:autoSpaceDN w:val="0"/>
        <w:adjustRightInd w:val="0"/>
        <w:spacing w:after="0"/>
        <w:jc w:val="both"/>
        <w:rPr>
          <w:rFonts w:cs="Arial"/>
        </w:rPr>
      </w:pPr>
      <w:r w:rsidRPr="002740EA">
        <w:rPr>
          <w:rFonts w:cs="Arial"/>
        </w:rPr>
        <w:t>Adecuar las Matrices de Indicadores para Resultados (MIR) de los Programas Presupuestarios de acuerdo con la Metodología del Marco Lógico (MML), con la finalidad de contar con matrices que tengan una estructura  que cumpla con la Lógica Vertical y Horizontal</w:t>
      </w:r>
      <w:r w:rsidR="00D66356" w:rsidRPr="002740EA">
        <w:rPr>
          <w:rFonts w:cs="Arial"/>
        </w:rPr>
        <w:t>,</w:t>
      </w:r>
      <w:r w:rsidRPr="002740EA">
        <w:rPr>
          <w:rFonts w:cs="Arial"/>
        </w:rPr>
        <w:t xml:space="preserve"> para que de esta manera se establezca correctamente las relaciones de causa – efecto en todos los niveles de la MIR, así como para lograr la correspondencia de cada uno de los niveles con los factores externos que puedan afectar su ejecución y posterior desempeño.</w:t>
      </w:r>
    </w:p>
    <w:p w14:paraId="315F4D4D" w14:textId="38CCBA21" w:rsidR="00257E0C" w:rsidRPr="002740EA" w:rsidRDefault="00257E0C" w:rsidP="000C6B37">
      <w:pPr>
        <w:spacing w:after="0"/>
        <w:jc w:val="both"/>
      </w:pPr>
    </w:p>
    <w:p w14:paraId="2DC1D0E8" w14:textId="34D738BA" w:rsidR="00257E0C" w:rsidRPr="002740EA" w:rsidRDefault="00257E0C" w:rsidP="00257E0C">
      <w:pPr>
        <w:autoSpaceDE w:val="0"/>
        <w:autoSpaceDN w:val="0"/>
        <w:adjustRightInd w:val="0"/>
        <w:spacing w:after="0" w:line="276" w:lineRule="auto"/>
        <w:jc w:val="both"/>
        <w:rPr>
          <w:rFonts w:cs="Arial"/>
          <w:szCs w:val="24"/>
        </w:rPr>
      </w:pPr>
      <w:r w:rsidRPr="002740EA">
        <w:rPr>
          <w:rFonts w:cs="Arial"/>
          <w:szCs w:val="24"/>
        </w:rPr>
        <w:t xml:space="preserve">Con motivo de la reunión de trabajo efectuada para la presentación de resultados finales de auditoría y observaciones preliminares, la Universidad de Quintana Roo estableció como fecha compromiso para la atención </w:t>
      </w:r>
      <w:r w:rsidR="009D02C9" w:rsidRPr="002740EA">
        <w:rPr>
          <w:rFonts w:cs="Arial"/>
          <w:szCs w:val="24"/>
        </w:rPr>
        <w:t>a</w:t>
      </w:r>
      <w:r w:rsidR="00980F84" w:rsidRPr="002740EA">
        <w:rPr>
          <w:rFonts w:cs="Arial"/>
          <w:szCs w:val="24"/>
        </w:rPr>
        <w:t xml:space="preserve"> la recomendaci</w:t>
      </w:r>
      <w:r w:rsidR="00F9195D" w:rsidRPr="002740EA">
        <w:rPr>
          <w:rFonts w:cs="Arial"/>
          <w:szCs w:val="24"/>
        </w:rPr>
        <w:t xml:space="preserve">ón </w:t>
      </w:r>
      <w:r w:rsidR="009D02C9" w:rsidRPr="002740EA">
        <w:rPr>
          <w:rFonts w:cs="Arial"/>
          <w:szCs w:val="24"/>
        </w:rPr>
        <w:t>de</w:t>
      </w:r>
      <w:r w:rsidR="00575422" w:rsidRPr="002740EA">
        <w:rPr>
          <w:rFonts w:cs="Arial"/>
          <w:szCs w:val="24"/>
        </w:rPr>
        <w:t xml:space="preserve"> la observación </w:t>
      </w:r>
      <w:r w:rsidR="00F9195D" w:rsidRPr="002740EA">
        <w:rPr>
          <w:rFonts w:cs="Arial"/>
          <w:szCs w:val="24"/>
        </w:rPr>
        <w:t>1</w:t>
      </w:r>
      <w:r w:rsidR="00980F84" w:rsidRPr="002740EA">
        <w:rPr>
          <w:rFonts w:cs="Arial"/>
          <w:szCs w:val="24"/>
        </w:rPr>
        <w:t xml:space="preserve">, </w:t>
      </w:r>
      <w:r w:rsidRPr="002740EA">
        <w:rPr>
          <w:rFonts w:cs="Arial"/>
          <w:szCs w:val="24"/>
        </w:rPr>
        <w:t>el d</w:t>
      </w:r>
      <w:r w:rsidR="004F1153" w:rsidRPr="002740EA">
        <w:rPr>
          <w:rFonts w:cs="Arial"/>
          <w:szCs w:val="24"/>
        </w:rPr>
        <w:t xml:space="preserve">ía 29 de octubre </w:t>
      </w:r>
      <w:r w:rsidRPr="002740EA">
        <w:rPr>
          <w:rFonts w:cs="Arial"/>
          <w:szCs w:val="24"/>
        </w:rPr>
        <w:t>del 2021</w:t>
      </w:r>
      <w:r w:rsidR="004F1153" w:rsidRPr="002740EA">
        <w:rPr>
          <w:rFonts w:cs="Arial"/>
          <w:szCs w:val="24"/>
        </w:rPr>
        <w:t>.</w:t>
      </w:r>
      <w:r w:rsidRPr="002740EA">
        <w:rPr>
          <w:rFonts w:cs="Arial"/>
          <w:szCs w:val="24"/>
        </w:rPr>
        <w:t xml:space="preserve"> Por lo antes expuesto, la atención a</w:t>
      </w:r>
      <w:r w:rsidR="004F1153" w:rsidRPr="002740EA">
        <w:rPr>
          <w:rFonts w:cs="Arial"/>
          <w:szCs w:val="24"/>
        </w:rPr>
        <w:t xml:space="preserve"> la recomendación</w:t>
      </w:r>
      <w:r w:rsidRPr="002740EA">
        <w:rPr>
          <w:rFonts w:cs="Arial"/>
          <w:szCs w:val="24"/>
        </w:rPr>
        <w:t xml:space="preserve"> de desempeño queda en </w:t>
      </w:r>
      <w:r w:rsidRPr="00456A66">
        <w:rPr>
          <w:rFonts w:cs="Arial"/>
          <w:b/>
          <w:szCs w:val="24"/>
        </w:rPr>
        <w:t>seguimiento</w:t>
      </w:r>
      <w:r w:rsidRPr="002740EA">
        <w:rPr>
          <w:rFonts w:cs="Arial"/>
          <w:szCs w:val="24"/>
        </w:rPr>
        <w:t>.</w:t>
      </w:r>
    </w:p>
    <w:p w14:paraId="1C3379CA" w14:textId="18685F6A" w:rsidR="00257E0C" w:rsidRPr="002740EA" w:rsidRDefault="00257E0C" w:rsidP="000C6B37">
      <w:pPr>
        <w:spacing w:after="0"/>
        <w:jc w:val="both"/>
      </w:pPr>
    </w:p>
    <w:p w14:paraId="77212F89" w14:textId="77777777" w:rsidR="00712469" w:rsidRPr="002740EA" w:rsidRDefault="00712469" w:rsidP="000C6B37">
      <w:pPr>
        <w:spacing w:after="0"/>
        <w:jc w:val="both"/>
      </w:pPr>
    </w:p>
    <w:p w14:paraId="1A75A42E" w14:textId="0E5298CB" w:rsidR="00B64FC8" w:rsidRPr="002740EA" w:rsidRDefault="00B64FC8" w:rsidP="000C6B37">
      <w:pPr>
        <w:spacing w:after="0" w:line="276" w:lineRule="auto"/>
        <w:jc w:val="both"/>
        <w:rPr>
          <w:rFonts w:cs="Arial"/>
          <w:b/>
          <w:szCs w:val="24"/>
        </w:rPr>
      </w:pPr>
      <w:r w:rsidRPr="002740EA">
        <w:rPr>
          <w:rFonts w:cs="Arial"/>
          <w:b/>
          <w:szCs w:val="24"/>
        </w:rPr>
        <w:t>N</w:t>
      </w:r>
      <w:r w:rsidR="00D638CE" w:rsidRPr="002740EA">
        <w:rPr>
          <w:rFonts w:cs="Arial"/>
          <w:b/>
          <w:szCs w:val="24"/>
        </w:rPr>
        <w:t>ormatividad relacionada con la o</w:t>
      </w:r>
      <w:r w:rsidRPr="002740EA">
        <w:rPr>
          <w:rFonts w:cs="Arial"/>
          <w:b/>
          <w:szCs w:val="24"/>
        </w:rPr>
        <w:t>bservación</w:t>
      </w:r>
    </w:p>
    <w:p w14:paraId="32F8F688" w14:textId="77777777" w:rsidR="007C2C1E" w:rsidRPr="002740EA" w:rsidRDefault="007C2C1E" w:rsidP="000C6B37">
      <w:pPr>
        <w:spacing w:after="0" w:line="276" w:lineRule="auto"/>
        <w:jc w:val="both"/>
        <w:rPr>
          <w:rFonts w:cs="Arial"/>
          <w:b/>
          <w:szCs w:val="24"/>
        </w:rPr>
      </w:pPr>
    </w:p>
    <w:p w14:paraId="7475B587" w14:textId="77777777" w:rsidR="00B64FC8" w:rsidRPr="002740EA" w:rsidRDefault="00B64FC8" w:rsidP="000C6B37">
      <w:pPr>
        <w:spacing w:after="0" w:line="276" w:lineRule="auto"/>
        <w:jc w:val="both"/>
        <w:rPr>
          <w:rFonts w:cs="Arial"/>
          <w:szCs w:val="24"/>
        </w:rPr>
      </w:pPr>
      <w:r w:rsidRPr="002740EA">
        <w:rPr>
          <w:rFonts w:cs="Arial"/>
          <w:szCs w:val="24"/>
        </w:rPr>
        <w:t>Guía para la Elaboración de la Matriz de Indicadores para Resultados (CONEVAL).</w:t>
      </w:r>
    </w:p>
    <w:p w14:paraId="62C201DD" w14:textId="77777777" w:rsidR="00B64FC8" w:rsidRPr="002740EA" w:rsidRDefault="00B64FC8" w:rsidP="000C6B37">
      <w:pPr>
        <w:spacing w:after="0" w:line="276" w:lineRule="auto"/>
        <w:jc w:val="both"/>
        <w:rPr>
          <w:rFonts w:cs="Arial"/>
          <w:szCs w:val="24"/>
        </w:rPr>
      </w:pPr>
      <w:r w:rsidRPr="002740EA">
        <w:rPr>
          <w:rFonts w:cs="Arial"/>
          <w:szCs w:val="24"/>
        </w:rPr>
        <w:t>Guía para el Diseño de la Matriz de Indicadores para Resultados (SHCP).</w:t>
      </w:r>
    </w:p>
    <w:p w14:paraId="47CE6502" w14:textId="77777777" w:rsidR="00B64FC8" w:rsidRPr="002740EA" w:rsidRDefault="00B64FC8" w:rsidP="000C6B37">
      <w:pPr>
        <w:spacing w:after="0" w:line="276" w:lineRule="auto"/>
        <w:jc w:val="both"/>
        <w:rPr>
          <w:rFonts w:cs="Arial"/>
          <w:szCs w:val="24"/>
        </w:rPr>
      </w:pPr>
      <w:r w:rsidRPr="002740EA">
        <w:rPr>
          <w:rFonts w:cs="Arial"/>
          <w:szCs w:val="24"/>
        </w:rPr>
        <w:t>Manual para el Diseño y la Construcción de Indicadores (CONEVAL).</w:t>
      </w:r>
    </w:p>
    <w:p w14:paraId="5405E2E1" w14:textId="77777777" w:rsidR="00B64FC8" w:rsidRPr="002740EA" w:rsidRDefault="00B64FC8" w:rsidP="000C6B37">
      <w:pPr>
        <w:spacing w:after="0" w:line="276" w:lineRule="auto"/>
        <w:jc w:val="both"/>
        <w:rPr>
          <w:rFonts w:cs="Arial"/>
          <w:szCs w:val="24"/>
        </w:rPr>
      </w:pPr>
      <w:r w:rsidRPr="002740EA">
        <w:rPr>
          <w:rFonts w:cs="Arial"/>
          <w:szCs w:val="24"/>
        </w:rPr>
        <w:t xml:space="preserve">Lineamientos para la Construcción y Diseño de Indicadores de Desempeño mediante la Metodología de Marco Lógico (MML). </w:t>
      </w:r>
    </w:p>
    <w:p w14:paraId="00DDB3D3" w14:textId="77777777" w:rsidR="00B64FC8" w:rsidRPr="002740EA" w:rsidRDefault="00B64FC8" w:rsidP="000C6B37">
      <w:pPr>
        <w:spacing w:after="0" w:line="276" w:lineRule="auto"/>
        <w:jc w:val="both"/>
        <w:rPr>
          <w:rFonts w:cs="Arial"/>
          <w:szCs w:val="24"/>
        </w:rPr>
      </w:pPr>
      <w:r w:rsidRPr="002740EA">
        <w:rPr>
          <w:rFonts w:cs="Arial"/>
          <w:szCs w:val="24"/>
        </w:rPr>
        <w:t xml:space="preserve">Guía para la construcción de la Matriz de Indicadores para Resultados del Gobierno del Estado de Quintana Roo. </w:t>
      </w:r>
    </w:p>
    <w:p w14:paraId="54485036" w14:textId="77777777" w:rsidR="00B64FC8" w:rsidRPr="002740EA" w:rsidRDefault="00B64FC8" w:rsidP="000C6B37">
      <w:pPr>
        <w:spacing w:after="0" w:line="276" w:lineRule="auto"/>
        <w:jc w:val="both"/>
        <w:rPr>
          <w:rFonts w:cs="Arial"/>
          <w:szCs w:val="24"/>
        </w:rPr>
      </w:pPr>
      <w:r w:rsidRPr="002740EA">
        <w:rPr>
          <w:rFonts w:cs="Arial"/>
          <w:szCs w:val="24"/>
        </w:rPr>
        <w:t>Guía para la Construcción de Indicadores de Desempeño para el Gobierno del Estado de Quintana Roo.</w:t>
      </w:r>
    </w:p>
    <w:p w14:paraId="34E2F21A" w14:textId="3A08750D" w:rsidR="00B64FC8" w:rsidRDefault="00B64FC8" w:rsidP="000C6B37">
      <w:pPr>
        <w:pStyle w:val="Prrafodelista"/>
        <w:autoSpaceDE w:val="0"/>
        <w:autoSpaceDN w:val="0"/>
        <w:adjustRightInd w:val="0"/>
        <w:spacing w:after="0"/>
        <w:jc w:val="both"/>
        <w:rPr>
          <w:rFonts w:cs="Arial"/>
        </w:rPr>
      </w:pPr>
    </w:p>
    <w:p w14:paraId="717F43D1" w14:textId="77777777" w:rsidR="0007748D" w:rsidRPr="002740EA" w:rsidRDefault="0007748D" w:rsidP="000C6B37">
      <w:pPr>
        <w:pStyle w:val="Prrafodelista"/>
        <w:autoSpaceDE w:val="0"/>
        <w:autoSpaceDN w:val="0"/>
        <w:adjustRightInd w:val="0"/>
        <w:spacing w:after="0"/>
        <w:jc w:val="both"/>
        <w:rPr>
          <w:rFonts w:cs="Arial"/>
        </w:rPr>
      </w:pPr>
    </w:p>
    <w:p w14:paraId="6174CDF2" w14:textId="41131944" w:rsidR="001203FC" w:rsidRPr="002740EA" w:rsidRDefault="001203FC" w:rsidP="001203FC">
      <w:pPr>
        <w:spacing w:after="0" w:line="276" w:lineRule="auto"/>
        <w:rPr>
          <w:rFonts w:eastAsia="Times New Roman" w:cs="Times New Roman"/>
          <w:b/>
          <w:szCs w:val="24"/>
          <w:lang w:eastAsia="es-MX"/>
        </w:rPr>
      </w:pPr>
      <w:r w:rsidRPr="002740EA">
        <w:rPr>
          <w:rFonts w:eastAsia="Times New Roman" w:cs="Times New Roman"/>
          <w:b/>
          <w:szCs w:val="24"/>
          <w:lang w:eastAsia="es-MX"/>
        </w:rPr>
        <w:t>Resultado Número 3</w:t>
      </w:r>
    </w:p>
    <w:p w14:paraId="14BD2923" w14:textId="77777777" w:rsidR="001203FC" w:rsidRPr="002740EA" w:rsidRDefault="001203FC" w:rsidP="001203FC">
      <w:pPr>
        <w:spacing w:after="0" w:line="276" w:lineRule="auto"/>
        <w:rPr>
          <w:rFonts w:eastAsia="Times New Roman" w:cs="Times New Roman"/>
          <w:b/>
          <w:szCs w:val="24"/>
          <w:lang w:eastAsia="es-MX"/>
        </w:rPr>
      </w:pPr>
    </w:p>
    <w:p w14:paraId="590DABF5" w14:textId="69CB85FB" w:rsidR="001203FC" w:rsidRPr="002740EA" w:rsidRDefault="001203FC" w:rsidP="001203FC">
      <w:pPr>
        <w:spacing w:after="0" w:line="276" w:lineRule="auto"/>
        <w:rPr>
          <w:rFonts w:eastAsia="Times New Roman" w:cs="Times New Roman"/>
          <w:b/>
          <w:szCs w:val="24"/>
          <w:lang w:eastAsia="es-MX"/>
        </w:rPr>
      </w:pPr>
      <w:r w:rsidRPr="002740EA">
        <w:rPr>
          <w:rFonts w:eastAsia="Times New Roman" w:cs="Times New Roman"/>
          <w:b/>
          <w:szCs w:val="24"/>
          <w:lang w:eastAsia="es-MX"/>
        </w:rPr>
        <w:t>Competencia de los Actores</w:t>
      </w:r>
    </w:p>
    <w:p w14:paraId="3FDFE000" w14:textId="77777777" w:rsidR="001203FC" w:rsidRPr="002740EA" w:rsidRDefault="001203FC" w:rsidP="001203FC">
      <w:pPr>
        <w:spacing w:after="0" w:line="276" w:lineRule="auto"/>
        <w:rPr>
          <w:rFonts w:eastAsia="Times New Roman" w:cs="Times New Roman"/>
          <w:b/>
          <w:szCs w:val="24"/>
          <w:lang w:eastAsia="es-MX"/>
        </w:rPr>
      </w:pPr>
    </w:p>
    <w:p w14:paraId="7C8AB72F" w14:textId="4D391013" w:rsidR="001203FC" w:rsidRPr="002740EA" w:rsidRDefault="001203FC" w:rsidP="001203FC">
      <w:pPr>
        <w:spacing w:after="0" w:line="276" w:lineRule="auto"/>
        <w:rPr>
          <w:rFonts w:eastAsia="Times New Roman" w:cs="Times New Roman"/>
          <w:b/>
          <w:szCs w:val="24"/>
          <w:lang w:eastAsia="es-MX"/>
        </w:rPr>
      </w:pPr>
      <w:r w:rsidRPr="002740EA">
        <w:rPr>
          <w:rFonts w:eastAsia="Times New Roman" w:cs="Times New Roman"/>
          <w:b/>
          <w:szCs w:val="24"/>
          <w:lang w:eastAsia="es-MX"/>
        </w:rPr>
        <w:t xml:space="preserve">3. Capacitación </w:t>
      </w:r>
    </w:p>
    <w:p w14:paraId="212A946D" w14:textId="77777777" w:rsidR="001203FC" w:rsidRPr="002740EA" w:rsidRDefault="001203FC" w:rsidP="001203FC">
      <w:pPr>
        <w:spacing w:after="0" w:line="276" w:lineRule="auto"/>
        <w:rPr>
          <w:rFonts w:eastAsia="Times New Roman" w:cs="Times New Roman"/>
          <w:b/>
          <w:szCs w:val="24"/>
          <w:lang w:eastAsia="es-MX"/>
        </w:rPr>
      </w:pPr>
    </w:p>
    <w:p w14:paraId="70A27677" w14:textId="77777777" w:rsidR="001203FC" w:rsidRPr="002740EA" w:rsidRDefault="001203FC" w:rsidP="001203FC">
      <w:pPr>
        <w:spacing w:after="0" w:line="276" w:lineRule="auto"/>
        <w:rPr>
          <w:rFonts w:eastAsia="Times New Roman" w:cs="Times New Roman"/>
          <w:b/>
          <w:szCs w:val="24"/>
          <w:lang w:eastAsia="es-MX"/>
        </w:rPr>
      </w:pPr>
      <w:r w:rsidRPr="002740EA">
        <w:rPr>
          <w:rFonts w:eastAsia="Times New Roman" w:cs="Times New Roman"/>
          <w:b/>
          <w:szCs w:val="24"/>
          <w:lang w:eastAsia="es-MX"/>
        </w:rPr>
        <w:t xml:space="preserve">     3.1. Capacitación al personal encargado de elaborar la MIR</w:t>
      </w:r>
    </w:p>
    <w:p w14:paraId="23A79EC1" w14:textId="77777777" w:rsidR="001203FC" w:rsidRPr="002740EA" w:rsidRDefault="001203FC" w:rsidP="001203FC">
      <w:pPr>
        <w:spacing w:after="0" w:line="276" w:lineRule="auto"/>
        <w:rPr>
          <w:rFonts w:eastAsia="Times New Roman" w:cs="Times New Roman"/>
          <w:b/>
          <w:szCs w:val="24"/>
          <w:lang w:eastAsia="es-MX"/>
        </w:rPr>
      </w:pPr>
      <w:r w:rsidRPr="002740EA">
        <w:rPr>
          <w:rFonts w:eastAsia="Times New Roman" w:cs="Times New Roman"/>
          <w:b/>
          <w:szCs w:val="24"/>
          <w:lang w:eastAsia="es-MX"/>
        </w:rPr>
        <w:tab/>
      </w:r>
    </w:p>
    <w:p w14:paraId="21B34110" w14:textId="2D6F8A1E" w:rsidR="00690BA3" w:rsidRPr="002740EA" w:rsidRDefault="001203FC" w:rsidP="001203FC">
      <w:pPr>
        <w:spacing w:after="0" w:line="276" w:lineRule="auto"/>
        <w:rPr>
          <w:rFonts w:eastAsia="Times New Roman" w:cs="Times New Roman"/>
          <w:b/>
          <w:szCs w:val="24"/>
          <w:lang w:eastAsia="es-MX"/>
        </w:rPr>
      </w:pPr>
      <w:r w:rsidRPr="002740EA">
        <w:rPr>
          <w:rFonts w:eastAsia="Times New Roman" w:cs="Times New Roman"/>
          <w:b/>
          <w:szCs w:val="24"/>
          <w:lang w:eastAsia="es-MX"/>
        </w:rPr>
        <w:t>Sin observación</w:t>
      </w:r>
    </w:p>
    <w:p w14:paraId="09BA871B" w14:textId="77777777" w:rsidR="00F44D8B" w:rsidRPr="002740EA" w:rsidRDefault="00F44D8B" w:rsidP="001203FC">
      <w:pPr>
        <w:spacing w:after="0" w:line="276" w:lineRule="auto"/>
        <w:rPr>
          <w:rFonts w:eastAsia="Times New Roman" w:cs="Times New Roman"/>
          <w:b/>
          <w:szCs w:val="24"/>
          <w:lang w:eastAsia="es-MX"/>
        </w:rPr>
      </w:pPr>
    </w:p>
    <w:p w14:paraId="4FB2EA71" w14:textId="46FEE24B" w:rsidR="00456A66" w:rsidRPr="002740EA" w:rsidRDefault="000B369D" w:rsidP="000C6B37">
      <w:pPr>
        <w:spacing w:after="0" w:line="276" w:lineRule="auto"/>
        <w:jc w:val="both"/>
        <w:rPr>
          <w:rFonts w:cs="Arial"/>
          <w:szCs w:val="24"/>
        </w:rPr>
      </w:pPr>
      <w:r w:rsidRPr="002740EA">
        <w:rPr>
          <w:rFonts w:cs="Arial"/>
          <w:szCs w:val="24"/>
        </w:rPr>
        <w:t>La Ley Federal del Trabajo, precisa proporcionar a todos los trabajadores, y éstos a recibir, la capacitación o el adiestramiento en su trabajo que le permita elevar su nivel de vida, su competencia laboral y su productividad, conforme a los planes y programas formulados</w:t>
      </w:r>
      <w:r w:rsidRPr="002740EA">
        <w:rPr>
          <w:rStyle w:val="Refdenotaalpie"/>
          <w:rFonts w:cs="Arial"/>
          <w:szCs w:val="24"/>
        </w:rPr>
        <w:footnoteReference w:id="34"/>
      </w:r>
      <w:r w:rsidRPr="002740EA">
        <w:rPr>
          <w:rFonts w:cs="Arial"/>
          <w:szCs w:val="24"/>
        </w:rPr>
        <w:t>.</w:t>
      </w:r>
    </w:p>
    <w:p w14:paraId="4EC935DE" w14:textId="34F3A160" w:rsidR="000B369D" w:rsidRPr="002740EA" w:rsidRDefault="000B369D" w:rsidP="000C6B37">
      <w:pPr>
        <w:spacing w:after="0" w:line="276" w:lineRule="auto"/>
        <w:jc w:val="both"/>
        <w:rPr>
          <w:rFonts w:cs="Arial"/>
          <w:szCs w:val="24"/>
        </w:rPr>
      </w:pPr>
      <w:r w:rsidRPr="002740EA">
        <w:rPr>
          <w:rFonts w:cs="Arial"/>
          <w:szCs w:val="24"/>
        </w:rPr>
        <w:t xml:space="preserve">Por su parte el Plan Estratégico para el Desarrollo Institucional de la UQROO, establece como política institucional que </w:t>
      </w:r>
      <w:r w:rsidRPr="002740EA">
        <w:rPr>
          <w:rFonts w:cs="Arial"/>
          <w:color w:val="000000"/>
          <w:szCs w:val="24"/>
        </w:rPr>
        <w:t xml:space="preserve">los programas de capacitación y actualización del personal administrativo y de apoyo estarán encaminados a </w:t>
      </w:r>
      <w:r w:rsidRPr="002740EA">
        <w:rPr>
          <w:rFonts w:cs="Arial"/>
          <w:szCs w:val="24"/>
        </w:rPr>
        <w:t>fortalecer su talento, desarrollo y bienestar</w:t>
      </w:r>
      <w:r w:rsidRPr="002740EA">
        <w:rPr>
          <w:vertAlign w:val="superscript"/>
        </w:rPr>
        <w:footnoteReference w:id="35"/>
      </w:r>
      <w:r w:rsidRPr="002740EA">
        <w:rPr>
          <w:rFonts w:cs="Arial"/>
          <w:szCs w:val="24"/>
        </w:rPr>
        <w:t>.</w:t>
      </w:r>
    </w:p>
    <w:p w14:paraId="0182AC88" w14:textId="77777777" w:rsidR="00EC7821" w:rsidRPr="002740EA" w:rsidRDefault="00EC7821" w:rsidP="000C6B37">
      <w:pPr>
        <w:spacing w:after="0" w:line="276" w:lineRule="auto"/>
        <w:jc w:val="both"/>
        <w:rPr>
          <w:rFonts w:cs="Arial"/>
          <w:szCs w:val="24"/>
        </w:rPr>
      </w:pPr>
    </w:p>
    <w:p w14:paraId="4633B2CC" w14:textId="77777777" w:rsidR="000B369D" w:rsidRPr="002740EA" w:rsidRDefault="000B369D" w:rsidP="000C6B37">
      <w:pPr>
        <w:spacing w:after="0" w:line="276" w:lineRule="auto"/>
        <w:jc w:val="both"/>
        <w:rPr>
          <w:rFonts w:cs="Arial"/>
          <w:szCs w:val="24"/>
        </w:rPr>
      </w:pPr>
      <w:r w:rsidRPr="002740EA">
        <w:rPr>
          <w:rFonts w:cs="Arial"/>
          <w:szCs w:val="24"/>
        </w:rPr>
        <w:t>La Universidad de Quintana Roo, tiene como obligación establecer programas de capacitación y profesionalización del personal administrativo a efecto de fomentar su formación, a fin de que cuenten con las aptitudes, conocimientos, habilidades y destrezas para el desempeño de su función</w:t>
      </w:r>
      <w:r w:rsidRPr="002740EA">
        <w:rPr>
          <w:szCs w:val="24"/>
          <w:vertAlign w:val="superscript"/>
        </w:rPr>
        <w:footnoteReference w:id="36"/>
      </w:r>
      <w:r w:rsidRPr="002740EA">
        <w:rPr>
          <w:rFonts w:cs="Arial"/>
          <w:szCs w:val="24"/>
          <w:vertAlign w:val="superscript"/>
        </w:rPr>
        <w:t>.</w:t>
      </w:r>
    </w:p>
    <w:p w14:paraId="485F1F50" w14:textId="77777777" w:rsidR="000B369D" w:rsidRPr="002740EA" w:rsidRDefault="000B369D" w:rsidP="000C6B37">
      <w:pPr>
        <w:spacing w:after="0" w:line="276" w:lineRule="auto"/>
        <w:jc w:val="both"/>
        <w:rPr>
          <w:rFonts w:cs="Arial"/>
          <w:color w:val="000000"/>
          <w:szCs w:val="24"/>
        </w:rPr>
      </w:pPr>
    </w:p>
    <w:p w14:paraId="04412CCA" w14:textId="68A241EB" w:rsidR="000B369D" w:rsidRPr="002740EA" w:rsidRDefault="000B369D" w:rsidP="000C6B37">
      <w:pPr>
        <w:spacing w:after="0" w:line="276" w:lineRule="auto"/>
        <w:jc w:val="both"/>
        <w:rPr>
          <w:rFonts w:cs="Arial"/>
          <w:szCs w:val="24"/>
        </w:rPr>
      </w:pPr>
      <w:r w:rsidRPr="002740EA">
        <w:rPr>
          <w:rFonts w:cs="Arial"/>
          <w:szCs w:val="24"/>
        </w:rPr>
        <w:t xml:space="preserve">Asimismo, es </w:t>
      </w:r>
      <w:r w:rsidRPr="002740EA">
        <w:rPr>
          <w:rFonts w:cs="Arial"/>
          <w:bCs/>
          <w:szCs w:val="24"/>
        </w:rPr>
        <w:t>facultad d</w:t>
      </w:r>
      <w:r w:rsidRPr="002740EA">
        <w:rPr>
          <w:rFonts w:cs="Arial"/>
          <w:szCs w:val="24"/>
        </w:rPr>
        <w:t xml:space="preserve">el </w:t>
      </w:r>
      <w:r w:rsidRPr="002740EA">
        <w:rPr>
          <w:rFonts w:cs="Arial"/>
          <w:bCs/>
          <w:szCs w:val="24"/>
        </w:rPr>
        <w:t xml:space="preserve">Departamento de Recursos Humanos de la Universidad de Quintana Roo </w:t>
      </w:r>
      <w:r w:rsidRPr="002740EA">
        <w:rPr>
          <w:rFonts w:cs="Arial"/>
          <w:szCs w:val="24"/>
        </w:rPr>
        <w:t xml:space="preserve">elaborar el Programa Anual de Capacitación para el personal administrativo. Y del </w:t>
      </w:r>
      <w:r w:rsidRPr="002740EA">
        <w:rPr>
          <w:rFonts w:cs="Arial"/>
          <w:bCs/>
          <w:szCs w:val="24"/>
        </w:rPr>
        <w:t>Departamento de Educación Continua y a Distancia, c</w:t>
      </w:r>
      <w:r w:rsidRPr="002740EA">
        <w:rPr>
          <w:rFonts w:cs="Arial"/>
          <w:szCs w:val="24"/>
        </w:rPr>
        <w:t>oordinar la impartición de cursos de capacitación a docentes y administrativos en la modalidad a distancia y presencial</w:t>
      </w:r>
      <w:r w:rsidRPr="002740EA">
        <w:rPr>
          <w:rStyle w:val="Refdenotaalpie"/>
          <w:rFonts w:cs="Arial"/>
          <w:szCs w:val="24"/>
        </w:rPr>
        <w:footnoteReference w:id="37"/>
      </w:r>
      <w:r w:rsidRPr="002740EA">
        <w:rPr>
          <w:rFonts w:cs="Arial"/>
          <w:szCs w:val="24"/>
        </w:rPr>
        <w:t>.</w:t>
      </w:r>
    </w:p>
    <w:p w14:paraId="33C7CC68" w14:textId="77777777" w:rsidR="0051247A" w:rsidRPr="002740EA" w:rsidRDefault="0051247A" w:rsidP="000C6B37">
      <w:pPr>
        <w:spacing w:after="0" w:line="276" w:lineRule="auto"/>
        <w:jc w:val="both"/>
        <w:rPr>
          <w:rFonts w:cs="Arial"/>
          <w:szCs w:val="24"/>
        </w:rPr>
      </w:pPr>
    </w:p>
    <w:p w14:paraId="2E936756" w14:textId="7C3F9811" w:rsidR="00644E2D" w:rsidRPr="002740EA" w:rsidRDefault="000B369D" w:rsidP="000C6B37">
      <w:pPr>
        <w:spacing w:after="0" w:line="276" w:lineRule="auto"/>
        <w:jc w:val="both"/>
        <w:rPr>
          <w:rFonts w:cs="Arial"/>
          <w:szCs w:val="24"/>
        </w:rPr>
      </w:pPr>
      <w:r w:rsidRPr="002740EA">
        <w:rPr>
          <w:rFonts w:cs="Arial"/>
          <w:szCs w:val="24"/>
        </w:rPr>
        <w:t xml:space="preserve">En este marco, la </w:t>
      </w:r>
      <w:r w:rsidR="00115D35" w:rsidRPr="002740EA">
        <w:rPr>
          <w:rFonts w:cs="Arial"/>
          <w:bCs/>
          <w:szCs w:val="24"/>
        </w:rPr>
        <w:t>Universidad</w:t>
      </w:r>
      <w:r w:rsidRPr="002740EA">
        <w:rPr>
          <w:rFonts w:cs="Arial"/>
          <w:bCs/>
          <w:szCs w:val="24"/>
        </w:rPr>
        <w:t xml:space="preserve"> de Quintana Roo </w:t>
      </w:r>
      <w:r w:rsidRPr="002740EA">
        <w:rPr>
          <w:rFonts w:cs="Arial"/>
          <w:szCs w:val="24"/>
        </w:rPr>
        <w:t>no presentó evidencia correspondiente a la</w:t>
      </w:r>
      <w:r w:rsidR="00115D35" w:rsidRPr="002740EA">
        <w:rPr>
          <w:rFonts w:cs="Arial"/>
          <w:szCs w:val="24"/>
        </w:rPr>
        <w:t xml:space="preserve"> implementación de </w:t>
      </w:r>
      <w:r w:rsidRPr="002740EA">
        <w:rPr>
          <w:rFonts w:cs="Arial"/>
          <w:szCs w:val="24"/>
        </w:rPr>
        <w:t>programas de capacitación</w:t>
      </w:r>
      <w:r w:rsidR="00115D35" w:rsidRPr="002740EA">
        <w:rPr>
          <w:rFonts w:cs="Arial"/>
          <w:szCs w:val="24"/>
        </w:rPr>
        <w:t>, en el Ejercicio Fiscal 2020,</w:t>
      </w:r>
      <w:r w:rsidRPr="002740EA">
        <w:rPr>
          <w:rFonts w:cs="Arial"/>
          <w:szCs w:val="24"/>
        </w:rPr>
        <w:t xml:space="preserve"> para el mejoramiento y actualización profesional del personal administrativo responsable de la elaboración de las Matrices de I</w:t>
      </w:r>
      <w:r w:rsidR="00707AD6" w:rsidRPr="002740EA">
        <w:rPr>
          <w:rFonts w:cs="Arial"/>
          <w:szCs w:val="24"/>
        </w:rPr>
        <w:t>ndicadores para Resultados</w:t>
      </w:r>
      <w:r w:rsidRPr="002740EA">
        <w:rPr>
          <w:rFonts w:cs="Arial"/>
          <w:szCs w:val="24"/>
        </w:rPr>
        <w:t xml:space="preserve"> de los Programas Presupuestarios a su cargo en temas de Presupuesto basado en Resultados</w:t>
      </w:r>
      <w:r w:rsidR="002D1A2C" w:rsidRPr="002740EA">
        <w:rPr>
          <w:rFonts w:cs="Arial"/>
          <w:szCs w:val="24"/>
        </w:rPr>
        <w:t xml:space="preserve"> (PbR), Sistema de Evaluación del</w:t>
      </w:r>
      <w:r w:rsidRPr="002740EA">
        <w:rPr>
          <w:rFonts w:cs="Arial"/>
          <w:szCs w:val="24"/>
        </w:rPr>
        <w:t xml:space="preserve"> Desempeño (SED), Matrices de Indicadores para Resultados (MIR) y Metodología del Marco Lógico (MML).</w:t>
      </w:r>
    </w:p>
    <w:p w14:paraId="31AD3B87" w14:textId="77777777" w:rsidR="001A07A1" w:rsidRPr="002740EA" w:rsidRDefault="001A07A1" w:rsidP="000C6B37">
      <w:pPr>
        <w:spacing w:after="0" w:line="276" w:lineRule="auto"/>
        <w:jc w:val="both"/>
        <w:rPr>
          <w:rFonts w:cs="Arial"/>
          <w:szCs w:val="24"/>
        </w:rPr>
      </w:pPr>
    </w:p>
    <w:p w14:paraId="299A6647" w14:textId="133EE717" w:rsidR="000B369D" w:rsidRDefault="000B369D" w:rsidP="000C6B37">
      <w:pPr>
        <w:spacing w:after="0" w:line="276" w:lineRule="auto"/>
        <w:jc w:val="both"/>
        <w:rPr>
          <w:rFonts w:cs="Arial"/>
          <w:szCs w:val="24"/>
          <w:lang w:val="es-ES_tradnl"/>
        </w:rPr>
      </w:pPr>
      <w:r w:rsidRPr="002740EA">
        <w:rPr>
          <w:rFonts w:cs="Arial"/>
          <w:szCs w:val="24"/>
        </w:rPr>
        <w:t xml:space="preserve">No obstante, el ente proporcionó evidencia, en la forma de constancias, en donde se verificó que </w:t>
      </w:r>
      <w:r w:rsidR="005040AF" w:rsidRPr="002740EA">
        <w:rPr>
          <w:rFonts w:cs="Arial"/>
          <w:szCs w:val="24"/>
        </w:rPr>
        <w:t xml:space="preserve">aquellos </w:t>
      </w:r>
      <w:r w:rsidRPr="002740EA">
        <w:rPr>
          <w:rFonts w:cs="Arial"/>
          <w:szCs w:val="24"/>
          <w:lang w:val="es-ES_tradnl"/>
        </w:rPr>
        <w:t xml:space="preserve">servidores públicos recibieron capacitación en </w:t>
      </w:r>
      <w:r w:rsidR="00187D0F" w:rsidRPr="002740EA">
        <w:rPr>
          <w:rFonts w:cs="Arial"/>
          <w:szCs w:val="24"/>
          <w:lang w:val="es-ES_tradnl"/>
        </w:rPr>
        <w:t xml:space="preserve">materia </w:t>
      </w:r>
      <w:r w:rsidR="007F2961" w:rsidRPr="002740EA">
        <w:rPr>
          <w:rFonts w:cs="Arial"/>
          <w:szCs w:val="24"/>
          <w:lang w:val="es-ES_tradnl"/>
        </w:rPr>
        <w:t>de</w:t>
      </w:r>
      <w:r w:rsidR="004E123F" w:rsidRPr="002740EA">
        <w:rPr>
          <w:szCs w:val="24"/>
        </w:rPr>
        <w:t xml:space="preserve"> Presupuesto Basado en Resultados</w:t>
      </w:r>
      <w:r w:rsidR="00AE7AA6" w:rsidRPr="002740EA">
        <w:rPr>
          <w:rFonts w:cs="Arial"/>
          <w:szCs w:val="24"/>
        </w:rPr>
        <w:t xml:space="preserve"> (PbR), Sistema de Evaluación del</w:t>
      </w:r>
      <w:r w:rsidR="004E123F" w:rsidRPr="002740EA">
        <w:rPr>
          <w:rFonts w:cs="Arial"/>
          <w:szCs w:val="24"/>
        </w:rPr>
        <w:t xml:space="preserve"> Desempeño (SED),</w:t>
      </w:r>
      <w:r w:rsidR="004E123F" w:rsidRPr="002740EA">
        <w:rPr>
          <w:szCs w:val="24"/>
        </w:rPr>
        <w:t xml:space="preserve"> Matriz de Indicadores para Resultados (MIR) y Metodología del Marco Lógico (MML)</w:t>
      </w:r>
      <w:r w:rsidR="00187D0F" w:rsidRPr="002740EA">
        <w:rPr>
          <w:szCs w:val="24"/>
        </w:rPr>
        <w:t xml:space="preserve"> </w:t>
      </w:r>
      <w:r w:rsidRPr="002740EA">
        <w:rPr>
          <w:rFonts w:cs="Arial"/>
          <w:szCs w:val="24"/>
          <w:lang w:val="es-ES_tradnl"/>
        </w:rPr>
        <w:t>durante el Ejercicio Fiscal 2020 y en años previos a este.</w:t>
      </w:r>
    </w:p>
    <w:p w14:paraId="6F340A9C" w14:textId="77777777" w:rsidR="00456A66" w:rsidRPr="002740EA" w:rsidRDefault="00456A66" w:rsidP="000C6B37">
      <w:pPr>
        <w:spacing w:after="0" w:line="276" w:lineRule="auto"/>
        <w:jc w:val="both"/>
        <w:rPr>
          <w:rFonts w:cs="Arial"/>
          <w:szCs w:val="24"/>
          <w:lang w:val="es-ES_tradnl"/>
        </w:rPr>
      </w:pPr>
    </w:p>
    <w:p w14:paraId="18A9646F" w14:textId="6BB2524C" w:rsidR="002B513D" w:rsidRPr="002740EA" w:rsidRDefault="00E96405" w:rsidP="000C6B37">
      <w:pPr>
        <w:spacing w:after="0"/>
        <w:jc w:val="both"/>
        <w:rPr>
          <w:szCs w:val="24"/>
        </w:rPr>
      </w:pPr>
      <w:r w:rsidRPr="002740EA">
        <w:rPr>
          <w:rFonts w:cs="Arial"/>
          <w:szCs w:val="24"/>
          <w:lang w:val="es-ES_tradnl"/>
        </w:rPr>
        <w:t>S</w:t>
      </w:r>
      <w:r w:rsidR="000B369D" w:rsidRPr="002740EA">
        <w:rPr>
          <w:rFonts w:cs="Arial"/>
          <w:szCs w:val="24"/>
          <w:lang w:val="es-ES_tradnl"/>
        </w:rPr>
        <w:t xml:space="preserve">e concluye que </w:t>
      </w:r>
      <w:r w:rsidR="00421BE0" w:rsidRPr="002740EA">
        <w:rPr>
          <w:rFonts w:cs="Arial"/>
          <w:szCs w:val="24"/>
          <w:lang w:val="es-ES_tradnl"/>
        </w:rPr>
        <w:t>aun</w:t>
      </w:r>
      <w:r w:rsidRPr="002740EA">
        <w:rPr>
          <w:rFonts w:cs="Arial"/>
          <w:szCs w:val="24"/>
          <w:lang w:val="es-ES_tradnl"/>
        </w:rPr>
        <w:t xml:space="preserve"> cuando</w:t>
      </w:r>
      <w:r w:rsidR="000B369D" w:rsidRPr="002740EA">
        <w:rPr>
          <w:rFonts w:cs="Arial"/>
          <w:szCs w:val="24"/>
          <w:lang w:val="es-ES_tradnl"/>
        </w:rPr>
        <w:t xml:space="preserve"> el ente no implementó </w:t>
      </w:r>
      <w:r w:rsidR="00F1615D" w:rsidRPr="002740EA">
        <w:rPr>
          <w:rFonts w:cs="Arial"/>
          <w:szCs w:val="24"/>
          <w:lang w:val="es-ES_tradnl"/>
        </w:rPr>
        <w:t xml:space="preserve">en el Ejercicio Fiscal 2020, </w:t>
      </w:r>
      <w:r w:rsidR="000B369D" w:rsidRPr="002740EA">
        <w:rPr>
          <w:rFonts w:cs="Arial"/>
          <w:szCs w:val="24"/>
          <w:lang w:val="es-ES_tradnl"/>
        </w:rPr>
        <w:t xml:space="preserve">un programa de capacitación </w:t>
      </w:r>
      <w:r w:rsidR="00EA63CC" w:rsidRPr="002740EA">
        <w:rPr>
          <w:rFonts w:cs="Arial"/>
          <w:szCs w:val="24"/>
        </w:rPr>
        <w:t>a</w:t>
      </w:r>
      <w:r w:rsidR="007B7D8A" w:rsidRPr="002740EA">
        <w:rPr>
          <w:rFonts w:cs="Arial"/>
          <w:szCs w:val="24"/>
          <w:lang w:eastAsia="es-MX"/>
        </w:rPr>
        <w:t>l personal encargado de elaborar la MIR</w:t>
      </w:r>
      <w:r w:rsidR="00794E47" w:rsidRPr="002740EA">
        <w:rPr>
          <w:rFonts w:cs="Arial"/>
          <w:szCs w:val="24"/>
        </w:rPr>
        <w:t xml:space="preserve"> </w:t>
      </w:r>
      <w:r w:rsidR="000B369D" w:rsidRPr="002740EA">
        <w:rPr>
          <w:rFonts w:cs="Arial"/>
          <w:szCs w:val="24"/>
          <w:lang w:val="es-ES_tradnl"/>
        </w:rPr>
        <w:t>de la Universidad de Quintana Roo</w:t>
      </w:r>
      <w:r w:rsidR="00646C4F" w:rsidRPr="002740EA">
        <w:rPr>
          <w:rFonts w:cs="Arial"/>
          <w:szCs w:val="24"/>
          <w:lang w:val="es-ES_tradnl"/>
        </w:rPr>
        <w:t>, este</w:t>
      </w:r>
      <w:r w:rsidR="000B369D" w:rsidRPr="002740EA">
        <w:rPr>
          <w:rFonts w:cs="Arial"/>
          <w:szCs w:val="24"/>
          <w:lang w:val="es-ES_tradnl"/>
        </w:rPr>
        <w:t xml:space="preserve"> se capacitó en temas relacionados con </w:t>
      </w:r>
      <w:r w:rsidR="002B513D" w:rsidRPr="002740EA">
        <w:rPr>
          <w:rFonts w:cs="Arial"/>
          <w:szCs w:val="24"/>
          <w:lang w:val="es-ES_tradnl"/>
        </w:rPr>
        <w:t>el</w:t>
      </w:r>
      <w:r w:rsidR="002B513D" w:rsidRPr="002740EA">
        <w:rPr>
          <w:szCs w:val="24"/>
        </w:rPr>
        <w:t xml:space="preserve"> Presupuesto Basado en Resultados</w:t>
      </w:r>
      <w:r w:rsidR="002B513D" w:rsidRPr="002740EA">
        <w:rPr>
          <w:rFonts w:cs="Arial"/>
          <w:szCs w:val="24"/>
        </w:rPr>
        <w:t xml:space="preserve"> </w:t>
      </w:r>
      <w:r w:rsidR="00F213C2" w:rsidRPr="002740EA">
        <w:rPr>
          <w:rFonts w:cs="Arial"/>
          <w:szCs w:val="24"/>
        </w:rPr>
        <w:t>(PbR), Sistema de Evaluación del</w:t>
      </w:r>
      <w:r w:rsidR="002B513D" w:rsidRPr="002740EA">
        <w:rPr>
          <w:rFonts w:cs="Arial"/>
          <w:szCs w:val="24"/>
        </w:rPr>
        <w:t xml:space="preserve"> Desempeño (SED),</w:t>
      </w:r>
      <w:r w:rsidR="002B513D" w:rsidRPr="002740EA">
        <w:rPr>
          <w:szCs w:val="24"/>
        </w:rPr>
        <w:t xml:space="preserve"> Matriz de Indicadores para Resultados (MIR) y Metodología del Marco Lógico (MML).</w:t>
      </w:r>
    </w:p>
    <w:p w14:paraId="6C69166B" w14:textId="77777777" w:rsidR="00421BE0" w:rsidRPr="002740EA" w:rsidRDefault="00421BE0" w:rsidP="000C6B37">
      <w:pPr>
        <w:spacing w:after="0"/>
        <w:jc w:val="both"/>
        <w:rPr>
          <w:szCs w:val="24"/>
        </w:rPr>
      </w:pPr>
    </w:p>
    <w:p w14:paraId="63427C35" w14:textId="2BD2A5EC" w:rsidR="00FB13D0" w:rsidRPr="00456A66" w:rsidRDefault="00FB13D0" w:rsidP="000C6B37">
      <w:pPr>
        <w:spacing w:after="0"/>
        <w:jc w:val="both"/>
        <w:rPr>
          <w:rFonts w:cs="Arial"/>
          <w:b/>
          <w:bCs/>
          <w:sz w:val="18"/>
          <w:szCs w:val="24"/>
        </w:rPr>
      </w:pPr>
    </w:p>
    <w:p w14:paraId="0E0E8AAC" w14:textId="77777777" w:rsidR="00EA2E60" w:rsidRPr="002740EA" w:rsidRDefault="00EA2E60" w:rsidP="00144066">
      <w:pPr>
        <w:pStyle w:val="Ttulo2"/>
      </w:pPr>
      <w:bookmarkStart w:id="25" w:name="_Toc74334063"/>
      <w:bookmarkStart w:id="26" w:name="_Toc75348453"/>
      <w:r w:rsidRPr="002740EA">
        <w:t>I.4. COMENTARIOS DEL ENTE FISCALIZADO</w:t>
      </w:r>
      <w:bookmarkEnd w:id="25"/>
      <w:bookmarkEnd w:id="26"/>
    </w:p>
    <w:p w14:paraId="5EEA9E0E" w14:textId="77777777" w:rsidR="00EA2E60" w:rsidRPr="002740EA" w:rsidRDefault="00EA2E60" w:rsidP="000C6B37">
      <w:pPr>
        <w:spacing w:after="0"/>
        <w:jc w:val="both"/>
        <w:rPr>
          <w:rFonts w:cs="Arial"/>
        </w:rPr>
      </w:pPr>
    </w:p>
    <w:p w14:paraId="69BE7A6A" w14:textId="79145AA9" w:rsidR="00EA2E60" w:rsidRPr="002740EA" w:rsidRDefault="00EA2E60" w:rsidP="000C6B37">
      <w:pPr>
        <w:spacing w:after="0"/>
        <w:jc w:val="both"/>
        <w:rPr>
          <w:rFonts w:cs="Arial"/>
        </w:rPr>
      </w:pPr>
      <w:r w:rsidRPr="002740EA">
        <w:rPr>
          <w:rFonts w:cs="Arial"/>
        </w:rPr>
        <w:t>Es importante señalar que la documentación proporcionada por el Ente fiscalizado para aclarar o justificar los resultados y las observaciones presentadas en las reuniones de trabajo fue analizada con el fin de determinar la procedencia de eliminar, rectificar o ratificar los resultados finales de auditoría y las observaciones preliminares determinados por la Auditoría Superior del Estado de Quintana Roo y que se presentó a esta entidad fiscalizadora para efectos de la elaboración de este Informe.</w:t>
      </w:r>
    </w:p>
    <w:p w14:paraId="1CE703A7" w14:textId="64EF2A4E" w:rsidR="00421BE0" w:rsidRPr="002740EA" w:rsidRDefault="00421BE0" w:rsidP="000C6B37">
      <w:pPr>
        <w:spacing w:after="0"/>
        <w:jc w:val="both"/>
        <w:rPr>
          <w:rFonts w:cs="Arial"/>
        </w:rPr>
      </w:pPr>
    </w:p>
    <w:p w14:paraId="4636D9F6" w14:textId="77777777" w:rsidR="00421BE0" w:rsidRPr="0007748D" w:rsidRDefault="00421BE0" w:rsidP="000C6B37">
      <w:pPr>
        <w:spacing w:after="0"/>
        <w:jc w:val="both"/>
        <w:rPr>
          <w:rFonts w:cs="Arial"/>
        </w:rPr>
      </w:pPr>
    </w:p>
    <w:p w14:paraId="0536ABC7" w14:textId="080C2FCE" w:rsidR="00AE1BE5" w:rsidRPr="002740EA" w:rsidRDefault="00974E23" w:rsidP="000C6B37">
      <w:pPr>
        <w:pStyle w:val="Ttulo2"/>
        <w:spacing w:before="0"/>
      </w:pPr>
      <w:bookmarkStart w:id="27" w:name="_Toc11413514"/>
      <w:bookmarkStart w:id="28" w:name="_Toc75348454"/>
      <w:r w:rsidRPr="002740EA">
        <w:rPr>
          <w:bCs/>
        </w:rPr>
        <w:t>I</w:t>
      </w:r>
      <w:r w:rsidR="00C14DA4" w:rsidRPr="002740EA">
        <w:rPr>
          <w:bCs/>
        </w:rPr>
        <w:t>.5</w:t>
      </w:r>
      <w:r w:rsidR="00AE1BE5" w:rsidRPr="002740EA">
        <w:rPr>
          <w:bCs/>
        </w:rPr>
        <w:t xml:space="preserve">. </w:t>
      </w:r>
      <w:r w:rsidR="00AE1BE5" w:rsidRPr="002740EA">
        <w:t xml:space="preserve"> TABLA DE JUSTIFICACIONES Y ACLARACIONES DE LOS RESULTADOS</w:t>
      </w:r>
      <w:bookmarkEnd w:id="27"/>
      <w:bookmarkEnd w:id="28"/>
    </w:p>
    <w:p w14:paraId="1D689543" w14:textId="77777777" w:rsidR="00AE1BE5" w:rsidRPr="0007748D" w:rsidRDefault="00AE1BE5" w:rsidP="000C6B37">
      <w:pPr>
        <w:spacing w:after="0"/>
        <w:jc w:val="both"/>
        <w:rPr>
          <w:rFonts w:cs="Arial"/>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525"/>
      </w:tblGrid>
      <w:tr w:rsidR="009F0868" w:rsidRPr="002740EA" w14:paraId="099C817B" w14:textId="77777777" w:rsidTr="00746A8C">
        <w:trPr>
          <w:trHeight w:val="247"/>
          <w:tblHeader/>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4BAEBD2F" w14:textId="2BF09F4E" w:rsidR="009F0868" w:rsidRPr="002740EA" w:rsidRDefault="009F0868" w:rsidP="00D1069A">
            <w:pPr>
              <w:spacing w:after="0" w:line="276" w:lineRule="auto"/>
              <w:jc w:val="both"/>
              <w:rPr>
                <w:rFonts w:cs="Arial"/>
                <w:b/>
                <w:bCs/>
                <w:sz w:val="22"/>
                <w:lang w:val="es-ES"/>
              </w:rPr>
            </w:pPr>
            <w:r w:rsidRPr="002740EA">
              <w:rPr>
                <w:rFonts w:cs="Arial"/>
                <w:b/>
                <w:bCs/>
                <w:sz w:val="22"/>
                <w:lang w:val="es-ES"/>
              </w:rPr>
              <w:t xml:space="preserve">Auditoría al </w:t>
            </w:r>
            <w:r w:rsidR="00D845FC" w:rsidRPr="002740EA">
              <w:rPr>
                <w:rFonts w:cs="Arial"/>
                <w:b/>
                <w:bCs/>
                <w:sz w:val="22"/>
                <w:lang w:val="es-ES"/>
              </w:rPr>
              <w:t>D</w:t>
            </w:r>
            <w:r w:rsidR="00707AD6" w:rsidRPr="002740EA">
              <w:rPr>
                <w:rFonts w:cs="Arial"/>
                <w:b/>
                <w:bCs/>
                <w:sz w:val="22"/>
                <w:lang w:val="es-ES"/>
              </w:rPr>
              <w:t>esempeño de</w:t>
            </w:r>
            <w:r w:rsidRPr="002740EA">
              <w:rPr>
                <w:rFonts w:cs="Arial"/>
                <w:b/>
                <w:bCs/>
                <w:sz w:val="22"/>
                <w:lang w:val="es-ES"/>
              </w:rPr>
              <w:t xml:space="preserve"> las Matrices</w:t>
            </w:r>
            <w:r w:rsidR="00707AD6" w:rsidRPr="002740EA">
              <w:rPr>
                <w:rFonts w:cs="Arial"/>
                <w:b/>
                <w:bCs/>
                <w:sz w:val="22"/>
                <w:lang w:val="es-ES"/>
              </w:rPr>
              <w:t xml:space="preserve"> de Indicadores para Resultados</w:t>
            </w:r>
            <w:r w:rsidR="00EB4EB6" w:rsidRPr="002740EA">
              <w:rPr>
                <w:rFonts w:cs="Arial"/>
                <w:b/>
                <w:bCs/>
                <w:sz w:val="22"/>
                <w:lang w:val="es-ES"/>
              </w:rPr>
              <w:t xml:space="preserve"> </w:t>
            </w:r>
            <w:r w:rsidR="004B294D" w:rsidRPr="002740EA">
              <w:rPr>
                <w:rFonts w:cs="Arial"/>
                <w:b/>
                <w:bCs/>
                <w:sz w:val="22"/>
                <w:lang w:val="es-ES"/>
              </w:rPr>
              <w:t xml:space="preserve">                       20-AEMD-A-GOB-048-098</w:t>
            </w:r>
          </w:p>
        </w:tc>
      </w:tr>
      <w:tr w:rsidR="00AE1BE5" w:rsidRPr="002740EA" w14:paraId="217CCF83" w14:textId="77777777" w:rsidTr="00746A8C">
        <w:trPr>
          <w:trHeight w:val="247"/>
        </w:trPr>
        <w:tc>
          <w:tcPr>
            <w:tcW w:w="6374" w:type="dxa"/>
            <w:tcBorders>
              <w:top w:val="single" w:sz="4" w:space="0" w:color="BFBFBF" w:themeColor="background1" w:themeShade="BF"/>
              <w:bottom w:val="single" w:sz="4" w:space="0" w:color="BFBFBF" w:themeColor="background1" w:themeShade="BF"/>
              <w:right w:val="nil"/>
            </w:tcBorders>
            <w:shd w:val="clear" w:color="000000" w:fill="D9D9D9"/>
            <w:noWrap/>
            <w:vAlign w:val="center"/>
            <w:hideMark/>
          </w:tcPr>
          <w:p w14:paraId="541FF126" w14:textId="77777777" w:rsidR="00AE1BE5" w:rsidRPr="002740EA" w:rsidRDefault="00AE1BE5" w:rsidP="00D1069A">
            <w:pPr>
              <w:spacing w:after="0" w:line="276" w:lineRule="auto"/>
              <w:jc w:val="center"/>
              <w:rPr>
                <w:rFonts w:cs="Arial"/>
                <w:b/>
                <w:bCs/>
                <w:sz w:val="22"/>
                <w:lang w:val="es-ES"/>
              </w:rPr>
            </w:pPr>
            <w:r w:rsidRPr="002740EA">
              <w:rPr>
                <w:rFonts w:cs="Arial"/>
                <w:b/>
                <w:bCs/>
                <w:sz w:val="22"/>
                <w:lang w:val="es-ES"/>
              </w:rPr>
              <w:t>Concepto</w:t>
            </w:r>
          </w:p>
        </w:tc>
        <w:tc>
          <w:tcPr>
            <w:tcW w:w="25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000000" w:fill="D9D9D9"/>
            <w:noWrap/>
            <w:vAlign w:val="center"/>
            <w:hideMark/>
          </w:tcPr>
          <w:p w14:paraId="687311C0" w14:textId="77777777" w:rsidR="00AE1BE5" w:rsidRPr="002740EA" w:rsidRDefault="00AE1BE5" w:rsidP="00D1069A">
            <w:pPr>
              <w:spacing w:after="0" w:line="276" w:lineRule="auto"/>
              <w:jc w:val="center"/>
              <w:rPr>
                <w:rFonts w:cs="Arial"/>
                <w:b/>
                <w:bCs/>
                <w:sz w:val="22"/>
                <w:lang w:val="es-ES"/>
              </w:rPr>
            </w:pPr>
            <w:r w:rsidRPr="002740EA">
              <w:rPr>
                <w:rFonts w:cs="Arial"/>
                <w:b/>
                <w:bCs/>
                <w:sz w:val="22"/>
                <w:lang w:val="es-ES"/>
              </w:rPr>
              <w:t>Atención</w:t>
            </w:r>
          </w:p>
        </w:tc>
      </w:tr>
      <w:tr w:rsidR="00AE1BE5" w:rsidRPr="002740EA" w14:paraId="32886A75" w14:textId="77777777" w:rsidTr="00746A8C">
        <w:trPr>
          <w:trHeight w:val="247"/>
        </w:trPr>
        <w:tc>
          <w:tcPr>
            <w:tcW w:w="6374" w:type="dxa"/>
            <w:tcBorders>
              <w:right w:val="single" w:sz="4" w:space="0" w:color="BFBFBF" w:themeColor="background1" w:themeShade="BF"/>
            </w:tcBorders>
            <w:shd w:val="clear" w:color="auto" w:fill="auto"/>
            <w:vAlign w:val="center"/>
          </w:tcPr>
          <w:p w14:paraId="4C31A97C" w14:textId="736521BA" w:rsidR="00AE1BE5" w:rsidRPr="002740EA" w:rsidRDefault="009062BE" w:rsidP="009062BE">
            <w:pPr>
              <w:spacing w:after="0" w:line="276" w:lineRule="auto"/>
              <w:jc w:val="both"/>
              <w:rPr>
                <w:rFonts w:cs="Arial"/>
                <w:sz w:val="22"/>
              </w:rPr>
            </w:pPr>
            <w:r w:rsidRPr="002740EA">
              <w:rPr>
                <w:rFonts w:cs="Arial"/>
                <w:sz w:val="22"/>
              </w:rPr>
              <w:t xml:space="preserve">1. Control Interno </w:t>
            </w:r>
          </w:p>
        </w:tc>
        <w:tc>
          <w:tcPr>
            <w:tcW w:w="25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3FCC2C" w14:textId="77777777" w:rsidR="00AE1BE5" w:rsidRPr="002740EA" w:rsidRDefault="00FF4A76" w:rsidP="00D1069A">
            <w:pPr>
              <w:spacing w:after="0" w:line="276" w:lineRule="auto"/>
              <w:jc w:val="center"/>
              <w:rPr>
                <w:rFonts w:cs="Arial"/>
                <w:sz w:val="22"/>
                <w:lang w:val="es-ES"/>
              </w:rPr>
            </w:pPr>
            <w:r w:rsidRPr="002740EA">
              <w:rPr>
                <w:rFonts w:cs="Arial"/>
                <w:sz w:val="22"/>
                <w:lang w:val="es-ES"/>
              </w:rPr>
              <w:t>Seguimiento</w:t>
            </w:r>
          </w:p>
        </w:tc>
      </w:tr>
      <w:tr w:rsidR="00AE1BE5" w:rsidRPr="002740EA" w14:paraId="72C108F2" w14:textId="77777777" w:rsidTr="00746A8C">
        <w:trPr>
          <w:trHeight w:val="247"/>
        </w:trPr>
        <w:tc>
          <w:tcPr>
            <w:tcW w:w="6374" w:type="dxa"/>
            <w:shd w:val="clear" w:color="auto" w:fill="auto"/>
            <w:vAlign w:val="center"/>
          </w:tcPr>
          <w:p w14:paraId="0632E6CC" w14:textId="71222674" w:rsidR="00AE1BE5" w:rsidRPr="002740EA" w:rsidRDefault="00633A87" w:rsidP="00D1069A">
            <w:pPr>
              <w:spacing w:after="0" w:line="276" w:lineRule="auto"/>
              <w:jc w:val="both"/>
              <w:rPr>
                <w:rFonts w:cs="Arial"/>
                <w:sz w:val="22"/>
              </w:rPr>
            </w:pPr>
            <w:r w:rsidRPr="002740EA">
              <w:rPr>
                <w:rFonts w:cs="Arial"/>
                <w:sz w:val="22"/>
              </w:rPr>
              <w:t>2. Matriz de Indicadores para Resu</w:t>
            </w:r>
            <w:r w:rsidR="00DD10D5" w:rsidRPr="002740EA">
              <w:rPr>
                <w:rFonts w:cs="Arial"/>
                <w:sz w:val="22"/>
              </w:rPr>
              <w:t xml:space="preserve">ltados </w:t>
            </w:r>
          </w:p>
        </w:tc>
        <w:tc>
          <w:tcPr>
            <w:tcW w:w="2525" w:type="dxa"/>
            <w:shd w:val="clear" w:color="auto" w:fill="auto"/>
            <w:vAlign w:val="center"/>
          </w:tcPr>
          <w:p w14:paraId="69CCD981" w14:textId="77777777" w:rsidR="00AE1BE5" w:rsidRPr="002740EA" w:rsidRDefault="002D03CE" w:rsidP="00D1069A">
            <w:pPr>
              <w:spacing w:after="0" w:line="276" w:lineRule="auto"/>
              <w:jc w:val="center"/>
              <w:rPr>
                <w:rFonts w:cs="Arial"/>
                <w:sz w:val="22"/>
                <w:lang w:val="es-ES"/>
              </w:rPr>
            </w:pPr>
            <w:r w:rsidRPr="002740EA">
              <w:rPr>
                <w:rFonts w:cs="Arial"/>
                <w:sz w:val="22"/>
                <w:lang w:val="es-ES"/>
              </w:rPr>
              <w:t>Seguimiento</w:t>
            </w:r>
          </w:p>
        </w:tc>
      </w:tr>
      <w:tr w:rsidR="00AE1BE5" w:rsidRPr="002740EA" w14:paraId="4310DC62" w14:textId="77777777" w:rsidTr="00160CFD">
        <w:trPr>
          <w:trHeight w:val="1641"/>
        </w:trPr>
        <w:tc>
          <w:tcPr>
            <w:tcW w:w="8899" w:type="dxa"/>
            <w:gridSpan w:val="2"/>
            <w:tcBorders>
              <w:bottom w:val="single" w:sz="4" w:space="0" w:color="BFBFBF" w:themeColor="background1" w:themeShade="BF"/>
            </w:tcBorders>
            <w:shd w:val="clear" w:color="auto" w:fill="auto"/>
            <w:vAlign w:val="center"/>
            <w:hideMark/>
          </w:tcPr>
          <w:p w14:paraId="5DA94D8C" w14:textId="73A2BABF" w:rsidR="00E50030" w:rsidRPr="002740EA" w:rsidRDefault="00DD39FF" w:rsidP="00C1165D">
            <w:pPr>
              <w:spacing w:after="0" w:line="276" w:lineRule="auto"/>
              <w:jc w:val="both"/>
              <w:rPr>
                <w:rFonts w:cs="Arial"/>
                <w:sz w:val="22"/>
                <w:lang w:val="es-ES"/>
              </w:rPr>
            </w:pPr>
            <w:r w:rsidRPr="002740EA">
              <w:rPr>
                <w:rFonts w:cs="Arial"/>
                <w:b/>
                <w:bCs/>
                <w:sz w:val="22"/>
                <w:lang w:val="es-ES"/>
              </w:rPr>
              <w:t>Recomendación de</w:t>
            </w:r>
            <w:r w:rsidR="00AE1BE5" w:rsidRPr="002740EA">
              <w:rPr>
                <w:rFonts w:cs="Arial"/>
                <w:b/>
                <w:bCs/>
                <w:sz w:val="22"/>
                <w:lang w:val="es-ES"/>
              </w:rPr>
              <w:t xml:space="preserve"> Desempeño:</w:t>
            </w:r>
            <w:r w:rsidR="00AE1BE5" w:rsidRPr="002740EA">
              <w:rPr>
                <w:rFonts w:cs="Arial"/>
                <w:sz w:val="22"/>
                <w:lang w:val="es-ES"/>
              </w:rPr>
              <w:t xml:space="preserve"> Es el tipo </w:t>
            </w:r>
            <w:r w:rsidR="00215BA0" w:rsidRPr="002740EA">
              <w:rPr>
                <w:rFonts w:cs="Arial"/>
                <w:sz w:val="22"/>
                <w:lang w:val="es-ES"/>
              </w:rPr>
              <w:t>de sugerencias que se emite a lo</w:t>
            </w:r>
            <w:r w:rsidR="00AE1BE5" w:rsidRPr="002740EA">
              <w:rPr>
                <w:rFonts w:cs="Arial"/>
                <w:sz w:val="22"/>
                <w:lang w:val="es-ES"/>
              </w:rPr>
              <w:t xml:space="preserve">s </w:t>
            </w:r>
            <w:r w:rsidR="00215BA0" w:rsidRPr="002740EA">
              <w:rPr>
                <w:rFonts w:cs="Arial"/>
                <w:sz w:val="22"/>
                <w:lang w:val="es-ES"/>
              </w:rPr>
              <w:t>Entes Públicos Fiscalizado</w:t>
            </w:r>
            <w:r w:rsidR="00AE1BE5" w:rsidRPr="002740EA">
              <w:rPr>
                <w:rFonts w:cs="Arial"/>
                <w:sz w:val="22"/>
                <w:lang w:val="es-ES"/>
              </w:rPr>
              <w:t xml:space="preserve">s para promover el cumplimiento de los objetivos y metas de las instituciones, </w:t>
            </w:r>
            <w:r w:rsidR="00137150" w:rsidRPr="002740EA">
              <w:rPr>
                <w:rFonts w:cs="Arial"/>
                <w:sz w:val="22"/>
                <w:lang w:val="es-ES"/>
              </w:rPr>
              <w:t xml:space="preserve">sus </w:t>
            </w:r>
            <w:r w:rsidR="00AE1BE5" w:rsidRPr="002740EA">
              <w:rPr>
                <w:rFonts w:cs="Arial"/>
                <w:sz w:val="22"/>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AE1BE5" w:rsidRPr="002740EA" w14:paraId="0ED70708" w14:textId="77777777" w:rsidTr="00746A8C">
        <w:trPr>
          <w:trHeight w:val="247"/>
        </w:trPr>
        <w:tc>
          <w:tcPr>
            <w:tcW w:w="8899" w:type="dxa"/>
            <w:gridSpan w:val="2"/>
            <w:tcBorders>
              <w:bottom w:val="nil"/>
            </w:tcBorders>
            <w:shd w:val="clear" w:color="auto" w:fill="auto"/>
            <w:vAlign w:val="center"/>
            <w:hideMark/>
          </w:tcPr>
          <w:p w14:paraId="3B2B7FEA" w14:textId="4C81A587" w:rsidR="00D1069A" w:rsidRPr="002740EA" w:rsidRDefault="00AE1BE5" w:rsidP="009C0614">
            <w:pPr>
              <w:spacing w:after="0" w:line="276" w:lineRule="auto"/>
              <w:jc w:val="both"/>
              <w:rPr>
                <w:rFonts w:cs="Arial"/>
                <w:sz w:val="22"/>
                <w:lang w:val="es-ES"/>
              </w:rPr>
            </w:pPr>
            <w:r w:rsidRPr="002740EA">
              <w:rPr>
                <w:rFonts w:cs="Arial"/>
                <w:b/>
                <w:bCs/>
                <w:sz w:val="22"/>
                <w:lang w:val="es-ES"/>
              </w:rPr>
              <w:t>Atendido</w:t>
            </w:r>
            <w:r w:rsidR="0035758B" w:rsidRPr="002740EA">
              <w:rPr>
                <w:rFonts w:cs="Arial"/>
                <w:sz w:val="22"/>
                <w:lang w:val="es-ES"/>
              </w:rPr>
              <w:t>: Información remitida por los Entes Públicos Fiscalizado</w:t>
            </w:r>
            <w:r w:rsidRPr="002740EA">
              <w:rPr>
                <w:rFonts w:cs="Arial"/>
                <w:sz w:val="22"/>
                <w:lang w:val="es-ES"/>
              </w:rPr>
              <w:t>s en atención a los resultados preliminares.</w:t>
            </w:r>
          </w:p>
        </w:tc>
      </w:tr>
      <w:tr w:rsidR="00AE1BE5" w:rsidRPr="002740EA" w14:paraId="0CEC8664" w14:textId="77777777" w:rsidTr="00746A8C">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20C6FD34" w14:textId="3E7D4928" w:rsidR="00AE1BE5" w:rsidRPr="002740EA" w:rsidRDefault="00AE1BE5" w:rsidP="00D1069A">
            <w:pPr>
              <w:spacing w:after="0" w:line="276" w:lineRule="auto"/>
              <w:jc w:val="both"/>
              <w:rPr>
                <w:rFonts w:cs="Arial"/>
                <w:sz w:val="22"/>
                <w:lang w:val="es-ES"/>
              </w:rPr>
            </w:pPr>
            <w:r w:rsidRPr="002740EA">
              <w:rPr>
                <w:rFonts w:cs="Arial"/>
                <w:b/>
                <w:bCs/>
                <w:sz w:val="22"/>
                <w:lang w:val="es-ES"/>
              </w:rPr>
              <w:t>No atendido</w:t>
            </w:r>
            <w:r w:rsidRPr="002740EA">
              <w:rPr>
                <w:rFonts w:cs="Arial"/>
                <w:sz w:val="22"/>
                <w:lang w:val="es-ES"/>
              </w:rPr>
              <w:t>: Las observaciones que no se atendieron en la reunión de trabajo d</w:t>
            </w:r>
            <w:r w:rsidR="006C2F92" w:rsidRPr="002740EA">
              <w:rPr>
                <w:rFonts w:cs="Arial"/>
                <w:sz w:val="22"/>
                <w:lang w:val="es-ES"/>
              </w:rPr>
              <w:t>e resultados preliminares por los Entes</w:t>
            </w:r>
            <w:r w:rsidRPr="002740EA">
              <w:rPr>
                <w:rFonts w:cs="Arial"/>
                <w:sz w:val="22"/>
                <w:lang w:val="es-ES"/>
              </w:rPr>
              <w:t xml:space="preserve"> </w:t>
            </w:r>
            <w:r w:rsidR="00881E17" w:rsidRPr="002740EA">
              <w:rPr>
                <w:rFonts w:cs="Arial"/>
                <w:sz w:val="22"/>
                <w:lang w:val="es-ES"/>
              </w:rPr>
              <w:t xml:space="preserve">públicos </w:t>
            </w:r>
            <w:r w:rsidRPr="002740EA">
              <w:rPr>
                <w:rFonts w:cs="Arial"/>
                <w:sz w:val="22"/>
                <w:lang w:val="es-ES"/>
              </w:rPr>
              <w:t>Fiscalizad</w:t>
            </w:r>
            <w:r w:rsidR="006C2F92" w:rsidRPr="002740EA">
              <w:rPr>
                <w:rFonts w:cs="Arial"/>
                <w:sz w:val="22"/>
                <w:lang w:val="es-ES"/>
              </w:rPr>
              <w:t>o</w:t>
            </w:r>
            <w:r w:rsidRPr="002740EA">
              <w:rPr>
                <w:rFonts w:cs="Arial"/>
                <w:sz w:val="22"/>
                <w:lang w:val="es-ES"/>
              </w:rPr>
              <w:t>s.</w:t>
            </w:r>
          </w:p>
        </w:tc>
      </w:tr>
      <w:tr w:rsidR="00AE1BE5" w:rsidRPr="002740EA" w14:paraId="4EC35A6A" w14:textId="77777777" w:rsidTr="00746A8C">
        <w:trPr>
          <w:trHeight w:val="247"/>
        </w:trPr>
        <w:tc>
          <w:tcPr>
            <w:tcW w:w="8899" w:type="dxa"/>
            <w:gridSpan w:val="2"/>
            <w:tcBorders>
              <w:top w:val="nil"/>
            </w:tcBorders>
            <w:shd w:val="clear" w:color="auto" w:fill="auto"/>
            <w:vAlign w:val="center"/>
            <w:hideMark/>
          </w:tcPr>
          <w:p w14:paraId="68EC5D47" w14:textId="0A097915" w:rsidR="00AE1BE5" w:rsidRPr="002740EA" w:rsidRDefault="00AE1BE5" w:rsidP="00D1069A">
            <w:pPr>
              <w:spacing w:after="0" w:line="276" w:lineRule="auto"/>
              <w:jc w:val="both"/>
              <w:rPr>
                <w:rFonts w:cs="Arial"/>
                <w:sz w:val="22"/>
                <w:lang w:val="es-ES"/>
              </w:rPr>
            </w:pPr>
            <w:r w:rsidRPr="002740EA">
              <w:rPr>
                <w:rFonts w:cs="Arial"/>
                <w:b/>
                <w:bCs/>
                <w:sz w:val="22"/>
                <w:lang w:val="es-ES"/>
              </w:rPr>
              <w:t>Seguimiento</w:t>
            </w:r>
            <w:r w:rsidR="00456A66">
              <w:rPr>
                <w:rFonts w:cs="Arial"/>
                <w:b/>
                <w:bCs/>
                <w:sz w:val="22"/>
                <w:lang w:val="es-ES"/>
              </w:rPr>
              <w:t xml:space="preserve"> de las R</w:t>
            </w:r>
            <w:r w:rsidR="00307ECA" w:rsidRPr="002740EA">
              <w:rPr>
                <w:rFonts w:cs="Arial"/>
                <w:b/>
                <w:bCs/>
                <w:sz w:val="22"/>
                <w:lang w:val="es-ES"/>
              </w:rPr>
              <w:t>ecomendaciones</w:t>
            </w:r>
            <w:r w:rsidR="00307ECA" w:rsidRPr="002740EA">
              <w:rPr>
                <w:rFonts w:cs="Arial"/>
                <w:sz w:val="22"/>
                <w:lang w:val="es-ES"/>
              </w:rPr>
              <w:t>:</w:t>
            </w:r>
            <w:r w:rsidR="00C7726E" w:rsidRPr="002740EA">
              <w:rPr>
                <w:rFonts w:cs="Arial"/>
                <w:sz w:val="22"/>
                <w:lang w:val="es-ES"/>
              </w:rPr>
              <w:t xml:space="preserve"> L</w:t>
            </w:r>
            <w:r w:rsidRPr="002740EA">
              <w:rPr>
                <w:rFonts w:cs="Arial"/>
                <w:sz w:val="22"/>
                <w:lang w:val="es-ES"/>
              </w:rPr>
              <w:t xml:space="preserve">as observaciones en las que se estableció una </w:t>
            </w:r>
            <w:r w:rsidR="002D1BBB" w:rsidRPr="002740EA">
              <w:rPr>
                <w:rFonts w:cs="Arial"/>
                <w:sz w:val="22"/>
                <w:lang w:val="es-ES"/>
              </w:rPr>
              <w:t>fecha compromiso por parte de lo</w:t>
            </w:r>
            <w:r w:rsidRPr="002740EA">
              <w:rPr>
                <w:rFonts w:cs="Arial"/>
                <w:sz w:val="22"/>
                <w:lang w:val="es-ES"/>
              </w:rPr>
              <w:t>s</w:t>
            </w:r>
            <w:r w:rsidR="002D1BBB" w:rsidRPr="002740EA">
              <w:rPr>
                <w:rFonts w:cs="Arial"/>
                <w:sz w:val="22"/>
                <w:lang w:val="es-ES"/>
              </w:rPr>
              <w:t xml:space="preserve"> Entes Públicos Fiscalizados</w:t>
            </w:r>
            <w:r w:rsidRPr="002740EA">
              <w:rPr>
                <w:rFonts w:cs="Arial"/>
                <w:sz w:val="22"/>
                <w:lang w:val="es-ES"/>
              </w:rPr>
              <w:t xml:space="preserve"> para su atención en la mejora e implementación de las recomendaciones.</w:t>
            </w:r>
          </w:p>
        </w:tc>
      </w:tr>
    </w:tbl>
    <w:p w14:paraId="668C0CD5" w14:textId="31FB6199" w:rsidR="006C3822" w:rsidRPr="002740EA" w:rsidRDefault="006C3822" w:rsidP="000C6B37">
      <w:pPr>
        <w:pStyle w:val="Ttulo2"/>
        <w:jc w:val="both"/>
        <w:rPr>
          <w:rFonts w:cs="Arial"/>
          <w:szCs w:val="24"/>
        </w:rPr>
      </w:pPr>
      <w:bookmarkStart w:id="29" w:name="_Toc11413515"/>
      <w:bookmarkStart w:id="30" w:name="_Toc74334065"/>
    </w:p>
    <w:p w14:paraId="6A6B7A2C" w14:textId="067F5D6A" w:rsidR="00DA6F7C" w:rsidRPr="002740EA" w:rsidRDefault="00DA6F7C" w:rsidP="00DA6F7C">
      <w:pPr>
        <w:rPr>
          <w:lang w:eastAsia="es-MX"/>
        </w:rPr>
      </w:pPr>
    </w:p>
    <w:p w14:paraId="5F2F5C5C" w14:textId="7674BDD5" w:rsidR="003A6397" w:rsidRPr="002740EA" w:rsidRDefault="003A6397" w:rsidP="00DA6F7C">
      <w:pPr>
        <w:rPr>
          <w:lang w:eastAsia="es-MX"/>
        </w:rPr>
      </w:pPr>
    </w:p>
    <w:p w14:paraId="5E466A15" w14:textId="2C6AB8F8" w:rsidR="00C36218" w:rsidRPr="002740EA" w:rsidRDefault="00C36218" w:rsidP="00DA6F7C">
      <w:pPr>
        <w:pStyle w:val="Ttulo2"/>
        <w:jc w:val="both"/>
        <w:rPr>
          <w:rFonts w:cs="Arial"/>
          <w:szCs w:val="24"/>
        </w:rPr>
      </w:pPr>
      <w:bookmarkStart w:id="31" w:name="_Toc75348455"/>
      <w:r w:rsidRPr="002740EA">
        <w:rPr>
          <w:rFonts w:cs="Arial"/>
          <w:szCs w:val="24"/>
        </w:rPr>
        <w:t>II. DICTAMEN</w:t>
      </w:r>
      <w:bookmarkEnd w:id="29"/>
      <w:r w:rsidRPr="002740EA">
        <w:rPr>
          <w:rFonts w:cs="Arial"/>
          <w:szCs w:val="24"/>
        </w:rPr>
        <w:t xml:space="preserve"> DEL INFORME INDIVIDUAL DE AUDITORÍA</w:t>
      </w:r>
      <w:bookmarkEnd w:id="30"/>
      <w:bookmarkEnd w:id="31"/>
    </w:p>
    <w:p w14:paraId="6DC7CF34" w14:textId="09DEE1DC" w:rsidR="00AE1BE5" w:rsidRPr="002740EA" w:rsidRDefault="00AE1BE5" w:rsidP="000C6B37">
      <w:pPr>
        <w:pStyle w:val="Ttulo2"/>
        <w:spacing w:before="0"/>
      </w:pPr>
    </w:p>
    <w:p w14:paraId="1F2B264B" w14:textId="77777777" w:rsidR="008D2BDD" w:rsidRPr="00EC6EE1" w:rsidRDefault="00115AD9" w:rsidP="008D2BDD">
      <w:pPr>
        <w:spacing w:after="0"/>
        <w:ind w:right="-234"/>
        <w:jc w:val="both"/>
        <w:rPr>
          <w:rFonts w:cs="Arial"/>
        </w:rPr>
      </w:pPr>
      <w:r w:rsidRPr="002740EA">
        <w:rPr>
          <w:rFonts w:cs="Arial"/>
        </w:rPr>
        <w:t xml:space="preserve">El presente dictamen se emite con fecha </w:t>
      </w:r>
      <w:r w:rsidR="00181563" w:rsidRPr="002740EA">
        <w:rPr>
          <w:rFonts w:cs="Arial"/>
        </w:rPr>
        <w:t>14</w:t>
      </w:r>
      <w:r w:rsidR="00D628BB" w:rsidRPr="002740EA">
        <w:rPr>
          <w:rFonts w:cs="Arial"/>
        </w:rPr>
        <w:t xml:space="preserve"> de junio</w:t>
      </w:r>
      <w:r w:rsidRPr="002740EA">
        <w:rPr>
          <w:rFonts w:cs="Arial"/>
        </w:rPr>
        <w:t xml:space="preserve"> de 2021, fecha de conclusión de los trabajos de auditoría, la cual se practicó sobre la información proporcionada por la</w:t>
      </w:r>
      <w:r w:rsidR="00005893" w:rsidRPr="002740EA">
        <w:rPr>
          <w:rFonts w:cs="Arial"/>
        </w:rPr>
        <w:t xml:space="preserve"> por la entidad fiscalizada</w:t>
      </w:r>
      <w:r w:rsidRPr="002740EA">
        <w:rPr>
          <w:rFonts w:cs="Arial"/>
        </w:rPr>
        <w:t>, y de cuya veracidad es responsable; fue planeada y desarrollada con el fin de fiscalizar la correcta elaboración de las</w:t>
      </w:r>
      <w:r w:rsidRPr="002740EA">
        <w:rPr>
          <w:rFonts w:cs="Arial"/>
          <w:szCs w:val="24"/>
        </w:rPr>
        <w:t xml:space="preserve"> Matrices de Indicadores para Resultados</w:t>
      </w:r>
      <w:r w:rsidRPr="002740EA">
        <w:rPr>
          <w:rFonts w:cs="Arial"/>
        </w:rPr>
        <w:t xml:space="preserve"> por parte de la </w:t>
      </w:r>
      <w:r w:rsidR="00005893" w:rsidRPr="002740EA">
        <w:rPr>
          <w:rFonts w:cs="Arial"/>
        </w:rPr>
        <w:t>Universidad de Quintana Roo</w:t>
      </w:r>
      <w:r w:rsidRPr="002740EA">
        <w:rPr>
          <w:rFonts w:cs="Arial"/>
        </w:rPr>
        <w:t xml:space="preserve">. </w:t>
      </w:r>
      <w:r w:rsidR="008D2BDD" w:rsidRPr="00EC6EE1">
        <w:rPr>
          <w:rFonts w:cs="Arial"/>
        </w:rPr>
        <w:t xml:space="preserve">Se aplicaron los procedimientos y las pruebas selectivas que se consideraron necesarios para verificar </w:t>
      </w:r>
      <w:r w:rsidR="008D2BDD">
        <w:rPr>
          <w:rFonts w:cs="Arial"/>
        </w:rPr>
        <w:t>la implementación del c</w:t>
      </w:r>
      <w:r w:rsidR="008D2BDD" w:rsidRPr="00EC6EE1">
        <w:rPr>
          <w:rFonts w:cs="Arial"/>
        </w:rPr>
        <w:t xml:space="preserve">ontrol </w:t>
      </w:r>
      <w:r w:rsidR="008D2BDD">
        <w:rPr>
          <w:rFonts w:cs="Arial"/>
        </w:rPr>
        <w:t>i</w:t>
      </w:r>
      <w:r w:rsidR="008D2BDD" w:rsidRPr="00EC6EE1">
        <w:rPr>
          <w:rFonts w:cs="Arial"/>
        </w:rPr>
        <w:t>nter</w:t>
      </w:r>
      <w:r w:rsidR="008D2BDD">
        <w:rPr>
          <w:rFonts w:cs="Arial"/>
        </w:rPr>
        <w:t>no referente al marco normativo y la política de integridad</w:t>
      </w:r>
      <w:r w:rsidR="008D2BDD" w:rsidRPr="00EC6EE1">
        <w:rPr>
          <w:rFonts w:cs="Arial"/>
        </w:rPr>
        <w:t>, evaluar las Matrices de indicado</w:t>
      </w:r>
      <w:r w:rsidR="008D2BDD">
        <w:rPr>
          <w:rFonts w:cs="Arial"/>
        </w:rPr>
        <w:t>res para Resultados (MIR) y la c</w:t>
      </w:r>
      <w:r w:rsidR="008D2BDD" w:rsidRPr="00EC6EE1">
        <w:rPr>
          <w:rFonts w:cs="Arial"/>
        </w:rPr>
        <w:t>apacitación del personal encargado de la elaboración de las MIR; en consecuencia, existe una base razonable para sustentar el presente dictamen.</w:t>
      </w:r>
    </w:p>
    <w:p w14:paraId="7D945047" w14:textId="20B6C834" w:rsidR="00115AD9" w:rsidRPr="002740EA" w:rsidRDefault="00115AD9" w:rsidP="000C6B37">
      <w:pPr>
        <w:spacing w:after="0"/>
        <w:jc w:val="both"/>
        <w:rPr>
          <w:rFonts w:cs="Arial"/>
        </w:rPr>
      </w:pPr>
    </w:p>
    <w:p w14:paraId="3DD8B6D8" w14:textId="77777777" w:rsidR="00115AD9" w:rsidRPr="002740EA" w:rsidRDefault="00115AD9" w:rsidP="000C6B37">
      <w:pPr>
        <w:spacing w:after="0"/>
        <w:jc w:val="both"/>
        <w:rPr>
          <w:rFonts w:cs="Arial"/>
        </w:rPr>
      </w:pPr>
      <w:r w:rsidRPr="002740EA">
        <w:rPr>
          <w:rFonts w:cs="Arial"/>
        </w:rPr>
        <w:t>En opinión de la Auditoría Superior del Estado de Quintana Roo, se identificaron áreas de mejora, fortalezas y debilidades que se deberán atender como parte de las recomendaciones emitidas.</w:t>
      </w:r>
    </w:p>
    <w:p w14:paraId="3DEB4A78" w14:textId="77777777" w:rsidR="00115AD9" w:rsidRPr="002740EA" w:rsidRDefault="00115AD9" w:rsidP="000C6B37">
      <w:pPr>
        <w:spacing w:after="0"/>
        <w:jc w:val="both"/>
        <w:rPr>
          <w:rFonts w:cs="Arial"/>
        </w:rPr>
      </w:pPr>
    </w:p>
    <w:p w14:paraId="56A0B9E2" w14:textId="59A230ED" w:rsidR="00AF6AE8" w:rsidRPr="002740EA" w:rsidRDefault="00115AD9" w:rsidP="000C6B37">
      <w:pPr>
        <w:spacing w:after="0"/>
        <w:jc w:val="both"/>
        <w:rPr>
          <w:rFonts w:cs="Arial"/>
        </w:rPr>
      </w:pPr>
      <w:r w:rsidRPr="002740EA">
        <w:rPr>
          <w:rFonts w:cs="Arial"/>
        </w:rPr>
        <w:t>En materia de control interno, se identificaron aspectos que repr</w:t>
      </w:r>
      <w:r w:rsidR="000310E9" w:rsidRPr="002740EA">
        <w:rPr>
          <w:rFonts w:cs="Arial"/>
        </w:rPr>
        <w:t>esentan áreas de mejora, como son</w:t>
      </w:r>
      <w:r w:rsidR="00126186" w:rsidRPr="002740EA">
        <w:rPr>
          <w:rFonts w:cs="Arial"/>
        </w:rPr>
        <w:t xml:space="preserve"> la actualización,</w:t>
      </w:r>
      <w:r w:rsidR="002B05D9" w:rsidRPr="002740EA">
        <w:rPr>
          <w:rFonts w:cs="Arial"/>
        </w:rPr>
        <w:t xml:space="preserve"> homologación </w:t>
      </w:r>
      <w:r w:rsidR="003E27D1" w:rsidRPr="002740EA">
        <w:rPr>
          <w:rFonts w:cs="Arial"/>
        </w:rPr>
        <w:t xml:space="preserve">e </w:t>
      </w:r>
      <w:r w:rsidR="003E27D1" w:rsidRPr="002740EA">
        <w:rPr>
          <w:rFonts w:cs="Arial"/>
          <w:szCs w:val="24"/>
        </w:rPr>
        <w:t>inclusión</w:t>
      </w:r>
      <w:r w:rsidR="002B05D9" w:rsidRPr="002740EA">
        <w:rPr>
          <w:rFonts w:cs="Arial"/>
          <w:szCs w:val="24"/>
        </w:rPr>
        <w:t xml:space="preserve"> del enfoque de Presup</w:t>
      </w:r>
      <w:r w:rsidR="003E27D1" w:rsidRPr="002740EA">
        <w:rPr>
          <w:rFonts w:cs="Arial"/>
          <w:szCs w:val="24"/>
        </w:rPr>
        <w:t>uesto basado en Resultados</w:t>
      </w:r>
      <w:r w:rsidR="002B05D9" w:rsidRPr="002740EA">
        <w:rPr>
          <w:rFonts w:cs="Arial"/>
          <w:szCs w:val="24"/>
        </w:rPr>
        <w:t xml:space="preserve"> en su marco normativo</w:t>
      </w:r>
      <w:r w:rsidR="00195A81" w:rsidRPr="002740EA">
        <w:rPr>
          <w:rFonts w:cs="Arial"/>
          <w:szCs w:val="24"/>
        </w:rPr>
        <w:t>,</w:t>
      </w:r>
      <w:r w:rsidR="00F5698F" w:rsidRPr="002740EA">
        <w:rPr>
          <w:rFonts w:cs="Arial"/>
          <w:szCs w:val="24"/>
        </w:rPr>
        <w:t xml:space="preserve"> </w:t>
      </w:r>
      <w:r w:rsidR="001A3B5F" w:rsidRPr="002740EA">
        <w:rPr>
          <w:rFonts w:cs="Arial"/>
          <w:szCs w:val="24"/>
        </w:rPr>
        <w:t xml:space="preserve">así como </w:t>
      </w:r>
      <w:r w:rsidR="00F5698F" w:rsidRPr="002740EA">
        <w:rPr>
          <w:rFonts w:cs="Arial"/>
          <w:szCs w:val="24"/>
        </w:rPr>
        <w:t>la implementación</w:t>
      </w:r>
      <w:r w:rsidR="00E35114" w:rsidRPr="002740EA">
        <w:rPr>
          <w:rFonts w:cs="Arial"/>
          <w:szCs w:val="24"/>
        </w:rPr>
        <w:t xml:space="preserve"> de un </w:t>
      </w:r>
      <w:r w:rsidR="00E35114" w:rsidRPr="002740EA">
        <w:rPr>
          <w:rFonts w:cs="Arial"/>
          <w:bCs/>
          <w:szCs w:val="24"/>
        </w:rPr>
        <w:t>Código de Conducta propio para normar el actuar de los servidores públicos de la inst</w:t>
      </w:r>
      <w:r w:rsidR="00F5698F" w:rsidRPr="002740EA">
        <w:rPr>
          <w:rFonts w:cs="Arial"/>
          <w:bCs/>
          <w:szCs w:val="24"/>
        </w:rPr>
        <w:t xml:space="preserve">itución y </w:t>
      </w:r>
      <w:r w:rsidR="00C66E14" w:rsidRPr="002740EA">
        <w:rPr>
          <w:rFonts w:cs="Arial"/>
          <w:bCs/>
          <w:szCs w:val="24"/>
        </w:rPr>
        <w:t>establecimiento</w:t>
      </w:r>
      <w:r w:rsidR="00F5698F" w:rsidRPr="002740EA">
        <w:rPr>
          <w:rFonts w:cs="Arial"/>
          <w:bCs/>
          <w:szCs w:val="24"/>
        </w:rPr>
        <w:t xml:space="preserve"> de</w:t>
      </w:r>
      <w:r w:rsidR="00F5698F" w:rsidRPr="002740EA">
        <w:rPr>
          <w:rFonts w:cs="Arial"/>
          <w:color w:val="202124"/>
          <w:spacing w:val="2"/>
          <w:szCs w:val="24"/>
          <w:shd w:val="clear" w:color="auto" w:fill="FFFFFF"/>
        </w:rPr>
        <w:t xml:space="preserve"> un programa de difusión de los documentos que forman parte de la política de integrida</w:t>
      </w:r>
      <w:r w:rsidR="008B7830" w:rsidRPr="002740EA">
        <w:rPr>
          <w:rFonts w:cs="Arial"/>
          <w:color w:val="202124"/>
          <w:spacing w:val="2"/>
          <w:szCs w:val="24"/>
          <w:shd w:val="clear" w:color="auto" w:fill="FFFFFF"/>
        </w:rPr>
        <w:t>d</w:t>
      </w:r>
      <w:r w:rsidR="00AF6AE8" w:rsidRPr="002740EA">
        <w:rPr>
          <w:rFonts w:cs="Arial"/>
          <w:color w:val="202124"/>
          <w:spacing w:val="2"/>
          <w:szCs w:val="24"/>
          <w:shd w:val="clear" w:color="auto" w:fill="FFFFFF"/>
        </w:rPr>
        <w:t xml:space="preserve"> al personal de la institución, </w:t>
      </w:r>
      <w:r w:rsidR="00AF6AE8" w:rsidRPr="002740EA">
        <w:rPr>
          <w:rFonts w:cs="Arial"/>
        </w:rPr>
        <w:t xml:space="preserve">por lo que el ente deberá continuar con las gestiones pertinentes para </w:t>
      </w:r>
      <w:r w:rsidR="0007748D">
        <w:rPr>
          <w:rFonts w:cs="Arial"/>
        </w:rPr>
        <w:t xml:space="preserve">la actualización, homologación y </w:t>
      </w:r>
      <w:r w:rsidR="00AF6AE8" w:rsidRPr="002740EA">
        <w:rPr>
          <w:rFonts w:cs="Arial"/>
        </w:rPr>
        <w:t xml:space="preserve">validación ante </w:t>
      </w:r>
      <w:r w:rsidR="0007748D">
        <w:rPr>
          <w:rFonts w:cs="Arial"/>
        </w:rPr>
        <w:t>las instancias correspondientes.</w:t>
      </w:r>
    </w:p>
    <w:p w14:paraId="7C08F1F9" w14:textId="77777777" w:rsidR="00AF6AE8" w:rsidRPr="002740EA" w:rsidRDefault="00AF6AE8" w:rsidP="000C6B37">
      <w:pPr>
        <w:spacing w:after="0"/>
        <w:jc w:val="both"/>
        <w:rPr>
          <w:rFonts w:cs="Arial"/>
          <w:color w:val="202124"/>
          <w:spacing w:val="2"/>
          <w:szCs w:val="24"/>
          <w:shd w:val="clear" w:color="auto" w:fill="FFFFFF"/>
        </w:rPr>
      </w:pPr>
    </w:p>
    <w:p w14:paraId="1F4AA1E5" w14:textId="247F8417" w:rsidR="00115AD9" w:rsidRDefault="00115AD9" w:rsidP="000C6B37">
      <w:pPr>
        <w:spacing w:after="0"/>
        <w:jc w:val="both"/>
        <w:rPr>
          <w:rFonts w:eastAsia="Times New Roman" w:cs="Arial"/>
          <w:szCs w:val="24"/>
          <w:lang w:eastAsia="es-ES"/>
        </w:rPr>
      </w:pPr>
      <w:r w:rsidRPr="002740EA">
        <w:rPr>
          <w:rFonts w:cs="Arial"/>
        </w:rPr>
        <w:t xml:space="preserve">La Universidad </w:t>
      </w:r>
      <w:r w:rsidR="00F62C3F" w:rsidRPr="002740EA">
        <w:rPr>
          <w:rFonts w:cs="Arial"/>
        </w:rPr>
        <w:t xml:space="preserve">de Quintana Roo </w:t>
      </w:r>
      <w:r w:rsidRPr="002740EA">
        <w:rPr>
          <w:rFonts w:cs="Arial"/>
        </w:rPr>
        <w:t xml:space="preserve">presentó las matrices de indicadores para resultados de sus programas presupuestarios correspondientes. Al respecto, se identificaron debilidades en las estructuras de dichas matrices, de acuerdo con la Metodología del Marco Lógico, debiendo adecuarlas para el siguiente Ejercicio Fiscal con base en dicha metodología, en coordinación con la Secretaría de Finanzas y Planeación, </w:t>
      </w:r>
      <w:r w:rsidRPr="002740EA">
        <w:rPr>
          <w:rFonts w:eastAsia="Times New Roman" w:cs="Arial"/>
          <w:szCs w:val="24"/>
          <w:lang w:eastAsia="es-ES"/>
        </w:rPr>
        <w:t>para que de esta manera se establezcan de manera correcta las relaciones de causa-efecto en todos los niveles de la MIR, así como para lograr la correspondencia de cada uno de los niveles de la MIR con los factores externos que pueden afectar su ejecución y posterior desempeño.</w:t>
      </w:r>
    </w:p>
    <w:p w14:paraId="4AFB28BE" w14:textId="77777777" w:rsidR="0007748D" w:rsidRPr="002740EA" w:rsidRDefault="0007748D" w:rsidP="000C6B37">
      <w:pPr>
        <w:spacing w:after="0"/>
        <w:jc w:val="both"/>
        <w:rPr>
          <w:rFonts w:eastAsia="Times New Roman" w:cs="Arial"/>
          <w:szCs w:val="24"/>
          <w:lang w:eastAsia="es-ES"/>
        </w:rPr>
      </w:pPr>
    </w:p>
    <w:p w14:paraId="20037C5C" w14:textId="77777777" w:rsidR="005379D8" w:rsidRPr="002740EA" w:rsidRDefault="005379D8" w:rsidP="000C6B37">
      <w:pPr>
        <w:spacing w:after="0"/>
        <w:jc w:val="both"/>
        <w:rPr>
          <w:rFonts w:eastAsia="Times New Roman" w:cs="Arial"/>
          <w:szCs w:val="24"/>
          <w:lang w:eastAsia="es-ES"/>
        </w:rPr>
      </w:pPr>
    </w:p>
    <w:p w14:paraId="422B0D8E" w14:textId="58707B63" w:rsidR="00115AD9" w:rsidRPr="002740EA" w:rsidRDefault="00C9333A" w:rsidP="000C6B37">
      <w:pPr>
        <w:spacing w:after="0"/>
        <w:jc w:val="both"/>
        <w:rPr>
          <w:rFonts w:cs="Arial"/>
          <w:szCs w:val="24"/>
          <w:lang w:val="es-ES_tradnl"/>
        </w:rPr>
      </w:pPr>
      <w:r w:rsidRPr="002740EA">
        <w:rPr>
          <w:rFonts w:cs="Arial"/>
        </w:rPr>
        <w:t xml:space="preserve">Finalmente, en el tema de </w:t>
      </w:r>
      <w:r w:rsidR="00421BE0" w:rsidRPr="002740EA">
        <w:rPr>
          <w:rFonts w:cs="Arial"/>
        </w:rPr>
        <w:t>capacitación el Ente presenta una fortaleza debido a que los</w:t>
      </w:r>
      <w:r w:rsidR="00115AD9" w:rsidRPr="002740EA">
        <w:rPr>
          <w:rFonts w:cs="Arial"/>
        </w:rPr>
        <w:t xml:space="preserve"> servidores públicos encargados de la elaboración de las Matrices de Indicadores de Resultados, </w:t>
      </w:r>
      <w:r w:rsidR="00421BE0" w:rsidRPr="002740EA">
        <w:rPr>
          <w:rFonts w:cs="Arial"/>
        </w:rPr>
        <w:t>se capacitaron</w:t>
      </w:r>
      <w:r w:rsidR="00421BE0" w:rsidRPr="002740EA">
        <w:rPr>
          <w:szCs w:val="24"/>
        </w:rPr>
        <w:t xml:space="preserve"> </w:t>
      </w:r>
      <w:r w:rsidR="00421BE0" w:rsidRPr="002740EA">
        <w:rPr>
          <w:rFonts w:cs="Arial"/>
          <w:szCs w:val="24"/>
          <w:lang w:val="es-ES_tradnl"/>
        </w:rPr>
        <w:t>durante el Ejercicio Fiscal 2020</w:t>
      </w:r>
      <w:r w:rsidR="00115AD9" w:rsidRPr="002740EA">
        <w:rPr>
          <w:rFonts w:cs="Arial"/>
        </w:rPr>
        <w:t xml:space="preserve"> </w:t>
      </w:r>
      <w:r w:rsidR="007B7BD0" w:rsidRPr="002740EA">
        <w:rPr>
          <w:rFonts w:cs="Arial"/>
          <w:szCs w:val="24"/>
          <w:lang w:val="es-ES_tradnl"/>
        </w:rPr>
        <w:t>en temas relacionados con el</w:t>
      </w:r>
      <w:r w:rsidR="009E5FDA" w:rsidRPr="002740EA">
        <w:rPr>
          <w:rFonts w:cs="Arial"/>
          <w:szCs w:val="24"/>
          <w:lang w:val="es-ES_tradnl"/>
        </w:rPr>
        <w:t xml:space="preserve"> </w:t>
      </w:r>
      <w:r w:rsidR="006310CB" w:rsidRPr="002740EA">
        <w:rPr>
          <w:szCs w:val="24"/>
        </w:rPr>
        <w:t xml:space="preserve">Presupuesto </w:t>
      </w:r>
      <w:r w:rsidR="00594BC6" w:rsidRPr="002740EA">
        <w:rPr>
          <w:szCs w:val="24"/>
        </w:rPr>
        <w:t>B</w:t>
      </w:r>
      <w:r w:rsidR="00465DC1" w:rsidRPr="002740EA">
        <w:rPr>
          <w:szCs w:val="24"/>
        </w:rPr>
        <w:t>asado en Resultados</w:t>
      </w:r>
      <w:r w:rsidR="00F208ED" w:rsidRPr="002740EA">
        <w:rPr>
          <w:rFonts w:cs="Arial"/>
          <w:szCs w:val="24"/>
        </w:rPr>
        <w:t xml:space="preserve"> (PbR), Sistema de Evaluación </w:t>
      </w:r>
      <w:r w:rsidR="00B932CD" w:rsidRPr="002740EA">
        <w:rPr>
          <w:rFonts w:cs="Arial"/>
          <w:szCs w:val="24"/>
        </w:rPr>
        <w:t>del</w:t>
      </w:r>
      <w:r w:rsidR="00465DC1" w:rsidRPr="002740EA">
        <w:rPr>
          <w:rFonts w:cs="Arial"/>
          <w:szCs w:val="24"/>
        </w:rPr>
        <w:t xml:space="preserve"> Desempeño (SED),</w:t>
      </w:r>
      <w:r w:rsidR="00465DC1" w:rsidRPr="002740EA">
        <w:rPr>
          <w:szCs w:val="24"/>
        </w:rPr>
        <w:t xml:space="preserve"> Matriz de Indicadores para Resultados (MIR) y Metodología del Marco Lógico (MML</w:t>
      </w:r>
      <w:r w:rsidR="0007748D">
        <w:rPr>
          <w:szCs w:val="24"/>
        </w:rPr>
        <w:t>)</w:t>
      </w:r>
      <w:r w:rsidR="00421BE0" w:rsidRPr="002740EA">
        <w:rPr>
          <w:szCs w:val="24"/>
        </w:rPr>
        <w:t>.</w:t>
      </w:r>
    </w:p>
    <w:p w14:paraId="071354B6" w14:textId="3179F570" w:rsidR="00027CE3" w:rsidRPr="002740EA" w:rsidRDefault="00027CE3" w:rsidP="000C6B37">
      <w:pPr>
        <w:spacing w:after="0" w:line="276" w:lineRule="auto"/>
        <w:jc w:val="both"/>
        <w:rPr>
          <w:rFonts w:eastAsia="Arial Narrow" w:cs="Arial"/>
          <w:szCs w:val="24"/>
        </w:rPr>
      </w:pPr>
    </w:p>
    <w:p w14:paraId="0EF4F59C" w14:textId="18678735" w:rsidR="005919E3" w:rsidRDefault="00115AD9" w:rsidP="005919E3">
      <w:pPr>
        <w:spacing w:after="0"/>
        <w:jc w:val="both"/>
        <w:rPr>
          <w:rFonts w:cs="Arial"/>
        </w:rPr>
      </w:pPr>
      <w:r w:rsidRPr="002740EA">
        <w:rPr>
          <w:rFonts w:cs="Arial"/>
        </w:rPr>
        <w:t>Con la fiscalización se contribuirá a que</w:t>
      </w:r>
      <w:r w:rsidR="00C83256" w:rsidRPr="002740EA">
        <w:rPr>
          <w:rFonts w:cs="Arial"/>
        </w:rPr>
        <w:t xml:space="preserve"> </w:t>
      </w:r>
      <w:r w:rsidRPr="002740EA">
        <w:rPr>
          <w:rFonts w:cs="Arial"/>
        </w:rPr>
        <w:t xml:space="preserve">la Universidad </w:t>
      </w:r>
      <w:r w:rsidR="00DB0241" w:rsidRPr="002740EA">
        <w:rPr>
          <w:rFonts w:cs="Arial"/>
        </w:rPr>
        <w:t>de Quintana Roo</w:t>
      </w:r>
      <w:r w:rsidR="00DB0241" w:rsidRPr="002740EA">
        <w:rPr>
          <w:rFonts w:cs="Arial"/>
          <w:b/>
        </w:rPr>
        <w:t xml:space="preserve"> </w:t>
      </w:r>
      <w:r w:rsidRPr="002740EA">
        <w:rPr>
          <w:rFonts w:cs="Arial"/>
        </w:rPr>
        <w:t xml:space="preserve">subsane las debilidades detectadas, </w:t>
      </w:r>
      <w:r w:rsidR="00607AB4" w:rsidRPr="002740EA">
        <w:rPr>
          <w:szCs w:val="24"/>
        </w:rPr>
        <w:t xml:space="preserve">mediante el uso apropiado de la Metodología del Marco Lógico en la elaboración de sus Matrices de Indicadores para Resultados, como herramientas de planeación, solución de problemas y resultados, a fin de presentar en forma resumida y estructurada cualquier iniciativa y la evaluación del </w:t>
      </w:r>
      <w:r w:rsidR="005919E3">
        <w:rPr>
          <w:rFonts w:cs="Arial"/>
        </w:rPr>
        <w:t>proyecto al término de su ejecución, determinando si se han producido los bienes o servicios previstos y si estos se han logrado en forma eficiente y con la calidad esperada. Esto favorecerá al seguimiento y control de los programas, desde la definición de los objetivos y metas, las asignaciones de presupuesto, hasta la ejecución y evaluación de los mismos.</w:t>
      </w:r>
    </w:p>
    <w:p w14:paraId="14E5F695" w14:textId="77777777" w:rsidR="00097436" w:rsidRPr="002740EA" w:rsidRDefault="00097436" w:rsidP="000C6B37">
      <w:pPr>
        <w:spacing w:after="0"/>
        <w:jc w:val="both"/>
        <w:rPr>
          <w:szCs w:val="24"/>
        </w:rPr>
      </w:pPr>
    </w:p>
    <w:p w14:paraId="2592EB89" w14:textId="0A332C8D" w:rsidR="00607AB4" w:rsidRPr="002740EA" w:rsidRDefault="00607AB4" w:rsidP="000C6B37">
      <w:pPr>
        <w:spacing w:after="0"/>
        <w:jc w:val="both"/>
        <w:rPr>
          <w:rFonts w:cs="Arial"/>
        </w:rPr>
      </w:pPr>
    </w:p>
    <w:p w14:paraId="6840D305" w14:textId="77777777" w:rsidR="00421BE0" w:rsidRPr="002740EA" w:rsidRDefault="00421BE0" w:rsidP="000C6B37">
      <w:pPr>
        <w:spacing w:after="0"/>
        <w:jc w:val="both"/>
        <w:rPr>
          <w:rFonts w:cs="Arial"/>
        </w:rPr>
      </w:pPr>
    </w:p>
    <w:p w14:paraId="017C749C" w14:textId="77777777" w:rsidR="00DD6C56" w:rsidRPr="002740EA" w:rsidRDefault="00DD6C56" w:rsidP="000C6B37">
      <w:pPr>
        <w:pStyle w:val="Ttulo6"/>
        <w:spacing w:before="0" w:line="276" w:lineRule="auto"/>
        <w:jc w:val="center"/>
        <w:rPr>
          <w:rFonts w:ascii="Arial" w:hAnsi="Arial" w:cs="Arial"/>
          <w:b/>
          <w:color w:val="0D0D0D" w:themeColor="text1" w:themeTint="F2"/>
          <w:szCs w:val="24"/>
        </w:rPr>
      </w:pPr>
      <w:r w:rsidRPr="002740EA">
        <w:rPr>
          <w:rFonts w:ascii="Arial" w:hAnsi="Arial" w:cs="Arial"/>
          <w:b/>
          <w:color w:val="0D0D0D" w:themeColor="text1" w:themeTint="F2"/>
          <w:szCs w:val="24"/>
        </w:rPr>
        <w:t>EL AUDITOR SUPERIOR DEL ESTADO</w:t>
      </w:r>
    </w:p>
    <w:p w14:paraId="1E9224BE" w14:textId="77777777" w:rsidR="00DD6C56" w:rsidRPr="002740EA" w:rsidRDefault="00DD6C56" w:rsidP="000C6B37">
      <w:pPr>
        <w:spacing w:after="0" w:line="276" w:lineRule="auto"/>
        <w:rPr>
          <w:szCs w:val="24"/>
        </w:rPr>
      </w:pPr>
    </w:p>
    <w:p w14:paraId="67985CF9" w14:textId="41D7A5C0" w:rsidR="00DD6C56" w:rsidRPr="002740EA" w:rsidRDefault="00DD6C56" w:rsidP="000C6B37">
      <w:pPr>
        <w:spacing w:after="0" w:line="276" w:lineRule="auto"/>
        <w:rPr>
          <w:sz w:val="20"/>
          <w:szCs w:val="24"/>
        </w:rPr>
      </w:pPr>
    </w:p>
    <w:p w14:paraId="08FE9EC1" w14:textId="77777777" w:rsidR="0008637D" w:rsidRPr="002740EA" w:rsidRDefault="0008637D" w:rsidP="000C6B37">
      <w:pPr>
        <w:spacing w:after="0" w:line="276" w:lineRule="auto"/>
        <w:rPr>
          <w:sz w:val="20"/>
          <w:szCs w:val="24"/>
        </w:rPr>
      </w:pPr>
    </w:p>
    <w:p w14:paraId="5B339A87" w14:textId="77777777" w:rsidR="00094206" w:rsidRPr="002740EA" w:rsidRDefault="00094206" w:rsidP="000C6B37">
      <w:pPr>
        <w:spacing w:after="0" w:line="276" w:lineRule="auto"/>
        <w:rPr>
          <w:sz w:val="20"/>
          <w:szCs w:val="24"/>
        </w:rPr>
      </w:pPr>
    </w:p>
    <w:p w14:paraId="1F730999" w14:textId="77777777" w:rsidR="00DD6C56" w:rsidRPr="002740EA" w:rsidRDefault="00DD6C56" w:rsidP="000C6B37">
      <w:pPr>
        <w:spacing w:after="0" w:line="276" w:lineRule="auto"/>
        <w:rPr>
          <w:sz w:val="20"/>
          <w:szCs w:val="24"/>
        </w:rPr>
      </w:pPr>
    </w:p>
    <w:tbl>
      <w:tblPr>
        <w:tblW w:w="2803" w:type="pct"/>
        <w:jc w:val="center"/>
        <w:tblCellMar>
          <w:left w:w="70" w:type="dxa"/>
          <w:right w:w="70" w:type="dxa"/>
        </w:tblCellMar>
        <w:tblLook w:val="0000" w:firstRow="0" w:lastRow="0" w:firstColumn="0" w:lastColumn="0" w:noHBand="0" w:noVBand="0"/>
      </w:tblPr>
      <w:tblGrid>
        <w:gridCol w:w="5086"/>
      </w:tblGrid>
      <w:tr w:rsidR="00DD6C56" w:rsidRPr="00804905" w14:paraId="196D01A3" w14:textId="77777777" w:rsidTr="00A4495C">
        <w:trPr>
          <w:cantSplit/>
          <w:trHeight w:val="214"/>
          <w:jc w:val="center"/>
        </w:trPr>
        <w:tc>
          <w:tcPr>
            <w:tcW w:w="5000" w:type="pct"/>
          </w:tcPr>
          <w:p w14:paraId="1B43F725" w14:textId="77777777" w:rsidR="00DD6C56" w:rsidRPr="00804905" w:rsidRDefault="00DD6C56" w:rsidP="000C6B37">
            <w:pPr>
              <w:spacing w:after="0" w:line="276" w:lineRule="auto"/>
              <w:jc w:val="center"/>
              <w:rPr>
                <w:rFonts w:cs="Arial"/>
                <w:b/>
                <w:szCs w:val="24"/>
              </w:rPr>
            </w:pPr>
            <w:r w:rsidRPr="002740EA">
              <w:rPr>
                <w:rFonts w:cs="Arial"/>
                <w:b/>
                <w:szCs w:val="24"/>
              </w:rPr>
              <w:t>L.C.C. MANUEL PALACIOS HERRERA</w:t>
            </w:r>
          </w:p>
        </w:tc>
      </w:tr>
    </w:tbl>
    <w:p w14:paraId="05E490BA" w14:textId="77777777" w:rsidR="00AE1BE5" w:rsidRDefault="00AE1BE5" w:rsidP="000C6B37">
      <w:pPr>
        <w:spacing w:after="0"/>
        <w:jc w:val="center"/>
        <w:rPr>
          <w:rFonts w:cs="Arial"/>
          <w:b/>
          <w:szCs w:val="24"/>
        </w:rPr>
      </w:pPr>
    </w:p>
    <w:sectPr w:rsidR="00AE1BE5" w:rsidSect="00C232E9">
      <w:headerReference w:type="default" r:id="rId38"/>
      <w:footerReference w:type="default" r:id="rId39"/>
      <w:pgSz w:w="12240" w:h="15840"/>
      <w:pgMar w:top="1418" w:right="1467"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88F51" w14:textId="77777777" w:rsidR="005F0081" w:rsidRDefault="005F0081" w:rsidP="001B2D33">
      <w:pPr>
        <w:spacing w:after="0" w:line="240" w:lineRule="auto"/>
      </w:pPr>
      <w:r>
        <w:separator/>
      </w:r>
    </w:p>
  </w:endnote>
  <w:endnote w:type="continuationSeparator" w:id="0">
    <w:p w14:paraId="6EA5B3D0" w14:textId="77777777" w:rsidR="005F0081" w:rsidRDefault="005F0081" w:rsidP="001B2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Arial Narrow"/>
        <w:lang w:eastAsia="en-US"/>
      </w:rPr>
      <w:id w:val="-1535883743"/>
      <w:docPartObj>
        <w:docPartGallery w:val="Page Numbers (Bottom of Page)"/>
        <w:docPartUnique/>
      </w:docPartObj>
    </w:sdtPr>
    <w:sdtEndPr>
      <w:rPr>
        <w:rFonts w:eastAsiaTheme="minorHAnsi"/>
      </w:rPr>
    </w:sdtEndPr>
    <w:sdtContent>
      <w:sdt>
        <w:sdtPr>
          <w:rPr>
            <w:rFonts w:eastAsia="Arial Narrow"/>
            <w:lang w:eastAsia="en-US"/>
          </w:rPr>
          <w:id w:val="-1769616900"/>
          <w:docPartObj>
            <w:docPartGallery w:val="Page Numbers (Top of Page)"/>
            <w:docPartUnique/>
          </w:docPartObj>
        </w:sdtPr>
        <w:sdtEndPr>
          <w:rPr>
            <w:rFonts w:eastAsiaTheme="minorHAnsi"/>
          </w:rPr>
        </w:sdtEndPr>
        <w:sdtContent>
          <w:tbl>
            <w:tblPr>
              <w:tblStyle w:val="Tablaconcuadrcula"/>
              <w:tblW w:w="908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6"/>
            </w:tblGrid>
            <w:tr w:rsidR="005F0081" w14:paraId="5848A667" w14:textId="77777777" w:rsidTr="0007748D">
              <w:trPr>
                <w:trHeight w:val="498"/>
              </w:trPr>
              <w:tc>
                <w:tcPr>
                  <w:tcW w:w="9086" w:type="dxa"/>
                </w:tcPr>
                <w:p w14:paraId="762495C1" w14:textId="5BD1C21E" w:rsidR="005F0081" w:rsidRPr="00761662" w:rsidRDefault="005F0081" w:rsidP="0007748D">
                  <w:pPr>
                    <w:pStyle w:val="Piedepgina"/>
                    <w:spacing w:line="276" w:lineRule="auto"/>
                    <w:jc w:val="right"/>
                    <w:rPr>
                      <w:bCs/>
                      <w:sz w:val="18"/>
                      <w:szCs w:val="24"/>
                    </w:rPr>
                  </w:pPr>
                  <w:r w:rsidRPr="00761662">
                    <w:rPr>
                      <w:rFonts w:ascii="Arial Narrow" w:hAnsi="Arial Narrow"/>
                      <w:sz w:val="18"/>
                      <w:lang w:val="es-ES"/>
                    </w:rPr>
                    <w:t>Página</w:t>
                  </w:r>
                  <w:r w:rsidRPr="00761662">
                    <w:rPr>
                      <w:sz w:val="18"/>
                      <w:lang w:val="es-ES"/>
                    </w:rPr>
                    <w:t xml:space="preserve"> </w:t>
                  </w:r>
                  <w:r w:rsidRPr="00761662">
                    <w:rPr>
                      <w:rFonts w:ascii="Arial Narrow" w:hAnsi="Arial Narrow"/>
                      <w:bCs/>
                      <w:sz w:val="22"/>
                      <w:szCs w:val="24"/>
                    </w:rPr>
                    <w:fldChar w:fldCharType="begin"/>
                  </w:r>
                  <w:r w:rsidRPr="00761662">
                    <w:rPr>
                      <w:rFonts w:ascii="Arial Narrow" w:hAnsi="Arial Narrow"/>
                      <w:bCs/>
                      <w:sz w:val="22"/>
                    </w:rPr>
                    <w:instrText>PAGE</w:instrText>
                  </w:r>
                  <w:r w:rsidRPr="00761662">
                    <w:rPr>
                      <w:rFonts w:ascii="Arial Narrow" w:hAnsi="Arial Narrow"/>
                      <w:bCs/>
                      <w:sz w:val="22"/>
                      <w:szCs w:val="24"/>
                    </w:rPr>
                    <w:fldChar w:fldCharType="separate"/>
                  </w:r>
                  <w:r w:rsidR="00DC170A">
                    <w:rPr>
                      <w:rFonts w:ascii="Arial Narrow" w:hAnsi="Arial Narrow"/>
                      <w:bCs/>
                      <w:noProof/>
                      <w:sz w:val="22"/>
                    </w:rPr>
                    <w:t>11</w:t>
                  </w:r>
                  <w:r w:rsidRPr="00761662">
                    <w:rPr>
                      <w:rFonts w:ascii="Arial Narrow" w:hAnsi="Arial Narrow"/>
                      <w:bCs/>
                      <w:sz w:val="22"/>
                      <w:szCs w:val="24"/>
                    </w:rPr>
                    <w:fldChar w:fldCharType="end"/>
                  </w:r>
                  <w:r w:rsidRPr="00761662">
                    <w:rPr>
                      <w:sz w:val="18"/>
                      <w:lang w:val="es-ES"/>
                    </w:rPr>
                    <w:t xml:space="preserve"> </w:t>
                  </w:r>
                  <w:r w:rsidRPr="00761662">
                    <w:rPr>
                      <w:rFonts w:ascii="Arial Narrow" w:hAnsi="Arial Narrow"/>
                      <w:sz w:val="18"/>
                      <w:lang w:val="es-ES"/>
                    </w:rPr>
                    <w:t>de</w:t>
                  </w:r>
                  <w:r w:rsidRPr="00761662">
                    <w:rPr>
                      <w:sz w:val="18"/>
                      <w:lang w:val="es-ES"/>
                    </w:rPr>
                    <w:t xml:space="preserve"> </w:t>
                  </w:r>
                  <w:r w:rsidRPr="00761662">
                    <w:rPr>
                      <w:rFonts w:ascii="Arial Narrow" w:hAnsi="Arial Narrow"/>
                      <w:bCs/>
                      <w:noProof/>
                      <w:sz w:val="22"/>
                    </w:rPr>
                    <w:fldChar w:fldCharType="begin"/>
                  </w:r>
                  <w:r w:rsidRPr="00761662">
                    <w:rPr>
                      <w:rFonts w:ascii="Arial Narrow" w:hAnsi="Arial Narrow"/>
                      <w:bCs/>
                      <w:noProof/>
                      <w:sz w:val="22"/>
                    </w:rPr>
                    <w:instrText>NUMPAGES</w:instrText>
                  </w:r>
                  <w:r w:rsidRPr="00761662">
                    <w:rPr>
                      <w:rFonts w:ascii="Arial Narrow" w:hAnsi="Arial Narrow"/>
                      <w:bCs/>
                      <w:noProof/>
                      <w:sz w:val="22"/>
                    </w:rPr>
                    <w:fldChar w:fldCharType="separate"/>
                  </w:r>
                  <w:r w:rsidR="00DC170A">
                    <w:rPr>
                      <w:rFonts w:ascii="Arial Narrow" w:hAnsi="Arial Narrow"/>
                      <w:bCs/>
                      <w:noProof/>
                      <w:sz w:val="22"/>
                    </w:rPr>
                    <w:t>29</w:t>
                  </w:r>
                  <w:r w:rsidRPr="00761662">
                    <w:rPr>
                      <w:rFonts w:ascii="Arial Narrow" w:hAnsi="Arial Narrow"/>
                      <w:bCs/>
                      <w:noProof/>
                      <w:sz w:val="22"/>
                    </w:rPr>
                    <w:fldChar w:fldCharType="end"/>
                  </w:r>
                </w:p>
                <w:p w14:paraId="6DF7D8E4" w14:textId="2DDD9A93" w:rsidR="005F0081" w:rsidRDefault="005F0081" w:rsidP="00761662">
                  <w:pPr>
                    <w:pStyle w:val="Piedepgina"/>
                    <w:spacing w:line="360" w:lineRule="auto"/>
                  </w:pPr>
                  <w:r>
                    <w:rPr>
                      <w:rFonts w:cs="Arial"/>
                      <w:sz w:val="18"/>
                      <w:szCs w:val="18"/>
                    </w:rPr>
                    <w:t>20</w:t>
                  </w:r>
                  <w:r w:rsidRPr="009C4F84">
                    <w:rPr>
                      <w:rFonts w:cs="Arial"/>
                      <w:sz w:val="18"/>
                      <w:szCs w:val="18"/>
                    </w:rPr>
                    <w:t>-AEMD-A-GOB-048-098</w:t>
                  </w:r>
                  <w:r>
                    <w:rPr>
                      <w:rFonts w:cs="Arial"/>
                      <w:sz w:val="18"/>
                      <w:szCs w:val="18"/>
                    </w:rPr>
                    <w:t xml:space="preserve"> /</w:t>
                  </w:r>
                  <w:r w:rsidRPr="009C4F84">
                    <w:rPr>
                      <w:rFonts w:cs="Arial"/>
                      <w:sz w:val="18"/>
                      <w:szCs w:val="18"/>
                    </w:rPr>
                    <w:t xml:space="preserve"> Auditoría</w:t>
                  </w:r>
                  <w:r w:rsidRPr="009C4F84">
                    <w:rPr>
                      <w:rFonts w:cs="Arial"/>
                      <w:bCs/>
                      <w:sz w:val="18"/>
                      <w:szCs w:val="18"/>
                      <w:lang w:val="es-ES"/>
                    </w:rPr>
                    <w:t xml:space="preserve"> al Desempeño </w:t>
                  </w:r>
                  <w:r w:rsidRPr="009C4F84">
                    <w:rPr>
                      <w:sz w:val="18"/>
                      <w:szCs w:val="18"/>
                    </w:rPr>
                    <w:t>de</w:t>
                  </w:r>
                  <w:r w:rsidRPr="009C4F84">
                    <w:rPr>
                      <w:rFonts w:cs="Arial"/>
                      <w:bCs/>
                      <w:sz w:val="18"/>
                      <w:szCs w:val="18"/>
                      <w:lang w:val="es-ES"/>
                    </w:rPr>
                    <w:t xml:space="preserve"> las Matrices</w:t>
                  </w:r>
                  <w:r>
                    <w:rPr>
                      <w:rFonts w:cs="Arial"/>
                      <w:bCs/>
                      <w:sz w:val="18"/>
                      <w:szCs w:val="18"/>
                      <w:lang w:val="es-ES"/>
                    </w:rPr>
                    <w:t xml:space="preserve"> de Indicadores para Resultados.</w:t>
                  </w:r>
                </w:p>
              </w:tc>
            </w:tr>
          </w:tbl>
          <w:p w14:paraId="7FF19D40" w14:textId="1C1FC5B9" w:rsidR="005F0081" w:rsidRDefault="00DC170A" w:rsidP="00761662">
            <w:pPr>
              <w:pStyle w:val="Piedepgin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9C7D7" w14:textId="77777777" w:rsidR="005F0081" w:rsidRDefault="005F0081" w:rsidP="001B2D33">
      <w:pPr>
        <w:spacing w:after="0" w:line="240" w:lineRule="auto"/>
      </w:pPr>
      <w:r>
        <w:separator/>
      </w:r>
    </w:p>
  </w:footnote>
  <w:footnote w:type="continuationSeparator" w:id="0">
    <w:p w14:paraId="0C205E4D" w14:textId="77777777" w:rsidR="005F0081" w:rsidRDefault="005F0081" w:rsidP="001B2D33">
      <w:pPr>
        <w:spacing w:after="0" w:line="240" w:lineRule="auto"/>
      </w:pPr>
      <w:r>
        <w:continuationSeparator/>
      </w:r>
    </w:p>
  </w:footnote>
  <w:footnote w:id="1">
    <w:p w14:paraId="20DAEFC9" w14:textId="38D2DA06" w:rsidR="005F0081" w:rsidRDefault="005F0081" w:rsidP="00023141">
      <w:pPr>
        <w:pStyle w:val="Textonotapie"/>
      </w:pPr>
      <w:r>
        <w:rPr>
          <w:rStyle w:val="Refdenotaalpie"/>
        </w:rPr>
        <w:footnoteRef/>
      </w:r>
      <w:r>
        <w:t xml:space="preserve"> </w:t>
      </w:r>
      <w:r>
        <w:rPr>
          <w:rFonts w:ascii="Arial" w:hAnsi="Arial" w:cs="Arial"/>
          <w:sz w:val="14"/>
          <w:szCs w:val="14"/>
        </w:rPr>
        <w:t>Guía para el diseño de la Matriz de Indicadores para Resultados (SHCP) pág. 24.</w:t>
      </w:r>
    </w:p>
  </w:footnote>
  <w:footnote w:id="2">
    <w:p w14:paraId="0A2DC113" w14:textId="34CB56E8" w:rsidR="005F0081" w:rsidRPr="00665CFB" w:rsidRDefault="005F0081" w:rsidP="00023141">
      <w:pPr>
        <w:pStyle w:val="Textonotapie"/>
        <w:rPr>
          <w:rStyle w:val="Refdenotaalpie"/>
          <w:sz w:val="16"/>
          <w:szCs w:val="16"/>
        </w:rPr>
      </w:pPr>
      <w:r w:rsidRPr="006B180D">
        <w:rPr>
          <w:rFonts w:ascii="Arial" w:hAnsi="Arial" w:cs="Arial"/>
          <w:sz w:val="14"/>
        </w:rPr>
        <w:footnoteRef/>
      </w:r>
      <w:r w:rsidRPr="006B180D">
        <w:rPr>
          <w:rFonts w:ascii="Arial" w:hAnsi="Arial" w:cs="Arial"/>
          <w:sz w:val="14"/>
        </w:rPr>
        <w:t xml:space="preserve"> Actualización del Plan Estatal</w:t>
      </w:r>
      <w:r>
        <w:rPr>
          <w:rFonts w:ascii="Arial" w:hAnsi="Arial" w:cs="Arial"/>
          <w:sz w:val="14"/>
        </w:rPr>
        <w:t xml:space="preserve"> de Desarrollo 2016-2022, pág</w:t>
      </w:r>
      <w:r w:rsidRPr="006B180D">
        <w:rPr>
          <w:rFonts w:ascii="Arial" w:hAnsi="Arial" w:cs="Arial"/>
          <w:sz w:val="14"/>
        </w:rPr>
        <w:t>s. 174 y 175</w:t>
      </w:r>
      <w:r>
        <w:rPr>
          <w:rFonts w:ascii="Arial" w:hAnsi="Arial" w:cs="Arial"/>
          <w:sz w:val="14"/>
        </w:rPr>
        <w:t>.</w:t>
      </w:r>
    </w:p>
  </w:footnote>
  <w:footnote w:id="3">
    <w:p w14:paraId="05DF9752" w14:textId="77777777" w:rsidR="005F0081" w:rsidRDefault="005F0081"/>
    <w:p w14:paraId="18549B38" w14:textId="77777777" w:rsidR="005F0081" w:rsidRPr="00810B49" w:rsidRDefault="005F0081" w:rsidP="00023141">
      <w:pPr>
        <w:pStyle w:val="Textonotapie"/>
        <w:rPr>
          <w:rFonts w:ascii="Arial" w:hAnsi="Arial" w:cs="Arial"/>
          <w:sz w:val="14"/>
        </w:rPr>
      </w:pPr>
    </w:p>
  </w:footnote>
  <w:footnote w:id="4">
    <w:p w14:paraId="00D3785B" w14:textId="2DBB7D7A" w:rsidR="005F0081" w:rsidRPr="00196774" w:rsidRDefault="005F0081" w:rsidP="00023141">
      <w:pPr>
        <w:pStyle w:val="Textonotapie"/>
        <w:spacing w:line="276" w:lineRule="auto"/>
        <w:jc w:val="both"/>
        <w:rPr>
          <w:rFonts w:ascii="Arial" w:hAnsi="Arial" w:cs="Arial"/>
          <w:sz w:val="14"/>
          <w:szCs w:val="14"/>
        </w:rPr>
      </w:pPr>
      <w:r w:rsidRPr="00341B10">
        <w:rPr>
          <w:rFonts w:ascii="Arial" w:hAnsi="Arial" w:cs="Arial"/>
          <w:sz w:val="14"/>
        </w:rPr>
        <w:footnoteRef/>
      </w:r>
      <w:r w:rsidRPr="00341B10">
        <w:rPr>
          <w:rFonts w:ascii="Arial" w:hAnsi="Arial" w:cs="Arial"/>
          <w:sz w:val="14"/>
        </w:rPr>
        <w:t xml:space="preserve"> Lineamientos de Programación y Presupuestación para el </w:t>
      </w:r>
      <w:r>
        <w:rPr>
          <w:rFonts w:ascii="Arial" w:hAnsi="Arial" w:cs="Arial"/>
          <w:sz w:val="14"/>
        </w:rPr>
        <w:t>Ejercicio Fiscal</w:t>
      </w:r>
      <w:r w:rsidRPr="00341B10">
        <w:rPr>
          <w:rFonts w:ascii="Arial" w:hAnsi="Arial" w:cs="Arial"/>
          <w:sz w:val="14"/>
        </w:rPr>
        <w:t xml:space="preserve"> 2020</w:t>
      </w:r>
      <w:r>
        <w:rPr>
          <w:rFonts w:ascii="Arial" w:hAnsi="Arial" w:cs="Arial"/>
          <w:sz w:val="14"/>
        </w:rPr>
        <w:t>, versión publicada en el</w:t>
      </w:r>
      <w:r w:rsidRPr="00341B10">
        <w:rPr>
          <w:rFonts w:ascii="Arial" w:hAnsi="Arial" w:cs="Arial"/>
          <w:sz w:val="14"/>
        </w:rPr>
        <w:t xml:space="preserve"> Periódico Oficial del Estado de Quintana Roo. Tomo III, Número 132 Extraordinario, Novena Época. Chetumal Quintana Roo, 22 de noviembre de 2019. Secretaría de Finanzas y Planea</w:t>
      </w:r>
      <w:r>
        <w:rPr>
          <w:rFonts w:ascii="Arial" w:hAnsi="Arial" w:cs="Arial"/>
          <w:sz w:val="14"/>
        </w:rPr>
        <w:t>ción, Pág</w:t>
      </w:r>
      <w:r w:rsidRPr="00341B10">
        <w:rPr>
          <w:rFonts w:ascii="Arial" w:hAnsi="Arial" w:cs="Arial"/>
          <w:sz w:val="14"/>
        </w:rPr>
        <w:t>. 113</w:t>
      </w:r>
      <w:r>
        <w:rPr>
          <w:rFonts w:ascii="Arial" w:hAnsi="Arial" w:cs="Arial"/>
          <w:sz w:val="14"/>
          <w:szCs w:val="14"/>
        </w:rPr>
        <w:t>.</w:t>
      </w:r>
    </w:p>
  </w:footnote>
  <w:footnote w:id="5">
    <w:p w14:paraId="4BBCF9B3" w14:textId="4744695D" w:rsidR="005F0081" w:rsidRPr="00810B49" w:rsidRDefault="005F0081" w:rsidP="00023141">
      <w:pPr>
        <w:pStyle w:val="Textonotapie"/>
        <w:rPr>
          <w:rFonts w:ascii="Arial" w:hAnsi="Arial" w:cs="Arial"/>
          <w:sz w:val="14"/>
        </w:rPr>
      </w:pPr>
      <w:r w:rsidRPr="00810B49">
        <w:rPr>
          <w:rFonts w:ascii="Arial" w:hAnsi="Arial" w:cs="Arial"/>
          <w:sz w:val="14"/>
        </w:rPr>
        <w:footnoteRef/>
      </w:r>
      <w:r w:rsidRPr="00810B49">
        <w:rPr>
          <w:rFonts w:ascii="Arial" w:hAnsi="Arial" w:cs="Arial"/>
          <w:sz w:val="14"/>
        </w:rPr>
        <w:t xml:space="preserve"> Decreto por el que se crea</w:t>
      </w:r>
      <w:r>
        <w:rPr>
          <w:rFonts w:ascii="Arial" w:hAnsi="Arial" w:cs="Arial"/>
          <w:sz w:val="14"/>
        </w:rPr>
        <w:t xml:space="preserve"> la Universidad de Quintana Roo</w:t>
      </w:r>
      <w:r w:rsidRPr="00810B49">
        <w:rPr>
          <w:rFonts w:ascii="Arial" w:hAnsi="Arial" w:cs="Arial"/>
          <w:sz w:val="14"/>
        </w:rPr>
        <w:t xml:space="preserve"> artículo 1.</w:t>
      </w:r>
    </w:p>
  </w:footnote>
  <w:footnote w:id="6">
    <w:p w14:paraId="2BC41C2D" w14:textId="687BC554" w:rsidR="005F0081" w:rsidRPr="00810B49" w:rsidRDefault="005F0081" w:rsidP="00023141">
      <w:pPr>
        <w:pStyle w:val="Textonotapie"/>
        <w:rPr>
          <w:rFonts w:ascii="Arial" w:hAnsi="Arial" w:cs="Arial"/>
          <w:sz w:val="14"/>
        </w:rPr>
      </w:pPr>
      <w:r w:rsidRPr="00810B49">
        <w:rPr>
          <w:rFonts w:ascii="Arial" w:hAnsi="Arial" w:cs="Arial"/>
          <w:sz w:val="14"/>
        </w:rPr>
        <w:footnoteRef/>
      </w:r>
      <w:r w:rsidRPr="00810B49">
        <w:rPr>
          <w:rFonts w:ascii="Arial" w:hAnsi="Arial" w:cs="Arial"/>
          <w:sz w:val="14"/>
        </w:rPr>
        <w:t xml:space="preserve"> Plan Estratégico para el Desarrollo Institucional 2017 – 2020</w:t>
      </w:r>
      <w:r>
        <w:rPr>
          <w:rFonts w:ascii="Arial" w:hAnsi="Arial" w:cs="Arial"/>
          <w:sz w:val="14"/>
        </w:rPr>
        <w:t>. P</w:t>
      </w:r>
      <w:r w:rsidRPr="00810B49">
        <w:rPr>
          <w:rFonts w:ascii="Arial" w:hAnsi="Arial" w:cs="Arial"/>
          <w:sz w:val="14"/>
        </w:rPr>
        <w:t>ág. 15.</w:t>
      </w:r>
    </w:p>
  </w:footnote>
  <w:footnote w:id="7">
    <w:p w14:paraId="1D79A89E" w14:textId="7E43C8B3" w:rsidR="005F0081" w:rsidRPr="0007143D" w:rsidRDefault="005F0081" w:rsidP="00023141">
      <w:pPr>
        <w:pStyle w:val="Textonotapie"/>
        <w:rPr>
          <w:rFonts w:ascii="Arial" w:hAnsi="Arial" w:cs="Arial"/>
          <w:sz w:val="14"/>
          <w:szCs w:val="14"/>
        </w:rPr>
      </w:pPr>
      <w:r w:rsidRPr="0007143D">
        <w:rPr>
          <w:rStyle w:val="Refdenotaalpie"/>
          <w:rFonts w:ascii="Arial" w:hAnsi="Arial" w:cs="Arial"/>
          <w:sz w:val="14"/>
          <w:szCs w:val="14"/>
        </w:rPr>
        <w:footnoteRef/>
      </w:r>
      <w:r w:rsidRPr="0007143D">
        <w:rPr>
          <w:rFonts w:ascii="Arial" w:hAnsi="Arial" w:cs="Arial"/>
          <w:sz w:val="14"/>
          <w:szCs w:val="14"/>
        </w:rPr>
        <w:t xml:space="preserve"> </w:t>
      </w:r>
      <w:r>
        <w:rPr>
          <w:rFonts w:ascii="Arial" w:hAnsi="Arial" w:cs="Arial"/>
          <w:sz w:val="14"/>
          <w:szCs w:val="14"/>
        </w:rPr>
        <w:t xml:space="preserve"> </w:t>
      </w:r>
      <w:r w:rsidRPr="0007143D">
        <w:rPr>
          <w:rFonts w:ascii="Arial" w:hAnsi="Arial" w:cs="Arial"/>
          <w:sz w:val="14"/>
          <w:szCs w:val="14"/>
        </w:rPr>
        <w:t>Decreto de Creación de</w:t>
      </w:r>
      <w:r>
        <w:rPr>
          <w:rFonts w:ascii="Arial" w:hAnsi="Arial" w:cs="Arial"/>
          <w:sz w:val="14"/>
          <w:szCs w:val="14"/>
        </w:rPr>
        <w:t xml:space="preserve"> la Universidad de Quintana Roo</w:t>
      </w:r>
      <w:r w:rsidRPr="0007143D">
        <w:rPr>
          <w:rFonts w:ascii="Arial" w:hAnsi="Arial" w:cs="Arial"/>
          <w:sz w:val="14"/>
          <w:szCs w:val="14"/>
        </w:rPr>
        <w:t xml:space="preserve"> </w:t>
      </w:r>
      <w:r>
        <w:rPr>
          <w:rFonts w:ascii="Arial" w:hAnsi="Arial" w:cs="Arial"/>
          <w:sz w:val="14"/>
          <w:szCs w:val="14"/>
        </w:rPr>
        <w:t>a</w:t>
      </w:r>
      <w:r w:rsidRPr="0007143D">
        <w:rPr>
          <w:rFonts w:ascii="Arial" w:hAnsi="Arial" w:cs="Arial"/>
          <w:sz w:val="14"/>
          <w:szCs w:val="14"/>
        </w:rPr>
        <w:t>rtículo 7, fracciones III, IV, VI, XI y XII.</w:t>
      </w:r>
    </w:p>
  </w:footnote>
  <w:footnote w:id="8">
    <w:p w14:paraId="5F4666B3" w14:textId="500E2554" w:rsidR="005F0081" w:rsidRDefault="005F0081" w:rsidP="00023141">
      <w:pPr>
        <w:pStyle w:val="Textonotapie"/>
      </w:pPr>
      <w:r w:rsidRPr="00810B49">
        <w:rPr>
          <w:rFonts w:ascii="Arial" w:hAnsi="Arial" w:cs="Arial"/>
          <w:sz w:val="14"/>
        </w:rPr>
        <w:footnoteRef/>
      </w:r>
      <w:r w:rsidRPr="00810B49">
        <w:rPr>
          <w:rFonts w:ascii="Arial" w:hAnsi="Arial" w:cs="Arial"/>
          <w:sz w:val="14"/>
        </w:rPr>
        <w:t xml:space="preserve"> Recuperado de: http://www.uqroo.mx/mision.</w:t>
      </w:r>
    </w:p>
  </w:footnote>
  <w:footnote w:id="9">
    <w:p w14:paraId="79251F36" w14:textId="78B7F5B8" w:rsidR="005F0081" w:rsidRDefault="005F0081">
      <w:pPr>
        <w:pStyle w:val="Textonotapie"/>
      </w:pPr>
      <w:r>
        <w:rPr>
          <w:rStyle w:val="Refdenotaalpie"/>
        </w:rPr>
        <w:footnoteRef/>
      </w:r>
      <w:r>
        <w:t xml:space="preserve"> </w:t>
      </w:r>
      <w:r>
        <w:rPr>
          <w:rFonts w:ascii="Arial" w:hAnsi="Arial" w:cs="Arial"/>
          <w:sz w:val="14"/>
          <w:szCs w:val="14"/>
        </w:rPr>
        <w:t>Anexos del Decreto Número 016 por el que se aprueba el Presupuesto de Egresos del Gobierno del Estado d</w:t>
      </w:r>
      <w:r w:rsidRPr="00BB71F5">
        <w:rPr>
          <w:rFonts w:ascii="Arial" w:hAnsi="Arial" w:cs="Arial"/>
          <w:sz w:val="14"/>
          <w:szCs w:val="14"/>
        </w:rPr>
        <w:t>e Quintana Ro</w:t>
      </w:r>
      <w:r>
        <w:rPr>
          <w:rFonts w:ascii="Arial" w:hAnsi="Arial" w:cs="Arial"/>
          <w:sz w:val="14"/>
          <w:szCs w:val="14"/>
        </w:rPr>
        <w:t>o, para e</w:t>
      </w:r>
      <w:r w:rsidRPr="00BB71F5">
        <w:rPr>
          <w:rFonts w:ascii="Arial" w:hAnsi="Arial" w:cs="Arial"/>
          <w:sz w:val="14"/>
          <w:szCs w:val="14"/>
        </w:rPr>
        <w:t>l Ejercicio Fiscal 2020</w:t>
      </w:r>
      <w:r>
        <w:rPr>
          <w:rFonts w:ascii="Arial" w:hAnsi="Arial" w:cs="Arial"/>
          <w:sz w:val="14"/>
          <w:szCs w:val="14"/>
        </w:rPr>
        <w:t>.</w:t>
      </w:r>
    </w:p>
  </w:footnote>
  <w:footnote w:id="10">
    <w:p w14:paraId="21A80921" w14:textId="4D9CB500" w:rsidR="005F0081" w:rsidRPr="00A62722" w:rsidRDefault="005F0081" w:rsidP="00084529">
      <w:pPr>
        <w:pStyle w:val="Textonotapie"/>
        <w:spacing w:line="276" w:lineRule="auto"/>
        <w:jc w:val="both"/>
        <w:rPr>
          <w:rFonts w:ascii="Arial" w:hAnsi="Arial" w:cs="Arial"/>
          <w:sz w:val="14"/>
          <w:szCs w:val="14"/>
        </w:rPr>
      </w:pPr>
      <w:r w:rsidRPr="00A62722">
        <w:rPr>
          <w:rStyle w:val="Refdenotaalpie"/>
          <w:rFonts w:ascii="Arial" w:hAnsi="Arial" w:cs="Arial"/>
          <w:sz w:val="14"/>
          <w:szCs w:val="14"/>
        </w:rPr>
        <w:footnoteRef/>
      </w:r>
      <w:r w:rsidRPr="00A62722">
        <w:rPr>
          <w:rFonts w:ascii="Arial" w:hAnsi="Arial" w:cs="Arial"/>
          <w:sz w:val="14"/>
          <w:szCs w:val="14"/>
        </w:rPr>
        <w:t xml:space="preserve"> Ley General de Re</w:t>
      </w:r>
      <w:r>
        <w:rPr>
          <w:rFonts w:ascii="Arial" w:hAnsi="Arial" w:cs="Arial"/>
          <w:sz w:val="14"/>
          <w:szCs w:val="14"/>
        </w:rPr>
        <w:t>sponsabilidades Administrativas</w:t>
      </w:r>
      <w:r w:rsidRPr="00A62722">
        <w:rPr>
          <w:rFonts w:ascii="Arial" w:hAnsi="Arial" w:cs="Arial"/>
          <w:sz w:val="14"/>
          <w:szCs w:val="14"/>
        </w:rPr>
        <w:t xml:space="preserve"> artículo 7, fraccion</w:t>
      </w:r>
      <w:r>
        <w:rPr>
          <w:rFonts w:ascii="Arial" w:hAnsi="Arial" w:cs="Arial"/>
          <w:sz w:val="14"/>
          <w:szCs w:val="14"/>
        </w:rPr>
        <w:t>es</w:t>
      </w:r>
      <w:r w:rsidRPr="00A62722">
        <w:rPr>
          <w:rFonts w:ascii="Arial" w:hAnsi="Arial" w:cs="Arial"/>
          <w:sz w:val="14"/>
          <w:szCs w:val="14"/>
        </w:rPr>
        <w:t xml:space="preserve"> I y V. </w:t>
      </w:r>
    </w:p>
  </w:footnote>
  <w:footnote w:id="11">
    <w:p w14:paraId="46730E6E" w14:textId="77777777" w:rsidR="005F0081" w:rsidRPr="00A85128" w:rsidRDefault="005F0081" w:rsidP="00084529">
      <w:pPr>
        <w:pStyle w:val="Textonotapie"/>
        <w:spacing w:line="276" w:lineRule="auto"/>
        <w:rPr>
          <w:rFonts w:ascii="Arial" w:hAnsi="Arial" w:cs="Arial"/>
          <w:sz w:val="14"/>
          <w:szCs w:val="14"/>
        </w:rPr>
      </w:pPr>
      <w:r w:rsidRPr="00A85128">
        <w:rPr>
          <w:rStyle w:val="Refdenotaalpie"/>
          <w:rFonts w:ascii="Arial" w:hAnsi="Arial" w:cs="Arial"/>
          <w:sz w:val="14"/>
          <w:szCs w:val="14"/>
        </w:rPr>
        <w:footnoteRef/>
      </w:r>
      <w:r w:rsidRPr="00A85128">
        <w:rPr>
          <w:rFonts w:ascii="Arial" w:hAnsi="Arial" w:cs="Arial"/>
          <w:sz w:val="14"/>
          <w:szCs w:val="14"/>
        </w:rPr>
        <w:t xml:space="preserve"> </w:t>
      </w:r>
      <w:r w:rsidRPr="00454EEE">
        <w:rPr>
          <w:rFonts w:ascii="Arial" w:hAnsi="Arial" w:cs="Arial"/>
          <w:sz w:val="14"/>
          <w:szCs w:val="14"/>
        </w:rPr>
        <w:t>Actualización del Plan Estatal de Desarrollo, publicado en el Periódico Oficial del Estado de Quintana Roo el 17 de enero de 2020, Tomo I, Número 9 Extraordinario, Novena Época.</w:t>
      </w:r>
    </w:p>
  </w:footnote>
  <w:footnote w:id="12">
    <w:p w14:paraId="16F3A81C" w14:textId="77777777" w:rsidR="005F0081" w:rsidRPr="00677F9C" w:rsidRDefault="005F0081" w:rsidP="00AB2D34">
      <w:pPr>
        <w:autoSpaceDE w:val="0"/>
        <w:autoSpaceDN w:val="0"/>
        <w:adjustRightInd w:val="0"/>
        <w:spacing w:after="0" w:line="276" w:lineRule="auto"/>
        <w:rPr>
          <w:rFonts w:cs="Arial"/>
          <w:sz w:val="14"/>
          <w:szCs w:val="14"/>
        </w:rPr>
      </w:pPr>
      <w:r w:rsidRPr="00677F9C">
        <w:rPr>
          <w:rStyle w:val="Refdenotaalpie"/>
          <w:rFonts w:cs="Arial"/>
          <w:sz w:val="14"/>
          <w:szCs w:val="14"/>
        </w:rPr>
        <w:footnoteRef/>
      </w:r>
      <w:r w:rsidRPr="00677F9C">
        <w:rPr>
          <w:rFonts w:cs="Arial"/>
          <w:sz w:val="14"/>
          <w:szCs w:val="14"/>
        </w:rPr>
        <w:t xml:space="preserve"> </w:t>
      </w:r>
      <w:r w:rsidRPr="00677F9C">
        <w:rPr>
          <w:rFonts w:cs="Arial"/>
          <w:bCs/>
          <w:sz w:val="14"/>
          <w:szCs w:val="14"/>
        </w:rPr>
        <w:t>Decreto p</w:t>
      </w:r>
      <w:r w:rsidRPr="00677F9C">
        <w:rPr>
          <w:rFonts w:cs="Arial"/>
          <w:sz w:val="14"/>
          <w:szCs w:val="14"/>
        </w:rPr>
        <w:t>or el que se crea la Universidad de Quintana Roo, como un Organismo Descentralizado y de Interés Público y Social del Estado de Quintana Roo artículo 66.</w:t>
      </w:r>
    </w:p>
  </w:footnote>
  <w:footnote w:id="13">
    <w:p w14:paraId="00C42942" w14:textId="5F43951C" w:rsidR="005F0081" w:rsidRPr="00677F9C" w:rsidRDefault="005F0081" w:rsidP="0023564C">
      <w:pPr>
        <w:autoSpaceDE w:val="0"/>
        <w:autoSpaceDN w:val="0"/>
        <w:adjustRightInd w:val="0"/>
        <w:spacing w:after="0" w:line="276" w:lineRule="auto"/>
        <w:rPr>
          <w:rFonts w:cs="Arial"/>
          <w:sz w:val="14"/>
          <w:szCs w:val="14"/>
        </w:rPr>
      </w:pPr>
      <w:r w:rsidRPr="00677F9C">
        <w:rPr>
          <w:sz w:val="14"/>
          <w:szCs w:val="14"/>
        </w:rPr>
        <w:footnoteRef/>
      </w:r>
      <w:r w:rsidRPr="00677F9C">
        <w:rPr>
          <w:rFonts w:cs="Arial"/>
          <w:sz w:val="14"/>
          <w:szCs w:val="14"/>
        </w:rPr>
        <w:t xml:space="preserve"> Ley Orgánica de la Universidad de Quintana Roo artículos 1º, 4º fracción II, 11 fracción VII, y 19 fracción I.</w:t>
      </w:r>
    </w:p>
  </w:footnote>
  <w:footnote w:id="14">
    <w:p w14:paraId="006F6BFA" w14:textId="0E9BDF03" w:rsidR="005F0081" w:rsidRDefault="005F0081" w:rsidP="0023564C">
      <w:pPr>
        <w:autoSpaceDE w:val="0"/>
        <w:autoSpaceDN w:val="0"/>
        <w:adjustRightInd w:val="0"/>
        <w:spacing w:after="0" w:line="276" w:lineRule="auto"/>
      </w:pPr>
      <w:r w:rsidRPr="00677F9C">
        <w:rPr>
          <w:sz w:val="14"/>
          <w:szCs w:val="14"/>
        </w:rPr>
        <w:footnoteRef/>
      </w:r>
      <w:r w:rsidRPr="00677F9C">
        <w:rPr>
          <w:rFonts w:cs="Arial"/>
          <w:sz w:val="14"/>
          <w:szCs w:val="14"/>
        </w:rPr>
        <w:t xml:space="preserve"> Reglamento General de la Unive</w:t>
      </w:r>
      <w:r>
        <w:rPr>
          <w:rFonts w:cs="Arial"/>
          <w:sz w:val="14"/>
          <w:szCs w:val="14"/>
        </w:rPr>
        <w:t>rsidad de Quintana Roo artículo</w:t>
      </w:r>
      <w:r w:rsidRPr="00677F9C">
        <w:rPr>
          <w:rFonts w:cs="Arial"/>
          <w:sz w:val="14"/>
          <w:szCs w:val="14"/>
        </w:rPr>
        <w:t xml:space="preserve"> 56, fracción VI.</w:t>
      </w:r>
    </w:p>
  </w:footnote>
  <w:footnote w:id="15">
    <w:p w14:paraId="4D8DF343" w14:textId="62DE09C0" w:rsidR="005F0081" w:rsidRPr="00F051F9" w:rsidRDefault="005F0081" w:rsidP="007D3729">
      <w:pPr>
        <w:pStyle w:val="Textonotapie"/>
        <w:spacing w:line="276" w:lineRule="auto"/>
        <w:jc w:val="both"/>
        <w:rPr>
          <w:rFonts w:ascii="Arial" w:hAnsi="Arial" w:cs="Arial"/>
          <w:sz w:val="14"/>
          <w:szCs w:val="14"/>
        </w:rPr>
      </w:pPr>
      <w:r w:rsidRPr="00F051F9">
        <w:rPr>
          <w:rStyle w:val="Refdenotaalpie"/>
          <w:sz w:val="14"/>
          <w:szCs w:val="14"/>
        </w:rPr>
        <w:footnoteRef/>
      </w:r>
      <w:r w:rsidRPr="00F051F9">
        <w:rPr>
          <w:sz w:val="14"/>
          <w:szCs w:val="14"/>
        </w:rPr>
        <w:t xml:space="preserve"> </w:t>
      </w:r>
      <w:r w:rsidRPr="00F051F9">
        <w:rPr>
          <w:rFonts w:ascii="Arial" w:hAnsi="Arial" w:cs="Arial"/>
          <w:sz w:val="14"/>
          <w:szCs w:val="14"/>
        </w:rPr>
        <w:t>Ley del Sistema Anticorrupción del Estado de Quin</w:t>
      </w:r>
      <w:r>
        <w:rPr>
          <w:rFonts w:ascii="Arial" w:hAnsi="Arial" w:cs="Arial"/>
          <w:sz w:val="14"/>
          <w:szCs w:val="14"/>
        </w:rPr>
        <w:t>tana Roo, artículo 5 y Ley General</w:t>
      </w:r>
      <w:r w:rsidRPr="00F051F9">
        <w:rPr>
          <w:rFonts w:ascii="Arial" w:hAnsi="Arial" w:cs="Arial"/>
          <w:sz w:val="14"/>
          <w:szCs w:val="14"/>
        </w:rPr>
        <w:t xml:space="preserve"> Responsabilidades Administrativas</w:t>
      </w:r>
      <w:r>
        <w:rPr>
          <w:rFonts w:ascii="Arial" w:hAnsi="Arial" w:cs="Arial"/>
          <w:sz w:val="14"/>
          <w:szCs w:val="14"/>
        </w:rPr>
        <w:t xml:space="preserve"> artículo 6</w:t>
      </w:r>
      <w:r w:rsidRPr="00F051F9">
        <w:rPr>
          <w:rFonts w:ascii="Arial" w:hAnsi="Arial" w:cs="Arial"/>
          <w:sz w:val="14"/>
          <w:szCs w:val="14"/>
        </w:rPr>
        <w:t>.</w:t>
      </w:r>
    </w:p>
  </w:footnote>
  <w:footnote w:id="16">
    <w:p w14:paraId="59BA26D0" w14:textId="0E90A7B3" w:rsidR="005F0081" w:rsidRPr="003E5840" w:rsidRDefault="005F0081" w:rsidP="007D3729">
      <w:pPr>
        <w:pStyle w:val="Textonotapie"/>
        <w:spacing w:line="276" w:lineRule="auto"/>
        <w:jc w:val="both"/>
        <w:rPr>
          <w:rFonts w:ascii="Arial" w:hAnsi="Arial" w:cs="Arial"/>
          <w:sz w:val="16"/>
          <w:szCs w:val="16"/>
        </w:rPr>
      </w:pPr>
      <w:r w:rsidRPr="00F051F9">
        <w:rPr>
          <w:rStyle w:val="Refdenotaalpie"/>
          <w:rFonts w:ascii="Arial" w:hAnsi="Arial" w:cs="Arial"/>
          <w:sz w:val="14"/>
          <w:szCs w:val="14"/>
        </w:rPr>
        <w:footnoteRef/>
      </w:r>
      <w:r>
        <w:rPr>
          <w:rFonts w:ascii="Arial" w:hAnsi="Arial" w:cs="Arial"/>
          <w:sz w:val="14"/>
          <w:szCs w:val="14"/>
        </w:rPr>
        <w:t xml:space="preserve"> Ley General de </w:t>
      </w:r>
      <w:r w:rsidRPr="00F051F9">
        <w:rPr>
          <w:rFonts w:ascii="Arial" w:hAnsi="Arial" w:cs="Arial"/>
          <w:sz w:val="14"/>
          <w:szCs w:val="14"/>
        </w:rPr>
        <w:t>Responsabilidades Administra</w:t>
      </w:r>
      <w:r>
        <w:rPr>
          <w:rFonts w:ascii="Arial" w:hAnsi="Arial" w:cs="Arial"/>
          <w:sz w:val="14"/>
          <w:szCs w:val="14"/>
        </w:rPr>
        <w:t>tivas</w:t>
      </w:r>
      <w:r w:rsidRPr="00F051F9">
        <w:rPr>
          <w:rFonts w:ascii="Arial" w:hAnsi="Arial" w:cs="Arial"/>
          <w:sz w:val="14"/>
          <w:szCs w:val="14"/>
        </w:rPr>
        <w:t xml:space="preserve"> artículo 16.</w:t>
      </w:r>
      <w:r w:rsidRPr="003E5840">
        <w:rPr>
          <w:rFonts w:ascii="Arial" w:hAnsi="Arial" w:cs="Arial"/>
          <w:sz w:val="14"/>
          <w:szCs w:val="16"/>
        </w:rPr>
        <w:t xml:space="preserve"> </w:t>
      </w:r>
    </w:p>
  </w:footnote>
  <w:footnote w:id="17">
    <w:p w14:paraId="556FE4EF" w14:textId="1D9B2C70" w:rsidR="005F0081" w:rsidRPr="00FD37D8" w:rsidRDefault="005F0081" w:rsidP="007D3729">
      <w:pPr>
        <w:pStyle w:val="Textonotapie"/>
        <w:spacing w:line="276" w:lineRule="auto"/>
        <w:jc w:val="both"/>
        <w:rPr>
          <w:rFonts w:ascii="Arial" w:hAnsi="Arial" w:cs="Arial"/>
          <w:sz w:val="14"/>
          <w:szCs w:val="14"/>
        </w:rPr>
      </w:pPr>
      <w:r w:rsidRPr="000F126F">
        <w:rPr>
          <w:rStyle w:val="Refdenotaalpie"/>
          <w:rFonts w:ascii="Arial" w:hAnsi="Arial" w:cs="Arial"/>
          <w:sz w:val="14"/>
          <w:szCs w:val="14"/>
        </w:rPr>
        <w:footnoteRef/>
      </w:r>
      <w:r w:rsidRPr="000F126F">
        <w:rPr>
          <w:rFonts w:ascii="Arial" w:hAnsi="Arial" w:cs="Arial"/>
          <w:sz w:val="14"/>
          <w:szCs w:val="14"/>
        </w:rPr>
        <w:t xml:space="preserve"> Acuerdo por el que se emiten las Normas Generales de Control </w:t>
      </w:r>
      <w:r w:rsidRPr="00FD37D8">
        <w:rPr>
          <w:rFonts w:ascii="Arial" w:hAnsi="Arial" w:cs="Arial"/>
          <w:sz w:val="14"/>
          <w:szCs w:val="14"/>
        </w:rPr>
        <w:t>Interno de la Administración Pública Central y Paraestatal del Estado de Quintana Roo artículo 2 fracción IX y X.</w:t>
      </w:r>
    </w:p>
  </w:footnote>
  <w:footnote w:id="18">
    <w:p w14:paraId="40AE89D4" w14:textId="77777777" w:rsidR="005F0081" w:rsidRPr="00FD37D8" w:rsidRDefault="005F0081" w:rsidP="007D3729">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Secretaría de la Contraloría del Estado.</w:t>
      </w:r>
    </w:p>
  </w:footnote>
  <w:footnote w:id="19">
    <w:p w14:paraId="02EA5E2A" w14:textId="4E12782D" w:rsidR="005F0081" w:rsidRPr="00FD37D8" w:rsidRDefault="005F0081" w:rsidP="007D3729">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por el que se emiten las Normas Generales de Control Interno de la Administración Pública Central y Paraestatal del Estado de Quintana Roo,</w:t>
      </w:r>
      <w:r w:rsidRPr="00E65A2B">
        <w:rPr>
          <w:b/>
          <w:sz w:val="18"/>
          <w:szCs w:val="18"/>
        </w:rPr>
        <w:t xml:space="preserve"> </w:t>
      </w:r>
      <w:r w:rsidRPr="00E65A2B">
        <w:rPr>
          <w:rFonts w:ascii="Arial" w:hAnsi="Arial" w:cs="Arial"/>
          <w:sz w:val="14"/>
          <w:szCs w:val="14"/>
        </w:rPr>
        <w:t>de fecha 23 de julio de 2019</w:t>
      </w:r>
      <w:r w:rsidRPr="00FD37D8">
        <w:rPr>
          <w:rFonts w:ascii="Arial" w:hAnsi="Arial" w:cs="Arial"/>
          <w:sz w:val="14"/>
          <w:szCs w:val="14"/>
        </w:rPr>
        <w:t xml:space="preserve"> artículo 35.</w:t>
      </w:r>
    </w:p>
  </w:footnote>
  <w:footnote w:id="20">
    <w:p w14:paraId="409BE1BA" w14:textId="40658361" w:rsidR="005F0081" w:rsidRDefault="005F0081">
      <w:pPr>
        <w:pStyle w:val="Textonotapie"/>
      </w:pPr>
      <w:r>
        <w:rPr>
          <w:rStyle w:val="Refdenotaalpie"/>
        </w:rPr>
        <w:footnoteRef/>
      </w:r>
      <w:r>
        <w:t xml:space="preserve"> </w:t>
      </w:r>
      <w:r w:rsidRPr="00FD37D8">
        <w:rPr>
          <w:rFonts w:ascii="Arial" w:hAnsi="Arial" w:cs="Arial"/>
          <w:sz w:val="14"/>
          <w:szCs w:val="14"/>
        </w:rPr>
        <w:t>Acuerdo por el que se emiten las Normas Generales de Control Interno de la Administración Pública Central y Paraestatal del Estado de Quintana Roo,</w:t>
      </w:r>
      <w:r>
        <w:rPr>
          <w:rFonts w:ascii="Arial" w:hAnsi="Arial" w:cs="Arial"/>
          <w:sz w:val="14"/>
          <w:szCs w:val="14"/>
        </w:rPr>
        <w:t xml:space="preserve"> artículo 11 fracción VIII y IX.</w:t>
      </w:r>
    </w:p>
  </w:footnote>
  <w:footnote w:id="21">
    <w:p w14:paraId="742B240E" w14:textId="485ADEC1" w:rsidR="005F0081" w:rsidRPr="00FD37D8" w:rsidRDefault="005F0081" w:rsidP="007D3729">
      <w:pPr>
        <w:pStyle w:val="Textonotapie"/>
        <w:spacing w:line="276" w:lineRule="auto"/>
        <w:jc w:val="both"/>
        <w:rPr>
          <w:rFonts w:ascii="Arial" w:hAnsi="Arial" w:cs="Arial"/>
          <w:sz w:val="14"/>
          <w:szCs w:val="14"/>
        </w:rPr>
      </w:pPr>
      <w:r w:rsidRPr="00FD37D8">
        <w:rPr>
          <w:rStyle w:val="Refdenotaalpie"/>
          <w:rFonts w:ascii="Arial" w:hAnsi="Arial" w:cs="Arial"/>
          <w:sz w:val="14"/>
          <w:szCs w:val="14"/>
        </w:rPr>
        <w:footnoteRef/>
      </w:r>
      <w:r w:rsidRPr="00FD37D8">
        <w:rPr>
          <w:rFonts w:ascii="Arial" w:hAnsi="Arial" w:cs="Arial"/>
          <w:sz w:val="14"/>
          <w:szCs w:val="14"/>
        </w:rPr>
        <w:t xml:space="preserve"> Acuerdo que tiene por objeto emitir el Código de Ética de las personas servidoras públicas de las dependencias y entidades de la Administración Pública del Poder</w:t>
      </w:r>
      <w:r>
        <w:rPr>
          <w:rFonts w:ascii="Arial" w:hAnsi="Arial" w:cs="Arial"/>
          <w:sz w:val="14"/>
          <w:szCs w:val="14"/>
        </w:rPr>
        <w:t xml:space="preserve"> Ejecutivo a que se refiere el a</w:t>
      </w:r>
      <w:r w:rsidRPr="00FD37D8">
        <w:rPr>
          <w:rFonts w:ascii="Arial" w:hAnsi="Arial" w:cs="Arial"/>
          <w:sz w:val="14"/>
          <w:szCs w:val="14"/>
        </w:rPr>
        <w:t>rtículo 16 de la Ley General de Re</w:t>
      </w:r>
      <w:r>
        <w:rPr>
          <w:rFonts w:ascii="Arial" w:hAnsi="Arial" w:cs="Arial"/>
          <w:sz w:val="14"/>
          <w:szCs w:val="14"/>
        </w:rPr>
        <w:t>sponsabilidades Administrativas</w:t>
      </w:r>
      <w:r w:rsidRPr="00FD37D8">
        <w:rPr>
          <w:rFonts w:ascii="Arial" w:hAnsi="Arial" w:cs="Arial"/>
          <w:sz w:val="14"/>
          <w:szCs w:val="14"/>
        </w:rPr>
        <w:t xml:space="preserve"> artículo 3.</w:t>
      </w:r>
    </w:p>
  </w:footnote>
  <w:footnote w:id="22">
    <w:p w14:paraId="36133323" w14:textId="77777777" w:rsidR="005F0081" w:rsidRDefault="005F0081" w:rsidP="007D3729">
      <w:pPr>
        <w:pStyle w:val="Textonotapie"/>
      </w:pPr>
      <w:r w:rsidRPr="00040033">
        <w:rPr>
          <w:rStyle w:val="Refdenotaalpie"/>
          <w:rFonts w:ascii="Arial" w:hAnsi="Arial" w:cs="Arial"/>
          <w:sz w:val="14"/>
          <w:szCs w:val="14"/>
        </w:rPr>
        <w:footnoteRef/>
      </w:r>
      <w:r w:rsidRPr="00040033">
        <w:rPr>
          <w:rFonts w:ascii="Arial" w:hAnsi="Arial" w:cs="Arial"/>
          <w:sz w:val="14"/>
          <w:szCs w:val="14"/>
        </w:rPr>
        <w:t xml:space="preserve"> Acuerdo que tiene por objeto emitir el Código de Ética y Código de Conducta de los Servidores Públicos del Poder Ejecutivo del Estado de Quintana Roo, publicado mediante el Periódico Oficial del Estado de Quintana Roo de fecha 11 de enero de 2018</w:t>
      </w:r>
      <w:r w:rsidRPr="005300AE">
        <w:rPr>
          <w:rFonts w:ascii="Arial" w:hAnsi="Arial" w:cs="Arial"/>
          <w:sz w:val="14"/>
        </w:rPr>
        <w:t>.</w:t>
      </w:r>
    </w:p>
  </w:footnote>
  <w:footnote w:id="23">
    <w:p w14:paraId="199D8E79" w14:textId="7373981D" w:rsidR="005F0081" w:rsidRPr="009852E0" w:rsidRDefault="005F0081" w:rsidP="00557CB3">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Constitución Política del Estado Li</w:t>
      </w:r>
      <w:r>
        <w:rPr>
          <w:rFonts w:ascii="Arial" w:hAnsi="Arial" w:cs="Arial"/>
          <w:sz w:val="14"/>
          <w:szCs w:val="14"/>
        </w:rPr>
        <w:t xml:space="preserve">bre y Soberano de Quintana Roo </w:t>
      </w:r>
      <w:r w:rsidRPr="009852E0">
        <w:rPr>
          <w:rFonts w:ascii="Arial" w:hAnsi="Arial" w:cs="Arial"/>
          <w:sz w:val="14"/>
          <w:szCs w:val="14"/>
        </w:rPr>
        <w:t>artículo 166.</w:t>
      </w:r>
    </w:p>
  </w:footnote>
  <w:footnote w:id="24">
    <w:p w14:paraId="4C6F79BE" w14:textId="77C6BAEB" w:rsidR="005F0081" w:rsidRPr="009852E0" w:rsidRDefault="005F0081" w:rsidP="00557CB3">
      <w:pPr>
        <w:pStyle w:val="Textonotapie"/>
        <w:spacing w:line="276" w:lineRule="auto"/>
        <w:jc w:val="both"/>
        <w:rPr>
          <w:rFonts w:ascii="Arial" w:hAnsi="Arial" w:cs="Arial"/>
          <w:sz w:val="14"/>
          <w:szCs w:val="14"/>
        </w:rPr>
      </w:pPr>
      <w:r w:rsidRPr="009852E0">
        <w:rPr>
          <w:rStyle w:val="Refdenotaalpie"/>
          <w:rFonts w:ascii="Arial" w:hAnsi="Arial" w:cs="Arial"/>
          <w:sz w:val="14"/>
          <w:szCs w:val="14"/>
        </w:rPr>
        <w:footnoteRef/>
      </w:r>
      <w:r w:rsidRPr="009852E0">
        <w:rPr>
          <w:rFonts w:ascii="Arial" w:hAnsi="Arial" w:cs="Arial"/>
          <w:sz w:val="14"/>
          <w:szCs w:val="14"/>
        </w:rPr>
        <w:t xml:space="preserve"> Ley Genera</w:t>
      </w:r>
      <w:r>
        <w:rPr>
          <w:rFonts w:ascii="Arial" w:hAnsi="Arial" w:cs="Arial"/>
          <w:sz w:val="14"/>
          <w:szCs w:val="14"/>
        </w:rPr>
        <w:t>l de Contabilidad Gubernamental</w:t>
      </w:r>
      <w:r w:rsidRPr="009852E0">
        <w:rPr>
          <w:rFonts w:ascii="Arial" w:hAnsi="Arial" w:cs="Arial"/>
          <w:sz w:val="14"/>
          <w:szCs w:val="14"/>
        </w:rPr>
        <w:t xml:space="preserve"> artículo 54. </w:t>
      </w:r>
    </w:p>
  </w:footnote>
  <w:footnote w:id="25">
    <w:p w14:paraId="6B9E5A4B" w14:textId="77777777" w:rsidR="005F0081" w:rsidRPr="00414357" w:rsidRDefault="005F0081" w:rsidP="00557CB3">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la Elaboración de la Matriz de Indicadores para Resultados (CONEVAL)</w:t>
      </w:r>
    </w:p>
  </w:footnote>
  <w:footnote w:id="26">
    <w:p w14:paraId="34FADB25" w14:textId="77777777" w:rsidR="005F0081" w:rsidRPr="00414357" w:rsidRDefault="005F0081" w:rsidP="00557CB3">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Guía para el Diseño de la Matriz de Indicadores para Resultados (SHCP)</w:t>
      </w:r>
    </w:p>
  </w:footnote>
  <w:footnote w:id="27">
    <w:p w14:paraId="16B5E380" w14:textId="77777777" w:rsidR="005F0081" w:rsidRPr="00414357" w:rsidRDefault="005F0081" w:rsidP="00557CB3">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w:t>
      </w:r>
      <w:r w:rsidRPr="00414357">
        <w:rPr>
          <w:rFonts w:ascii="Arial" w:hAnsi="Arial" w:cs="Arial"/>
          <w:sz w:val="14"/>
          <w:szCs w:val="14"/>
        </w:rPr>
        <w:t>Manual para el Diseño y la Construcción de Indicadores (CONEVAL).</w:t>
      </w:r>
    </w:p>
  </w:footnote>
  <w:footnote w:id="28">
    <w:p w14:paraId="5AE55CCC" w14:textId="77777777" w:rsidR="005F0081" w:rsidRPr="002608B6" w:rsidRDefault="005F0081" w:rsidP="00557CB3">
      <w:pPr>
        <w:pStyle w:val="Textonotapie"/>
        <w:spacing w:line="276" w:lineRule="auto"/>
        <w:jc w:val="both"/>
        <w:rPr>
          <w:rFonts w:ascii="Arial" w:hAnsi="Arial" w:cs="Arial"/>
          <w:sz w:val="16"/>
          <w:szCs w:val="16"/>
        </w:rPr>
      </w:pPr>
      <w:r w:rsidRPr="00CA783E">
        <w:rPr>
          <w:rStyle w:val="Refdenotaalpie"/>
          <w:rFonts w:ascii="Arial" w:hAnsi="Arial" w:cs="Arial"/>
          <w:sz w:val="14"/>
          <w:szCs w:val="14"/>
        </w:rPr>
        <w:footnoteRef/>
      </w:r>
      <w:r w:rsidRPr="009852E0">
        <w:rPr>
          <w:rFonts w:ascii="Arial" w:hAnsi="Arial" w:cs="Arial"/>
          <w:sz w:val="14"/>
          <w:szCs w:val="14"/>
        </w:rPr>
        <w:t xml:space="preserve"> Guía de la Secretaría de Hacienda y Crédito Público, Secretaría de la Función Pública y del CONEVAL, se encuentran disponibles en la página web de cada ente</w:t>
      </w:r>
    </w:p>
  </w:footnote>
  <w:footnote w:id="29">
    <w:p w14:paraId="2C25D9E6" w14:textId="77777777" w:rsidR="005F0081" w:rsidRPr="009852E0" w:rsidRDefault="005F0081" w:rsidP="00557CB3">
      <w:pPr>
        <w:pStyle w:val="Textonotapie"/>
        <w:spacing w:line="276" w:lineRule="auto"/>
        <w:jc w:val="both"/>
        <w:rPr>
          <w:rFonts w:ascii="Arial" w:hAnsi="Arial" w:cs="Arial"/>
          <w:sz w:val="14"/>
          <w:szCs w:val="14"/>
        </w:rPr>
      </w:pPr>
      <w:r w:rsidRPr="000149F4">
        <w:rPr>
          <w:rStyle w:val="Refdenotaalpie"/>
          <w:rFonts w:ascii="Arial" w:hAnsi="Arial" w:cs="Arial"/>
          <w:sz w:val="14"/>
          <w:szCs w:val="14"/>
        </w:rPr>
        <w:footnoteRef/>
      </w:r>
      <w:r w:rsidRPr="009852E0">
        <w:rPr>
          <w:rFonts w:ascii="Arial" w:hAnsi="Arial" w:cs="Arial"/>
          <w:sz w:val="14"/>
          <w:szCs w:val="14"/>
        </w:rPr>
        <w:t xml:space="preserve"> Lineamientos para la Construcción y Diseño de Indicadores de Desempeño mediante la Metodología de Marco Lógico (MML). </w:t>
      </w:r>
    </w:p>
  </w:footnote>
  <w:footnote w:id="30">
    <w:p w14:paraId="43251396" w14:textId="77777777" w:rsidR="005F0081" w:rsidRPr="00A067C9" w:rsidRDefault="005F0081" w:rsidP="00557CB3">
      <w:pPr>
        <w:pStyle w:val="Textonotapie"/>
        <w:spacing w:line="276" w:lineRule="auto"/>
        <w:jc w:val="both"/>
        <w:rPr>
          <w:rFonts w:ascii="Arial" w:hAnsi="Arial" w:cs="Arial"/>
          <w:sz w:val="14"/>
          <w:szCs w:val="14"/>
        </w:rPr>
      </w:pPr>
      <w:r w:rsidRPr="007E6120">
        <w:rPr>
          <w:rStyle w:val="Refdenotaalpie"/>
          <w:rFonts w:ascii="Arial" w:hAnsi="Arial" w:cs="Arial"/>
          <w:sz w:val="14"/>
          <w:szCs w:val="14"/>
        </w:rPr>
        <w:footnoteRef/>
      </w:r>
      <w:r w:rsidRPr="007E6120">
        <w:rPr>
          <w:rFonts w:ascii="Arial" w:hAnsi="Arial" w:cs="Arial"/>
          <w:sz w:val="14"/>
          <w:szCs w:val="14"/>
        </w:rPr>
        <w:t xml:space="preserve"> Guía para la construcción de la Matriz de Indicadores para resultados del Gobierno del estado de Quintana Roo y Guía para la Construcción de </w:t>
      </w:r>
      <w:r w:rsidRPr="00A067C9">
        <w:rPr>
          <w:rFonts w:ascii="Arial" w:hAnsi="Arial" w:cs="Arial"/>
          <w:sz w:val="14"/>
          <w:szCs w:val="14"/>
        </w:rPr>
        <w:t>Indicadores de Desempeño para el Gobierno del estado de Quintana Roo.</w:t>
      </w:r>
    </w:p>
  </w:footnote>
  <w:footnote w:id="31">
    <w:p w14:paraId="006D42D4" w14:textId="5969C040" w:rsidR="005F0081" w:rsidRPr="00B20CD3" w:rsidRDefault="005F0081" w:rsidP="00557CB3">
      <w:pPr>
        <w:pStyle w:val="Textonotapie"/>
        <w:rPr>
          <w:rFonts w:ascii="Arial" w:hAnsi="Arial" w:cs="Arial"/>
          <w:sz w:val="16"/>
          <w:szCs w:val="16"/>
        </w:rPr>
      </w:pPr>
      <w:r w:rsidRPr="00A067C9">
        <w:rPr>
          <w:rStyle w:val="Refdenotaalpie"/>
          <w:rFonts w:ascii="Arial" w:hAnsi="Arial" w:cs="Arial"/>
          <w:sz w:val="14"/>
          <w:szCs w:val="14"/>
        </w:rPr>
        <w:footnoteRef/>
      </w:r>
      <w:r w:rsidRPr="00A067C9">
        <w:rPr>
          <w:rFonts w:ascii="Arial" w:hAnsi="Arial" w:cs="Arial"/>
          <w:sz w:val="14"/>
          <w:szCs w:val="14"/>
        </w:rPr>
        <w:t xml:space="preserve"> Anexos del Presupuesto de Egresos del Gobierno del Estado de Quintana Roo, para el </w:t>
      </w:r>
      <w:r>
        <w:rPr>
          <w:rFonts w:ascii="Arial" w:hAnsi="Arial" w:cs="Arial"/>
          <w:sz w:val="14"/>
          <w:szCs w:val="14"/>
        </w:rPr>
        <w:t>Ejercicio Fiscal</w:t>
      </w:r>
      <w:r w:rsidRPr="00A067C9">
        <w:rPr>
          <w:rFonts w:ascii="Arial" w:hAnsi="Arial" w:cs="Arial"/>
          <w:sz w:val="14"/>
          <w:szCs w:val="14"/>
        </w:rPr>
        <w:t xml:space="preserve"> 2020, Pág. 415</w:t>
      </w:r>
      <w:r>
        <w:rPr>
          <w:rFonts w:ascii="Arial" w:hAnsi="Arial" w:cs="Arial"/>
          <w:sz w:val="14"/>
          <w:szCs w:val="14"/>
        </w:rPr>
        <w:t>.</w:t>
      </w:r>
    </w:p>
  </w:footnote>
  <w:footnote w:id="32">
    <w:p w14:paraId="7AA9709D" w14:textId="7F15AB0D" w:rsidR="005F0081" w:rsidRPr="0077738D" w:rsidRDefault="005F0081" w:rsidP="00557CB3">
      <w:pPr>
        <w:pStyle w:val="Textonotapie"/>
        <w:rPr>
          <w:rFonts w:ascii="Arial" w:hAnsi="Arial" w:cs="Arial"/>
          <w:sz w:val="14"/>
          <w:szCs w:val="16"/>
        </w:rPr>
      </w:pPr>
      <w:r w:rsidRPr="0077738D">
        <w:rPr>
          <w:rStyle w:val="Refdenotaalpie"/>
          <w:rFonts w:ascii="Arial" w:hAnsi="Arial" w:cs="Arial"/>
          <w:sz w:val="14"/>
          <w:szCs w:val="16"/>
        </w:rPr>
        <w:footnoteRef/>
      </w:r>
      <w:r>
        <w:rPr>
          <w:rFonts w:ascii="Arial" w:hAnsi="Arial" w:cs="Arial"/>
          <w:sz w:val="14"/>
          <w:szCs w:val="16"/>
        </w:rPr>
        <w:t xml:space="preserve"> Sic</w:t>
      </w:r>
      <w:r w:rsidRPr="0077738D">
        <w:rPr>
          <w:rFonts w:ascii="Arial" w:hAnsi="Arial" w:cs="Arial"/>
          <w:sz w:val="14"/>
          <w:szCs w:val="16"/>
        </w:rPr>
        <w:t>.</w:t>
      </w:r>
    </w:p>
  </w:footnote>
  <w:footnote w:id="33">
    <w:p w14:paraId="515240AE" w14:textId="0CA8B5D1" w:rsidR="005F0081" w:rsidRPr="00D54A35" w:rsidRDefault="005F0081" w:rsidP="00557CB3">
      <w:pPr>
        <w:pStyle w:val="Textonotapie"/>
        <w:rPr>
          <w:rFonts w:ascii="Arial" w:hAnsi="Arial" w:cs="Arial"/>
          <w:sz w:val="14"/>
          <w:szCs w:val="14"/>
        </w:rPr>
      </w:pPr>
      <w:r w:rsidRPr="0077738D">
        <w:rPr>
          <w:rStyle w:val="Refdenotaalpie"/>
          <w:rFonts w:ascii="Arial" w:hAnsi="Arial" w:cs="Arial"/>
          <w:sz w:val="14"/>
          <w:szCs w:val="16"/>
        </w:rPr>
        <w:footnoteRef/>
      </w:r>
      <w:r>
        <w:rPr>
          <w:rFonts w:ascii="Arial" w:hAnsi="Arial" w:cs="Arial"/>
          <w:sz w:val="14"/>
          <w:szCs w:val="16"/>
        </w:rPr>
        <w:t xml:space="preserve"> Sic</w:t>
      </w:r>
      <w:r w:rsidRPr="0077738D">
        <w:rPr>
          <w:rFonts w:ascii="Arial" w:hAnsi="Arial" w:cs="Arial"/>
          <w:sz w:val="14"/>
          <w:szCs w:val="16"/>
        </w:rPr>
        <w:t>.</w:t>
      </w:r>
    </w:p>
  </w:footnote>
  <w:footnote w:id="34">
    <w:p w14:paraId="5B882C26" w14:textId="77777777" w:rsidR="005F0081" w:rsidRDefault="005F0081" w:rsidP="000B369D">
      <w:pPr>
        <w:pStyle w:val="Textonotapie"/>
      </w:pPr>
      <w:r>
        <w:rPr>
          <w:rStyle w:val="Refdenotaalpie"/>
        </w:rPr>
        <w:footnoteRef/>
      </w:r>
      <w:r>
        <w:t xml:space="preserve"> </w:t>
      </w:r>
      <w:r w:rsidRPr="00AA51FF">
        <w:rPr>
          <w:rFonts w:ascii="Arial" w:hAnsi="Arial" w:cs="Arial"/>
          <w:sz w:val="14"/>
          <w:szCs w:val="14"/>
        </w:rPr>
        <w:t>Ley Federal del Trabajo, artículo 153 A.</w:t>
      </w:r>
    </w:p>
  </w:footnote>
  <w:footnote w:id="35">
    <w:p w14:paraId="12129EF3" w14:textId="77777777" w:rsidR="005F0081" w:rsidRPr="0058187C" w:rsidRDefault="005F0081" w:rsidP="000B369D">
      <w:pPr>
        <w:pStyle w:val="Textonotapie"/>
        <w:rPr>
          <w:rFonts w:ascii="Arial" w:hAnsi="Arial" w:cs="Arial"/>
          <w:sz w:val="14"/>
          <w:szCs w:val="14"/>
        </w:rPr>
      </w:pPr>
      <w:r w:rsidRPr="0058187C">
        <w:rPr>
          <w:rStyle w:val="Refdenotaalpie"/>
          <w:rFonts w:ascii="Arial" w:hAnsi="Arial" w:cs="Arial"/>
          <w:sz w:val="14"/>
          <w:szCs w:val="14"/>
        </w:rPr>
        <w:footnoteRef/>
      </w:r>
      <w:r w:rsidRPr="0058187C">
        <w:rPr>
          <w:rFonts w:ascii="Arial" w:hAnsi="Arial" w:cs="Arial"/>
          <w:sz w:val="14"/>
          <w:szCs w:val="14"/>
        </w:rPr>
        <w:t xml:space="preserve"> Plan Estratégico para el Desarrollo Institucional 2017 – 2020 de la Universidad de Quintana Roo pág. 41.</w:t>
      </w:r>
    </w:p>
  </w:footnote>
  <w:footnote w:id="36">
    <w:p w14:paraId="6F688E64" w14:textId="77777777" w:rsidR="005F0081" w:rsidRPr="0058187C" w:rsidRDefault="005F0081" w:rsidP="000B369D">
      <w:pPr>
        <w:autoSpaceDE w:val="0"/>
        <w:autoSpaceDN w:val="0"/>
        <w:adjustRightInd w:val="0"/>
        <w:spacing w:after="0"/>
        <w:jc w:val="both"/>
        <w:rPr>
          <w:rFonts w:cs="Arial"/>
          <w:sz w:val="14"/>
          <w:szCs w:val="14"/>
        </w:rPr>
      </w:pPr>
      <w:r w:rsidRPr="0058187C">
        <w:rPr>
          <w:rStyle w:val="Refdenotaalpie"/>
          <w:rFonts w:cs="Arial"/>
          <w:sz w:val="14"/>
          <w:szCs w:val="14"/>
        </w:rPr>
        <w:footnoteRef/>
      </w:r>
      <w:r w:rsidRPr="0058187C">
        <w:rPr>
          <w:rFonts w:cs="Arial"/>
          <w:sz w:val="14"/>
          <w:szCs w:val="14"/>
        </w:rPr>
        <w:t xml:space="preserve"> Lineamientos del Personal Administrativo de la Universidad de Quintana Roo/De las Obligaciones de la Universidad de Quintana Roo.</w:t>
      </w:r>
    </w:p>
  </w:footnote>
  <w:footnote w:id="37">
    <w:p w14:paraId="192B826C" w14:textId="77777777" w:rsidR="005F0081" w:rsidRPr="0058187C" w:rsidRDefault="005F0081" w:rsidP="000B369D">
      <w:pPr>
        <w:spacing w:after="0" w:line="360" w:lineRule="auto"/>
        <w:jc w:val="both"/>
        <w:rPr>
          <w:rFonts w:cs="Arial"/>
          <w:sz w:val="14"/>
          <w:szCs w:val="14"/>
        </w:rPr>
      </w:pPr>
      <w:r w:rsidRPr="0058187C">
        <w:rPr>
          <w:rStyle w:val="Refdenotaalpie"/>
          <w:rFonts w:cs="Arial"/>
          <w:sz w:val="14"/>
          <w:szCs w:val="14"/>
        </w:rPr>
        <w:footnoteRef/>
      </w:r>
      <w:r w:rsidRPr="0058187C">
        <w:rPr>
          <w:rFonts w:cs="Arial"/>
          <w:sz w:val="14"/>
          <w:szCs w:val="14"/>
        </w:rPr>
        <w:t xml:space="preserve"> Manual de Organización de la Universidad de Quintana Roo pág. 68.</w:t>
      </w:r>
    </w:p>
    <w:p w14:paraId="353738E2" w14:textId="77777777" w:rsidR="005F0081" w:rsidRDefault="005F0081" w:rsidP="000B369D">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99A1" w14:textId="510FD730" w:rsidR="005F0081" w:rsidRPr="00A347DA" w:rsidRDefault="005F0081" w:rsidP="00133D83">
    <w:pPr>
      <w:pStyle w:val="Encabezado"/>
      <w:spacing w:after="240"/>
      <w:jc w:val="right"/>
      <w:rPr>
        <w:rFonts w:cs="Arial"/>
        <w:sz w:val="18"/>
        <w:szCs w:val="20"/>
      </w:rPr>
    </w:pPr>
    <w:r w:rsidRPr="000901FA">
      <w:rPr>
        <w:noProof/>
        <w:lang w:eastAsia="es-MX"/>
      </w:rPr>
      <w:drawing>
        <wp:anchor distT="0" distB="0" distL="114300" distR="114300" simplePos="0" relativeHeight="251672576" behindDoc="1" locked="0" layoutInCell="1" allowOverlap="1" wp14:anchorId="0C573263" wp14:editId="406F30AA">
          <wp:simplePos x="0" y="0"/>
          <wp:positionH relativeFrom="column">
            <wp:posOffset>45275</wp:posOffset>
          </wp:positionH>
          <wp:positionV relativeFrom="paragraph">
            <wp:posOffset>136525</wp:posOffset>
          </wp:positionV>
          <wp:extent cx="786765" cy="1089025"/>
          <wp:effectExtent l="0" t="0" r="0" b="0"/>
          <wp:wrapNone/>
          <wp:docPr id="13" name="Imagen 13"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89025"/>
                  </a:xfrm>
                  <a:prstGeom prst="rect">
                    <a:avLst/>
                  </a:prstGeom>
                  <a:noFill/>
                  <a:ln>
                    <a:noFill/>
                  </a:ln>
                </pic:spPr>
              </pic:pic>
            </a:graphicData>
          </a:graphic>
        </wp:anchor>
      </w:drawing>
    </w:r>
    <w:r w:rsidRPr="00FA4488">
      <w:rPr>
        <w:noProof/>
        <w:sz w:val="40"/>
        <w:lang w:eastAsia="es-MX"/>
      </w:rPr>
      <w:drawing>
        <wp:anchor distT="0" distB="0" distL="114300" distR="114300" simplePos="0" relativeHeight="251671552" behindDoc="0" locked="0" layoutInCell="1" allowOverlap="1" wp14:anchorId="67ACB50B" wp14:editId="7C39A299">
          <wp:simplePos x="0" y="0"/>
          <wp:positionH relativeFrom="column">
            <wp:posOffset>4738370</wp:posOffset>
          </wp:positionH>
          <wp:positionV relativeFrom="paragraph">
            <wp:posOffset>194149</wp:posOffset>
          </wp:positionV>
          <wp:extent cx="998855" cy="1019175"/>
          <wp:effectExtent l="0" t="0" r="0" b="9525"/>
          <wp:wrapNone/>
          <wp:docPr id="11" name="Imagen 11"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18"/>
        <w:szCs w:val="20"/>
      </w:rPr>
      <w:t>AEMD-FO-018-R02</w:t>
    </w:r>
  </w:p>
  <w:p w14:paraId="5964A954" w14:textId="4392B12F" w:rsidR="005F0081" w:rsidRPr="00386091" w:rsidRDefault="005F0081" w:rsidP="008B1E99">
    <w:pPr>
      <w:pStyle w:val="Encabezado"/>
      <w:tabs>
        <w:tab w:val="left" w:pos="390"/>
      </w:tabs>
      <w:rPr>
        <w:rFonts w:ascii="Algerian" w:hAnsi="Algerian" w:cs="Arial"/>
        <w:b/>
        <w:sz w:val="48"/>
        <w:szCs w:val="20"/>
      </w:rPr>
    </w:pPr>
    <w:r>
      <w:rPr>
        <w:rFonts w:ascii="Algerian" w:hAnsi="Algerian" w:cs="Arial"/>
        <w:b/>
        <w:sz w:val="48"/>
        <w:szCs w:val="20"/>
      </w:rPr>
      <w:tab/>
    </w:r>
    <w:r>
      <w:rPr>
        <w:rFonts w:ascii="Algerian" w:hAnsi="Algerian" w:cs="Arial"/>
        <w:b/>
        <w:sz w:val="48"/>
        <w:szCs w:val="20"/>
      </w:rPr>
      <w:tab/>
    </w:r>
    <w:r w:rsidRPr="00386091">
      <w:rPr>
        <w:rFonts w:ascii="Algerian" w:hAnsi="Algerian" w:cs="Arial"/>
        <w:b/>
        <w:sz w:val="48"/>
        <w:szCs w:val="20"/>
      </w:rPr>
      <w:t>AUDITORÍA SUPERIOR</w:t>
    </w:r>
  </w:p>
  <w:p w14:paraId="371A3B1C" w14:textId="05030563" w:rsidR="005F0081" w:rsidRDefault="005F0081" w:rsidP="004669D0">
    <w:pPr>
      <w:pStyle w:val="Encabezado"/>
      <w:jc w:val="center"/>
      <w:rPr>
        <w:rFonts w:ascii="Algerian" w:hAnsi="Algerian" w:cs="Arial"/>
        <w:b/>
        <w:sz w:val="48"/>
        <w:szCs w:val="20"/>
      </w:rPr>
    </w:pPr>
    <w:r w:rsidRPr="00386091">
      <w:rPr>
        <w:rFonts w:ascii="Algerian" w:hAnsi="Algerian" w:cs="Arial"/>
        <w:b/>
        <w:sz w:val="48"/>
        <w:szCs w:val="20"/>
      </w:rPr>
      <w:t xml:space="preserve">DEL ESTADO </w:t>
    </w:r>
  </w:p>
  <w:p w14:paraId="434E855F" w14:textId="77777777" w:rsidR="005F0081" w:rsidRPr="004669D0" w:rsidRDefault="005F0081" w:rsidP="004669D0">
    <w:pPr>
      <w:pStyle w:val="Encabezado"/>
      <w:jc w:val="center"/>
      <w:rPr>
        <w:rFonts w:cs="Arial"/>
        <w:b/>
        <w:sz w:val="16"/>
        <w:szCs w:val="16"/>
      </w:rPr>
    </w:pPr>
  </w:p>
  <w:p w14:paraId="4B133C21" w14:textId="3F86F2B7" w:rsidR="005F0081" w:rsidRPr="001B2D33" w:rsidRDefault="005F0081" w:rsidP="004669D0">
    <w:pPr>
      <w:pStyle w:val="Encabezado"/>
      <w:rPr>
        <w:rFonts w:ascii="Arial Narrow" w:hAnsi="Arial Narrow"/>
      </w:rPr>
    </w:pPr>
    <w:r>
      <w:rPr>
        <w:rFonts w:cs="Arial"/>
        <w:b/>
        <w:sz w:val="48"/>
        <w:szCs w:val="20"/>
      </w:rPr>
      <w:t xml:space="preserve">        </w:t>
    </w:r>
    <w:r w:rsidRPr="00E561EF">
      <w:rPr>
        <w:rFonts w:ascii="Arial Narrow" w:eastAsia="Times New Roman" w:hAnsi="Arial Narrow" w:cs="Times New Roman"/>
        <w:noProof/>
        <w:sz w:val="20"/>
        <w:szCs w:val="20"/>
        <w:lang w:eastAsia="es-MX"/>
      </w:rPr>
      <mc:AlternateContent>
        <mc:Choice Requires="wps">
          <w:drawing>
            <wp:anchor distT="0" distB="0" distL="114300" distR="114300" simplePos="0" relativeHeight="251668480" behindDoc="0" locked="0" layoutInCell="1" allowOverlap="1" wp14:anchorId="6DA3C8E9" wp14:editId="3F5F8C67">
              <wp:simplePos x="0" y="0"/>
              <wp:positionH relativeFrom="margin">
                <wp:posOffset>0</wp:posOffset>
              </wp:positionH>
              <wp:positionV relativeFrom="paragraph">
                <wp:posOffset>37465</wp:posOffset>
              </wp:positionV>
              <wp:extent cx="5832000" cy="7620"/>
              <wp:effectExtent l="57150" t="38100" r="54610" b="125730"/>
              <wp:wrapNone/>
              <wp:docPr id="2" name="Conector recto 2"/>
              <wp:cNvGraphicFramePr/>
              <a:graphic xmlns:a="http://schemas.openxmlformats.org/drawingml/2006/main">
                <a:graphicData uri="http://schemas.microsoft.com/office/word/2010/wordprocessingShape">
                  <wps:wsp>
                    <wps:cNvCnPr/>
                    <wps:spPr>
                      <a:xfrm>
                        <a:off x="0" y="0"/>
                        <a:ext cx="5832000" cy="7620"/>
                      </a:xfrm>
                      <a:prstGeom prst="line">
                        <a:avLst/>
                      </a:prstGeom>
                      <a:noFill/>
                      <a:ln w="38100" cap="flat" cmpd="sng" algn="ctr">
                        <a:solidFill>
                          <a:srgbClr val="761010"/>
                        </a:solidFill>
                        <a:prstDash val="solid"/>
                      </a:ln>
                      <a:effectLst>
                        <a:outerShdw blurRad="50800" dist="38100" dir="5400000" algn="t" rotWithShape="0">
                          <a:prstClr val="black">
                            <a:alpha val="48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0B0BA92F" id="Conector recto 2" o:spid="_x0000_s1026"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5pt" to="459.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" strokecolor="#761010" strokeweight="3pt">
              <v:shadow on="t" color="black" opacity="31457f" origin=",-.5" offset="0,3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E2AAB"/>
    <w:multiLevelType w:val="hybridMultilevel"/>
    <w:tmpl w:val="B6685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00683"/>
    <w:multiLevelType w:val="hybridMultilevel"/>
    <w:tmpl w:val="ED3A810E"/>
    <w:lvl w:ilvl="0" w:tplc="080A000D">
      <w:start w:val="1"/>
      <w:numFmt w:val="bullet"/>
      <w:lvlText w:val=""/>
      <w:lvlJc w:val="left"/>
      <w:pPr>
        <w:ind w:left="760" w:hanging="360"/>
      </w:pPr>
      <w:rPr>
        <w:rFonts w:ascii="Wingdings" w:hAnsi="Wingdings" w:hint="default"/>
      </w:rPr>
    </w:lvl>
    <w:lvl w:ilvl="1" w:tplc="080A0019" w:tentative="1">
      <w:start w:val="1"/>
      <w:numFmt w:val="lowerLetter"/>
      <w:lvlText w:val="%2."/>
      <w:lvlJc w:val="left"/>
      <w:pPr>
        <w:ind w:left="1480" w:hanging="360"/>
      </w:pPr>
    </w:lvl>
    <w:lvl w:ilvl="2" w:tplc="080A001B" w:tentative="1">
      <w:start w:val="1"/>
      <w:numFmt w:val="lowerRoman"/>
      <w:lvlText w:val="%3."/>
      <w:lvlJc w:val="right"/>
      <w:pPr>
        <w:ind w:left="2200" w:hanging="180"/>
      </w:pPr>
    </w:lvl>
    <w:lvl w:ilvl="3" w:tplc="080A000F" w:tentative="1">
      <w:start w:val="1"/>
      <w:numFmt w:val="decimal"/>
      <w:lvlText w:val="%4."/>
      <w:lvlJc w:val="left"/>
      <w:pPr>
        <w:ind w:left="2920" w:hanging="360"/>
      </w:pPr>
    </w:lvl>
    <w:lvl w:ilvl="4" w:tplc="080A0019" w:tentative="1">
      <w:start w:val="1"/>
      <w:numFmt w:val="lowerLetter"/>
      <w:lvlText w:val="%5."/>
      <w:lvlJc w:val="left"/>
      <w:pPr>
        <w:ind w:left="3640" w:hanging="360"/>
      </w:pPr>
    </w:lvl>
    <w:lvl w:ilvl="5" w:tplc="080A001B" w:tentative="1">
      <w:start w:val="1"/>
      <w:numFmt w:val="lowerRoman"/>
      <w:lvlText w:val="%6."/>
      <w:lvlJc w:val="right"/>
      <w:pPr>
        <w:ind w:left="4360" w:hanging="180"/>
      </w:pPr>
    </w:lvl>
    <w:lvl w:ilvl="6" w:tplc="080A000F" w:tentative="1">
      <w:start w:val="1"/>
      <w:numFmt w:val="decimal"/>
      <w:lvlText w:val="%7."/>
      <w:lvlJc w:val="left"/>
      <w:pPr>
        <w:ind w:left="5080" w:hanging="360"/>
      </w:pPr>
    </w:lvl>
    <w:lvl w:ilvl="7" w:tplc="080A0019" w:tentative="1">
      <w:start w:val="1"/>
      <w:numFmt w:val="lowerLetter"/>
      <w:lvlText w:val="%8."/>
      <w:lvlJc w:val="left"/>
      <w:pPr>
        <w:ind w:left="5800" w:hanging="360"/>
      </w:pPr>
    </w:lvl>
    <w:lvl w:ilvl="8" w:tplc="080A001B" w:tentative="1">
      <w:start w:val="1"/>
      <w:numFmt w:val="lowerRoman"/>
      <w:lvlText w:val="%9."/>
      <w:lvlJc w:val="right"/>
      <w:pPr>
        <w:ind w:left="6520" w:hanging="180"/>
      </w:pPr>
    </w:lvl>
  </w:abstractNum>
  <w:abstractNum w:abstractNumId="2" w15:restartNumberingAfterBreak="0">
    <w:nsid w:val="0B4F7B52"/>
    <w:multiLevelType w:val="hybridMultilevel"/>
    <w:tmpl w:val="F7E6F0A0"/>
    <w:lvl w:ilvl="0" w:tplc="D2209E7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D5204F"/>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4240C4"/>
    <w:multiLevelType w:val="hybridMultilevel"/>
    <w:tmpl w:val="4BB84B30"/>
    <w:lvl w:ilvl="0" w:tplc="F4B670A0">
      <w:start w:val="2"/>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DA2971"/>
    <w:multiLevelType w:val="hybridMultilevel"/>
    <w:tmpl w:val="900811F0"/>
    <w:lvl w:ilvl="0" w:tplc="A6C4442C">
      <w:start w:val="1"/>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CF52FE"/>
    <w:multiLevelType w:val="hybridMultilevel"/>
    <w:tmpl w:val="89B20CB6"/>
    <w:lvl w:ilvl="0" w:tplc="3EF6CCDA">
      <w:start w:val="1"/>
      <w:numFmt w:val="lowerLetter"/>
      <w:lvlText w:val="%1)"/>
      <w:lvlJc w:val="left"/>
      <w:pPr>
        <w:ind w:left="1080" w:hanging="360"/>
      </w:pPr>
      <w:rPr>
        <w:rFonts w:hint="default"/>
        <w:b/>
        <w:sz w:val="24"/>
        <w:szCs w:val="24"/>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0A6C83"/>
    <w:multiLevelType w:val="hybridMultilevel"/>
    <w:tmpl w:val="786899CE"/>
    <w:lvl w:ilvl="0" w:tplc="47806544">
      <w:start w:val="1"/>
      <w:numFmt w:val="upperLetter"/>
      <w:lvlText w:val="%1."/>
      <w:lvlJc w:val="left"/>
      <w:pPr>
        <w:ind w:left="720" w:hanging="360"/>
      </w:pPr>
      <w:rPr>
        <w:rFonts w:ascii="Arial" w:hAnsi="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E90A4E"/>
    <w:multiLevelType w:val="hybridMultilevel"/>
    <w:tmpl w:val="1464A43E"/>
    <w:lvl w:ilvl="0" w:tplc="0DA4A24A">
      <w:start w:val="1"/>
      <w:numFmt w:val="bullet"/>
      <w:lvlText w:val=""/>
      <w:lvlJc w:val="left"/>
      <w:pPr>
        <w:ind w:left="360" w:hanging="360"/>
      </w:pPr>
      <w:rPr>
        <w:rFonts w:ascii="Wingdings" w:hAnsi="Wingdings" w:hint="default"/>
        <w:b w:val="0"/>
        <w:color w:val="000000" w:themeColor="text1"/>
        <w:sz w:val="18"/>
        <w:szCs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220F5AB0"/>
    <w:multiLevelType w:val="hybridMultilevel"/>
    <w:tmpl w:val="981E579A"/>
    <w:lvl w:ilvl="0" w:tplc="11B0D85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633427"/>
    <w:multiLevelType w:val="hybridMultilevel"/>
    <w:tmpl w:val="7CC4013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BE6B0C"/>
    <w:multiLevelType w:val="hybridMultilevel"/>
    <w:tmpl w:val="EDE0323A"/>
    <w:lvl w:ilvl="0" w:tplc="72D023D8">
      <w:start w:val="5"/>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C431E4"/>
    <w:multiLevelType w:val="hybridMultilevel"/>
    <w:tmpl w:val="A45CD9CE"/>
    <w:lvl w:ilvl="0" w:tplc="6150A00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27344F"/>
    <w:multiLevelType w:val="multilevel"/>
    <w:tmpl w:val="9E9672BC"/>
    <w:lvl w:ilvl="0">
      <w:start w:val="1"/>
      <w:numFmt w:val="upperRoman"/>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4F1227B9"/>
    <w:multiLevelType w:val="hybridMultilevel"/>
    <w:tmpl w:val="297AB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1EB6CC6"/>
    <w:multiLevelType w:val="hybridMultilevel"/>
    <w:tmpl w:val="6E9278EE"/>
    <w:lvl w:ilvl="0" w:tplc="D52EE324">
      <w:start w:val="1"/>
      <w:numFmt w:val="bullet"/>
      <w:lvlText w:val=""/>
      <w:lvlJc w:val="left"/>
      <w:pPr>
        <w:ind w:left="360" w:hanging="360"/>
      </w:pPr>
      <w:rPr>
        <w:rFonts w:ascii="Wingdings" w:hAnsi="Wingdings" w:hint="default"/>
        <w:color w:val="000000" w:themeColor="text1"/>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566659D5"/>
    <w:multiLevelType w:val="multilevel"/>
    <w:tmpl w:val="B3BCEA6E"/>
    <w:lvl w:ilvl="0">
      <w:start w:val="1"/>
      <w:numFmt w:val="bullet"/>
      <w:lvlText w:val=""/>
      <w:lvlJc w:val="left"/>
      <w:pPr>
        <w:tabs>
          <w:tab w:val="num" w:pos="720"/>
        </w:tabs>
        <w:ind w:left="720" w:hanging="720"/>
      </w:pPr>
      <w:rPr>
        <w:rFonts w:ascii="Wingdings" w:hAnsi="Wingdings" w:hint="default"/>
        <w:color w:val="000000" w:themeColor="text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5C45EA3"/>
    <w:multiLevelType w:val="hybridMultilevel"/>
    <w:tmpl w:val="08A62414"/>
    <w:lvl w:ilvl="0" w:tplc="7B0E2DCE">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A076001"/>
    <w:multiLevelType w:val="hybridMultilevel"/>
    <w:tmpl w:val="9C6ECD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3D616DC"/>
    <w:multiLevelType w:val="hybridMultilevel"/>
    <w:tmpl w:val="46F48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66F4106"/>
    <w:multiLevelType w:val="hybridMultilevel"/>
    <w:tmpl w:val="3DFAEFF4"/>
    <w:lvl w:ilvl="0" w:tplc="EEC81C5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B0D6BAD"/>
    <w:multiLevelType w:val="hybridMultilevel"/>
    <w:tmpl w:val="C4661B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510CAD"/>
    <w:multiLevelType w:val="multilevel"/>
    <w:tmpl w:val="95B862DA"/>
    <w:lvl w:ilvl="0">
      <w:start w:val="1"/>
      <w:numFmt w:val="decimal"/>
      <w:lvlText w:val="%1."/>
      <w:lvlJc w:val="left"/>
      <w:pPr>
        <w:ind w:left="360" w:hanging="360"/>
      </w:pPr>
      <w:rPr>
        <w:rFonts w:ascii="Arial" w:eastAsia="Times New Roman" w:hAnsi="Arial" w:cs="Arial" w:hint="default"/>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D159D1"/>
    <w:multiLevelType w:val="hybridMultilevel"/>
    <w:tmpl w:val="D0328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3"/>
  </w:num>
  <w:num w:numId="4">
    <w:abstractNumId w:val="10"/>
  </w:num>
  <w:num w:numId="5">
    <w:abstractNumId w:val="9"/>
  </w:num>
  <w:num w:numId="6">
    <w:abstractNumId w:val="19"/>
  </w:num>
  <w:num w:numId="7">
    <w:abstractNumId w:val="18"/>
  </w:num>
  <w:num w:numId="8">
    <w:abstractNumId w:val="6"/>
  </w:num>
  <w:num w:numId="9">
    <w:abstractNumId w:val="16"/>
  </w:num>
  <w:num w:numId="10">
    <w:abstractNumId w:val="8"/>
  </w:num>
  <w:num w:numId="11">
    <w:abstractNumId w:val="1"/>
  </w:num>
  <w:num w:numId="12">
    <w:abstractNumId w:val="15"/>
  </w:num>
  <w:num w:numId="13">
    <w:abstractNumId w:val="14"/>
  </w:num>
  <w:num w:numId="14">
    <w:abstractNumId w:val="0"/>
  </w:num>
  <w:num w:numId="15">
    <w:abstractNumId w:val="13"/>
  </w:num>
  <w:num w:numId="16">
    <w:abstractNumId w:val="12"/>
  </w:num>
  <w:num w:numId="17">
    <w:abstractNumId w:val="17"/>
  </w:num>
  <w:num w:numId="18">
    <w:abstractNumId w:val="11"/>
  </w:num>
  <w:num w:numId="19">
    <w:abstractNumId w:val="22"/>
  </w:num>
  <w:num w:numId="20">
    <w:abstractNumId w:val="20"/>
  </w:num>
  <w:num w:numId="21">
    <w:abstractNumId w:val="2"/>
  </w:num>
  <w:num w:numId="22">
    <w:abstractNumId w:val="21"/>
  </w:num>
  <w:num w:numId="23">
    <w:abstractNumId w:val="3"/>
  </w:num>
  <w:num w:numId="2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D6"/>
    <w:rsid w:val="00000051"/>
    <w:rsid w:val="00000963"/>
    <w:rsid w:val="00000D57"/>
    <w:rsid w:val="00000E41"/>
    <w:rsid w:val="0000254C"/>
    <w:rsid w:val="000027A7"/>
    <w:rsid w:val="0000296A"/>
    <w:rsid w:val="00003055"/>
    <w:rsid w:val="00004828"/>
    <w:rsid w:val="00004B02"/>
    <w:rsid w:val="00004E24"/>
    <w:rsid w:val="00005127"/>
    <w:rsid w:val="00005893"/>
    <w:rsid w:val="000062ED"/>
    <w:rsid w:val="00006842"/>
    <w:rsid w:val="00006A7A"/>
    <w:rsid w:val="0000747D"/>
    <w:rsid w:val="0000775B"/>
    <w:rsid w:val="0000799A"/>
    <w:rsid w:val="000079EC"/>
    <w:rsid w:val="00007D7D"/>
    <w:rsid w:val="00007DDA"/>
    <w:rsid w:val="00007E55"/>
    <w:rsid w:val="00010494"/>
    <w:rsid w:val="00010B25"/>
    <w:rsid w:val="00010CD3"/>
    <w:rsid w:val="0001201A"/>
    <w:rsid w:val="00012A70"/>
    <w:rsid w:val="00012A9C"/>
    <w:rsid w:val="00012C51"/>
    <w:rsid w:val="00015074"/>
    <w:rsid w:val="0001553A"/>
    <w:rsid w:val="00016961"/>
    <w:rsid w:val="000171F5"/>
    <w:rsid w:val="0001752C"/>
    <w:rsid w:val="00017654"/>
    <w:rsid w:val="000202FB"/>
    <w:rsid w:val="00020CCA"/>
    <w:rsid w:val="000210C5"/>
    <w:rsid w:val="00022E86"/>
    <w:rsid w:val="00023141"/>
    <w:rsid w:val="00023684"/>
    <w:rsid w:val="00023BB0"/>
    <w:rsid w:val="00023DC7"/>
    <w:rsid w:val="0002426C"/>
    <w:rsid w:val="0002459E"/>
    <w:rsid w:val="0002545C"/>
    <w:rsid w:val="00025550"/>
    <w:rsid w:val="00025E95"/>
    <w:rsid w:val="00026451"/>
    <w:rsid w:val="00026985"/>
    <w:rsid w:val="00026E59"/>
    <w:rsid w:val="00027CE3"/>
    <w:rsid w:val="00030EA0"/>
    <w:rsid w:val="000310E9"/>
    <w:rsid w:val="00031D35"/>
    <w:rsid w:val="00031D79"/>
    <w:rsid w:val="0003209D"/>
    <w:rsid w:val="00032305"/>
    <w:rsid w:val="00032A05"/>
    <w:rsid w:val="00032CED"/>
    <w:rsid w:val="00032E11"/>
    <w:rsid w:val="00033593"/>
    <w:rsid w:val="00034247"/>
    <w:rsid w:val="00034566"/>
    <w:rsid w:val="000345FC"/>
    <w:rsid w:val="00034765"/>
    <w:rsid w:val="00034BBC"/>
    <w:rsid w:val="00034E43"/>
    <w:rsid w:val="00034E7B"/>
    <w:rsid w:val="00035D02"/>
    <w:rsid w:val="00036F88"/>
    <w:rsid w:val="00040033"/>
    <w:rsid w:val="0004061A"/>
    <w:rsid w:val="000407E6"/>
    <w:rsid w:val="00040BA9"/>
    <w:rsid w:val="00041AD2"/>
    <w:rsid w:val="00041F7C"/>
    <w:rsid w:val="00042146"/>
    <w:rsid w:val="000425B9"/>
    <w:rsid w:val="00042BEA"/>
    <w:rsid w:val="0004302E"/>
    <w:rsid w:val="00043657"/>
    <w:rsid w:val="000438B0"/>
    <w:rsid w:val="00044B6F"/>
    <w:rsid w:val="00045347"/>
    <w:rsid w:val="00045619"/>
    <w:rsid w:val="00045684"/>
    <w:rsid w:val="0004589D"/>
    <w:rsid w:val="0004602C"/>
    <w:rsid w:val="00046656"/>
    <w:rsid w:val="00046AA5"/>
    <w:rsid w:val="000507CB"/>
    <w:rsid w:val="00051B38"/>
    <w:rsid w:val="00051C13"/>
    <w:rsid w:val="00053970"/>
    <w:rsid w:val="00053CF6"/>
    <w:rsid w:val="00054043"/>
    <w:rsid w:val="000543C7"/>
    <w:rsid w:val="00054EEF"/>
    <w:rsid w:val="00055B9B"/>
    <w:rsid w:val="00056254"/>
    <w:rsid w:val="00056F14"/>
    <w:rsid w:val="00057DE3"/>
    <w:rsid w:val="000609F9"/>
    <w:rsid w:val="00060B2E"/>
    <w:rsid w:val="0006151C"/>
    <w:rsid w:val="00061C23"/>
    <w:rsid w:val="00061F02"/>
    <w:rsid w:val="00062DF5"/>
    <w:rsid w:val="000631EC"/>
    <w:rsid w:val="00063617"/>
    <w:rsid w:val="00064381"/>
    <w:rsid w:val="000644F8"/>
    <w:rsid w:val="000647F4"/>
    <w:rsid w:val="00064A6B"/>
    <w:rsid w:val="00064F86"/>
    <w:rsid w:val="00065AB4"/>
    <w:rsid w:val="00065BF1"/>
    <w:rsid w:val="00065C38"/>
    <w:rsid w:val="00065D08"/>
    <w:rsid w:val="00066285"/>
    <w:rsid w:val="00066684"/>
    <w:rsid w:val="00066DA8"/>
    <w:rsid w:val="00066ED8"/>
    <w:rsid w:val="000675EA"/>
    <w:rsid w:val="000678AF"/>
    <w:rsid w:val="00070289"/>
    <w:rsid w:val="0007134C"/>
    <w:rsid w:val="00071725"/>
    <w:rsid w:val="0007184D"/>
    <w:rsid w:val="000719E8"/>
    <w:rsid w:val="00071DD3"/>
    <w:rsid w:val="000720FC"/>
    <w:rsid w:val="000721FE"/>
    <w:rsid w:val="0007225D"/>
    <w:rsid w:val="000724B1"/>
    <w:rsid w:val="000727E6"/>
    <w:rsid w:val="00072888"/>
    <w:rsid w:val="00073446"/>
    <w:rsid w:val="00073B09"/>
    <w:rsid w:val="000743CD"/>
    <w:rsid w:val="00075235"/>
    <w:rsid w:val="000759CB"/>
    <w:rsid w:val="00075BC2"/>
    <w:rsid w:val="00075CF0"/>
    <w:rsid w:val="0007633B"/>
    <w:rsid w:val="0007748D"/>
    <w:rsid w:val="00081759"/>
    <w:rsid w:val="00082371"/>
    <w:rsid w:val="00082B52"/>
    <w:rsid w:val="00082F10"/>
    <w:rsid w:val="00083BC5"/>
    <w:rsid w:val="000843DD"/>
    <w:rsid w:val="00084529"/>
    <w:rsid w:val="00085173"/>
    <w:rsid w:val="00085DF4"/>
    <w:rsid w:val="0008637D"/>
    <w:rsid w:val="00086388"/>
    <w:rsid w:val="000863AF"/>
    <w:rsid w:val="00086663"/>
    <w:rsid w:val="00086CB2"/>
    <w:rsid w:val="00087F8B"/>
    <w:rsid w:val="00090081"/>
    <w:rsid w:val="00090ACB"/>
    <w:rsid w:val="000914C5"/>
    <w:rsid w:val="00091958"/>
    <w:rsid w:val="0009276B"/>
    <w:rsid w:val="00092A4A"/>
    <w:rsid w:val="00093313"/>
    <w:rsid w:val="000940E6"/>
    <w:rsid w:val="00094206"/>
    <w:rsid w:val="0009442E"/>
    <w:rsid w:val="00094A1A"/>
    <w:rsid w:val="00094AA7"/>
    <w:rsid w:val="000950AE"/>
    <w:rsid w:val="000950C8"/>
    <w:rsid w:val="0009581D"/>
    <w:rsid w:val="00095E21"/>
    <w:rsid w:val="000960B8"/>
    <w:rsid w:val="00096605"/>
    <w:rsid w:val="00096662"/>
    <w:rsid w:val="000971A3"/>
    <w:rsid w:val="00097436"/>
    <w:rsid w:val="00097457"/>
    <w:rsid w:val="000A0315"/>
    <w:rsid w:val="000A052B"/>
    <w:rsid w:val="000A0769"/>
    <w:rsid w:val="000A08AB"/>
    <w:rsid w:val="000A0A53"/>
    <w:rsid w:val="000A1208"/>
    <w:rsid w:val="000A1443"/>
    <w:rsid w:val="000A1EB8"/>
    <w:rsid w:val="000A2290"/>
    <w:rsid w:val="000A22BD"/>
    <w:rsid w:val="000A2378"/>
    <w:rsid w:val="000A2915"/>
    <w:rsid w:val="000A319F"/>
    <w:rsid w:val="000A3AF0"/>
    <w:rsid w:val="000A46E7"/>
    <w:rsid w:val="000A5740"/>
    <w:rsid w:val="000A6E7B"/>
    <w:rsid w:val="000A6FEE"/>
    <w:rsid w:val="000A7390"/>
    <w:rsid w:val="000A7686"/>
    <w:rsid w:val="000A7924"/>
    <w:rsid w:val="000A79E0"/>
    <w:rsid w:val="000A7A1C"/>
    <w:rsid w:val="000A7B7F"/>
    <w:rsid w:val="000B08D0"/>
    <w:rsid w:val="000B2671"/>
    <w:rsid w:val="000B2AD9"/>
    <w:rsid w:val="000B369D"/>
    <w:rsid w:val="000B4F11"/>
    <w:rsid w:val="000B63E9"/>
    <w:rsid w:val="000B669C"/>
    <w:rsid w:val="000B6EA5"/>
    <w:rsid w:val="000C006D"/>
    <w:rsid w:val="000C06E5"/>
    <w:rsid w:val="000C0D35"/>
    <w:rsid w:val="000C1253"/>
    <w:rsid w:val="000C2C22"/>
    <w:rsid w:val="000C31D4"/>
    <w:rsid w:val="000C32EE"/>
    <w:rsid w:val="000C365B"/>
    <w:rsid w:val="000C381F"/>
    <w:rsid w:val="000C4004"/>
    <w:rsid w:val="000C491E"/>
    <w:rsid w:val="000C4B5F"/>
    <w:rsid w:val="000C4CB5"/>
    <w:rsid w:val="000C4F75"/>
    <w:rsid w:val="000C5A52"/>
    <w:rsid w:val="000C5BFD"/>
    <w:rsid w:val="000C5F0A"/>
    <w:rsid w:val="000C5F5C"/>
    <w:rsid w:val="000C66DC"/>
    <w:rsid w:val="000C6B37"/>
    <w:rsid w:val="000C6EB2"/>
    <w:rsid w:val="000C705F"/>
    <w:rsid w:val="000C7663"/>
    <w:rsid w:val="000C7A55"/>
    <w:rsid w:val="000D093F"/>
    <w:rsid w:val="000D13FA"/>
    <w:rsid w:val="000D1E50"/>
    <w:rsid w:val="000D2B8D"/>
    <w:rsid w:val="000D2D08"/>
    <w:rsid w:val="000D4023"/>
    <w:rsid w:val="000D422C"/>
    <w:rsid w:val="000D4588"/>
    <w:rsid w:val="000D7D25"/>
    <w:rsid w:val="000E1E65"/>
    <w:rsid w:val="000E2252"/>
    <w:rsid w:val="000E2EDC"/>
    <w:rsid w:val="000E393C"/>
    <w:rsid w:val="000E429A"/>
    <w:rsid w:val="000E466F"/>
    <w:rsid w:val="000E5315"/>
    <w:rsid w:val="000E620A"/>
    <w:rsid w:val="000E79BF"/>
    <w:rsid w:val="000E7E36"/>
    <w:rsid w:val="000F006F"/>
    <w:rsid w:val="000F0348"/>
    <w:rsid w:val="000F2DEA"/>
    <w:rsid w:val="000F2FED"/>
    <w:rsid w:val="000F31FD"/>
    <w:rsid w:val="000F3C5F"/>
    <w:rsid w:val="000F3E7E"/>
    <w:rsid w:val="000F3FAE"/>
    <w:rsid w:val="000F4564"/>
    <w:rsid w:val="000F465B"/>
    <w:rsid w:val="000F5D8C"/>
    <w:rsid w:val="000F69BD"/>
    <w:rsid w:val="000F6B30"/>
    <w:rsid w:val="0010066B"/>
    <w:rsid w:val="0010121E"/>
    <w:rsid w:val="00101676"/>
    <w:rsid w:val="001020F1"/>
    <w:rsid w:val="001024BC"/>
    <w:rsid w:val="001029A0"/>
    <w:rsid w:val="00102B0E"/>
    <w:rsid w:val="00103099"/>
    <w:rsid w:val="001030C8"/>
    <w:rsid w:val="0010373A"/>
    <w:rsid w:val="00103EEF"/>
    <w:rsid w:val="00103F11"/>
    <w:rsid w:val="0010476B"/>
    <w:rsid w:val="00104C08"/>
    <w:rsid w:val="001060D0"/>
    <w:rsid w:val="00106D6C"/>
    <w:rsid w:val="00107335"/>
    <w:rsid w:val="0010791C"/>
    <w:rsid w:val="00107CBD"/>
    <w:rsid w:val="0011028E"/>
    <w:rsid w:val="00110511"/>
    <w:rsid w:val="00110640"/>
    <w:rsid w:val="001111FE"/>
    <w:rsid w:val="001116DA"/>
    <w:rsid w:val="0011194D"/>
    <w:rsid w:val="0011449A"/>
    <w:rsid w:val="0011462B"/>
    <w:rsid w:val="00114EF4"/>
    <w:rsid w:val="001151CF"/>
    <w:rsid w:val="00115AD9"/>
    <w:rsid w:val="00115CD2"/>
    <w:rsid w:val="00115D35"/>
    <w:rsid w:val="00115D38"/>
    <w:rsid w:val="0011615A"/>
    <w:rsid w:val="00116352"/>
    <w:rsid w:val="0011798A"/>
    <w:rsid w:val="00117D5A"/>
    <w:rsid w:val="001203A7"/>
    <w:rsid w:val="001203FC"/>
    <w:rsid w:val="00120C1A"/>
    <w:rsid w:val="00120F88"/>
    <w:rsid w:val="001213D4"/>
    <w:rsid w:val="00121EBC"/>
    <w:rsid w:val="00121EE6"/>
    <w:rsid w:val="001226C0"/>
    <w:rsid w:val="001230BE"/>
    <w:rsid w:val="0012331F"/>
    <w:rsid w:val="00123350"/>
    <w:rsid w:val="00123709"/>
    <w:rsid w:val="0012389F"/>
    <w:rsid w:val="00123CAC"/>
    <w:rsid w:val="00123CC9"/>
    <w:rsid w:val="0012534B"/>
    <w:rsid w:val="001253DA"/>
    <w:rsid w:val="00125935"/>
    <w:rsid w:val="00126186"/>
    <w:rsid w:val="001270B7"/>
    <w:rsid w:val="0012754C"/>
    <w:rsid w:val="00127883"/>
    <w:rsid w:val="0013025D"/>
    <w:rsid w:val="00130D73"/>
    <w:rsid w:val="001314B6"/>
    <w:rsid w:val="00131CDD"/>
    <w:rsid w:val="00132018"/>
    <w:rsid w:val="00132C23"/>
    <w:rsid w:val="00132D7A"/>
    <w:rsid w:val="00133126"/>
    <w:rsid w:val="0013348A"/>
    <w:rsid w:val="00133D83"/>
    <w:rsid w:val="0013424A"/>
    <w:rsid w:val="00134474"/>
    <w:rsid w:val="00134646"/>
    <w:rsid w:val="0013669E"/>
    <w:rsid w:val="00136FCE"/>
    <w:rsid w:val="0013713A"/>
    <w:rsid w:val="00137150"/>
    <w:rsid w:val="00137267"/>
    <w:rsid w:val="0014003A"/>
    <w:rsid w:val="0014021A"/>
    <w:rsid w:val="00140274"/>
    <w:rsid w:val="00140B79"/>
    <w:rsid w:val="00141C85"/>
    <w:rsid w:val="0014208B"/>
    <w:rsid w:val="00142354"/>
    <w:rsid w:val="0014253D"/>
    <w:rsid w:val="00143318"/>
    <w:rsid w:val="00143FDA"/>
    <w:rsid w:val="00144066"/>
    <w:rsid w:val="00144782"/>
    <w:rsid w:val="00144F4D"/>
    <w:rsid w:val="001452E1"/>
    <w:rsid w:val="001458EC"/>
    <w:rsid w:val="00145B8A"/>
    <w:rsid w:val="00145FB0"/>
    <w:rsid w:val="00146BF4"/>
    <w:rsid w:val="00146F72"/>
    <w:rsid w:val="0014728E"/>
    <w:rsid w:val="001473A6"/>
    <w:rsid w:val="00147504"/>
    <w:rsid w:val="00147762"/>
    <w:rsid w:val="00147EA6"/>
    <w:rsid w:val="00152569"/>
    <w:rsid w:val="001526DB"/>
    <w:rsid w:val="0015276C"/>
    <w:rsid w:val="00152770"/>
    <w:rsid w:val="00152E44"/>
    <w:rsid w:val="0015322B"/>
    <w:rsid w:val="00153A4A"/>
    <w:rsid w:val="00153BFC"/>
    <w:rsid w:val="001556D0"/>
    <w:rsid w:val="00155708"/>
    <w:rsid w:val="00155D8F"/>
    <w:rsid w:val="00156BC1"/>
    <w:rsid w:val="00156C18"/>
    <w:rsid w:val="00157D26"/>
    <w:rsid w:val="001601E7"/>
    <w:rsid w:val="00160CFD"/>
    <w:rsid w:val="00161832"/>
    <w:rsid w:val="00161905"/>
    <w:rsid w:val="001630E1"/>
    <w:rsid w:val="00163A20"/>
    <w:rsid w:val="00164061"/>
    <w:rsid w:val="00164496"/>
    <w:rsid w:val="00164BAE"/>
    <w:rsid w:val="0016591C"/>
    <w:rsid w:val="00165E5C"/>
    <w:rsid w:val="00166568"/>
    <w:rsid w:val="00167774"/>
    <w:rsid w:val="00170471"/>
    <w:rsid w:val="00171449"/>
    <w:rsid w:val="00172A5B"/>
    <w:rsid w:val="0017348B"/>
    <w:rsid w:val="0017533E"/>
    <w:rsid w:val="00175C69"/>
    <w:rsid w:val="00176D72"/>
    <w:rsid w:val="00177A14"/>
    <w:rsid w:val="00177C3C"/>
    <w:rsid w:val="00177FFE"/>
    <w:rsid w:val="00181563"/>
    <w:rsid w:val="001823DE"/>
    <w:rsid w:val="00182439"/>
    <w:rsid w:val="00182B1F"/>
    <w:rsid w:val="0018370B"/>
    <w:rsid w:val="0018392E"/>
    <w:rsid w:val="00183F01"/>
    <w:rsid w:val="00183F5A"/>
    <w:rsid w:val="00185828"/>
    <w:rsid w:val="00185E33"/>
    <w:rsid w:val="0018613D"/>
    <w:rsid w:val="00186942"/>
    <w:rsid w:val="00186D47"/>
    <w:rsid w:val="00187D0F"/>
    <w:rsid w:val="00190042"/>
    <w:rsid w:val="001901BB"/>
    <w:rsid w:val="00190AB6"/>
    <w:rsid w:val="00191F71"/>
    <w:rsid w:val="00192DFD"/>
    <w:rsid w:val="00193F3B"/>
    <w:rsid w:val="00195437"/>
    <w:rsid w:val="00195A81"/>
    <w:rsid w:val="00196479"/>
    <w:rsid w:val="00196C0C"/>
    <w:rsid w:val="00196D6B"/>
    <w:rsid w:val="00196FEF"/>
    <w:rsid w:val="001976E9"/>
    <w:rsid w:val="001978B1"/>
    <w:rsid w:val="00197A65"/>
    <w:rsid w:val="001A07A1"/>
    <w:rsid w:val="001A0CAA"/>
    <w:rsid w:val="001A17E4"/>
    <w:rsid w:val="001A1D1E"/>
    <w:rsid w:val="001A1D21"/>
    <w:rsid w:val="001A26C4"/>
    <w:rsid w:val="001A2A2F"/>
    <w:rsid w:val="001A3B5F"/>
    <w:rsid w:val="001A3BC0"/>
    <w:rsid w:val="001A406F"/>
    <w:rsid w:val="001A45C6"/>
    <w:rsid w:val="001A46CA"/>
    <w:rsid w:val="001A76B7"/>
    <w:rsid w:val="001B04F9"/>
    <w:rsid w:val="001B15EC"/>
    <w:rsid w:val="001B276F"/>
    <w:rsid w:val="001B2D33"/>
    <w:rsid w:val="001B33F9"/>
    <w:rsid w:val="001B3433"/>
    <w:rsid w:val="001B3688"/>
    <w:rsid w:val="001B3AF8"/>
    <w:rsid w:val="001B3DE7"/>
    <w:rsid w:val="001B436A"/>
    <w:rsid w:val="001B4511"/>
    <w:rsid w:val="001B5352"/>
    <w:rsid w:val="001B6B1A"/>
    <w:rsid w:val="001B6C1C"/>
    <w:rsid w:val="001B748D"/>
    <w:rsid w:val="001C055A"/>
    <w:rsid w:val="001C0C2F"/>
    <w:rsid w:val="001C1F4A"/>
    <w:rsid w:val="001C36F3"/>
    <w:rsid w:val="001C3A36"/>
    <w:rsid w:val="001C3C24"/>
    <w:rsid w:val="001C4500"/>
    <w:rsid w:val="001C4BA9"/>
    <w:rsid w:val="001C4BAE"/>
    <w:rsid w:val="001C4D3F"/>
    <w:rsid w:val="001C4F29"/>
    <w:rsid w:val="001C532F"/>
    <w:rsid w:val="001C689A"/>
    <w:rsid w:val="001C75A2"/>
    <w:rsid w:val="001D082D"/>
    <w:rsid w:val="001D0CB8"/>
    <w:rsid w:val="001D1643"/>
    <w:rsid w:val="001D2404"/>
    <w:rsid w:val="001D28C1"/>
    <w:rsid w:val="001D3EC1"/>
    <w:rsid w:val="001D4809"/>
    <w:rsid w:val="001D4D23"/>
    <w:rsid w:val="001D56B1"/>
    <w:rsid w:val="001D5F23"/>
    <w:rsid w:val="001D5FE7"/>
    <w:rsid w:val="001D6830"/>
    <w:rsid w:val="001D6B96"/>
    <w:rsid w:val="001D7808"/>
    <w:rsid w:val="001D7FB7"/>
    <w:rsid w:val="001E020A"/>
    <w:rsid w:val="001E0F12"/>
    <w:rsid w:val="001E1717"/>
    <w:rsid w:val="001E1FEE"/>
    <w:rsid w:val="001E222E"/>
    <w:rsid w:val="001E24E2"/>
    <w:rsid w:val="001E274F"/>
    <w:rsid w:val="001E2B24"/>
    <w:rsid w:val="001E3AEE"/>
    <w:rsid w:val="001E404E"/>
    <w:rsid w:val="001E4457"/>
    <w:rsid w:val="001E4A8E"/>
    <w:rsid w:val="001E520A"/>
    <w:rsid w:val="001E55FE"/>
    <w:rsid w:val="001E591B"/>
    <w:rsid w:val="001E66C6"/>
    <w:rsid w:val="001E6780"/>
    <w:rsid w:val="001E6806"/>
    <w:rsid w:val="001E6F0A"/>
    <w:rsid w:val="001E7DCC"/>
    <w:rsid w:val="001F1662"/>
    <w:rsid w:val="001F16F1"/>
    <w:rsid w:val="001F2A9A"/>
    <w:rsid w:val="001F2DDA"/>
    <w:rsid w:val="001F36DD"/>
    <w:rsid w:val="001F3A57"/>
    <w:rsid w:val="001F446A"/>
    <w:rsid w:val="001F5798"/>
    <w:rsid w:val="001F590C"/>
    <w:rsid w:val="001F6BD0"/>
    <w:rsid w:val="001F7CEA"/>
    <w:rsid w:val="00200432"/>
    <w:rsid w:val="0020074C"/>
    <w:rsid w:val="002008CA"/>
    <w:rsid w:val="00200A5D"/>
    <w:rsid w:val="00200F59"/>
    <w:rsid w:val="0020149A"/>
    <w:rsid w:val="00202212"/>
    <w:rsid w:val="002035C5"/>
    <w:rsid w:val="002045FB"/>
    <w:rsid w:val="00204932"/>
    <w:rsid w:val="00205AD2"/>
    <w:rsid w:val="0020657E"/>
    <w:rsid w:val="002065C2"/>
    <w:rsid w:val="002105EB"/>
    <w:rsid w:val="002107A1"/>
    <w:rsid w:val="0021171E"/>
    <w:rsid w:val="0021197E"/>
    <w:rsid w:val="00211EF6"/>
    <w:rsid w:val="00212233"/>
    <w:rsid w:val="00212E69"/>
    <w:rsid w:val="00213135"/>
    <w:rsid w:val="00213DCE"/>
    <w:rsid w:val="00214A02"/>
    <w:rsid w:val="00215283"/>
    <w:rsid w:val="002153B8"/>
    <w:rsid w:val="002159F7"/>
    <w:rsid w:val="00215BA0"/>
    <w:rsid w:val="00216045"/>
    <w:rsid w:val="00216F12"/>
    <w:rsid w:val="002171A9"/>
    <w:rsid w:val="002174D3"/>
    <w:rsid w:val="002178D2"/>
    <w:rsid w:val="002209B9"/>
    <w:rsid w:val="0022102C"/>
    <w:rsid w:val="00222B31"/>
    <w:rsid w:val="00222D6C"/>
    <w:rsid w:val="0022323C"/>
    <w:rsid w:val="00223400"/>
    <w:rsid w:val="0022487E"/>
    <w:rsid w:val="00224C9A"/>
    <w:rsid w:val="0022570C"/>
    <w:rsid w:val="0022674A"/>
    <w:rsid w:val="00227B0F"/>
    <w:rsid w:val="00231599"/>
    <w:rsid w:val="0023193A"/>
    <w:rsid w:val="00231F39"/>
    <w:rsid w:val="00233F55"/>
    <w:rsid w:val="00233FCA"/>
    <w:rsid w:val="0023422D"/>
    <w:rsid w:val="0023452F"/>
    <w:rsid w:val="0023564C"/>
    <w:rsid w:val="00235F80"/>
    <w:rsid w:val="00235FDD"/>
    <w:rsid w:val="00236102"/>
    <w:rsid w:val="00237DF5"/>
    <w:rsid w:val="0024007F"/>
    <w:rsid w:val="002403F6"/>
    <w:rsid w:val="002407FD"/>
    <w:rsid w:val="00240813"/>
    <w:rsid w:val="002412D7"/>
    <w:rsid w:val="0024290F"/>
    <w:rsid w:val="00242A4C"/>
    <w:rsid w:val="00243E36"/>
    <w:rsid w:val="002443A6"/>
    <w:rsid w:val="00244A54"/>
    <w:rsid w:val="00244DFB"/>
    <w:rsid w:val="002453A0"/>
    <w:rsid w:val="002455B9"/>
    <w:rsid w:val="00245D40"/>
    <w:rsid w:val="002466CC"/>
    <w:rsid w:val="002469E1"/>
    <w:rsid w:val="00246A6D"/>
    <w:rsid w:val="00247241"/>
    <w:rsid w:val="00250034"/>
    <w:rsid w:val="0025009E"/>
    <w:rsid w:val="002503D4"/>
    <w:rsid w:val="0025154E"/>
    <w:rsid w:val="00251FD0"/>
    <w:rsid w:val="002529AB"/>
    <w:rsid w:val="00252F81"/>
    <w:rsid w:val="002539B4"/>
    <w:rsid w:val="00253F9A"/>
    <w:rsid w:val="00254CDD"/>
    <w:rsid w:val="00254E71"/>
    <w:rsid w:val="002558A0"/>
    <w:rsid w:val="00255A99"/>
    <w:rsid w:val="0025607E"/>
    <w:rsid w:val="0025613F"/>
    <w:rsid w:val="00256C3F"/>
    <w:rsid w:val="00257395"/>
    <w:rsid w:val="00257470"/>
    <w:rsid w:val="00257E0C"/>
    <w:rsid w:val="002604B1"/>
    <w:rsid w:val="002605B8"/>
    <w:rsid w:val="0026162F"/>
    <w:rsid w:val="0026192F"/>
    <w:rsid w:val="002629BD"/>
    <w:rsid w:val="002641A9"/>
    <w:rsid w:val="00265186"/>
    <w:rsid w:val="002651FF"/>
    <w:rsid w:val="0026569F"/>
    <w:rsid w:val="00265F4B"/>
    <w:rsid w:val="00265FC2"/>
    <w:rsid w:val="0027047C"/>
    <w:rsid w:val="002704CC"/>
    <w:rsid w:val="0027064B"/>
    <w:rsid w:val="00270DE9"/>
    <w:rsid w:val="002737B3"/>
    <w:rsid w:val="00274090"/>
    <w:rsid w:val="002740EA"/>
    <w:rsid w:val="00274C90"/>
    <w:rsid w:val="00275422"/>
    <w:rsid w:val="00276048"/>
    <w:rsid w:val="00276699"/>
    <w:rsid w:val="002767AE"/>
    <w:rsid w:val="002802FF"/>
    <w:rsid w:val="00280A7B"/>
    <w:rsid w:val="002811DA"/>
    <w:rsid w:val="002813BE"/>
    <w:rsid w:val="0028200D"/>
    <w:rsid w:val="0028233E"/>
    <w:rsid w:val="00282B48"/>
    <w:rsid w:val="00283281"/>
    <w:rsid w:val="00283D3B"/>
    <w:rsid w:val="00283EF9"/>
    <w:rsid w:val="00284597"/>
    <w:rsid w:val="00284B9D"/>
    <w:rsid w:val="00285283"/>
    <w:rsid w:val="002855DF"/>
    <w:rsid w:val="002861E0"/>
    <w:rsid w:val="002865D9"/>
    <w:rsid w:val="00287A26"/>
    <w:rsid w:val="00290D63"/>
    <w:rsid w:val="00291116"/>
    <w:rsid w:val="00291540"/>
    <w:rsid w:val="00291C95"/>
    <w:rsid w:val="00291E7E"/>
    <w:rsid w:val="00291F74"/>
    <w:rsid w:val="00291F84"/>
    <w:rsid w:val="00292109"/>
    <w:rsid w:val="002925CF"/>
    <w:rsid w:val="002932C5"/>
    <w:rsid w:val="00293C2D"/>
    <w:rsid w:val="002946AD"/>
    <w:rsid w:val="00294E58"/>
    <w:rsid w:val="002952FE"/>
    <w:rsid w:val="00295C2A"/>
    <w:rsid w:val="00297EFE"/>
    <w:rsid w:val="002A0272"/>
    <w:rsid w:val="002A0DD6"/>
    <w:rsid w:val="002A1191"/>
    <w:rsid w:val="002A1502"/>
    <w:rsid w:val="002A25CB"/>
    <w:rsid w:val="002A27B2"/>
    <w:rsid w:val="002A2EFA"/>
    <w:rsid w:val="002A3EE6"/>
    <w:rsid w:val="002A426F"/>
    <w:rsid w:val="002A4969"/>
    <w:rsid w:val="002A51F4"/>
    <w:rsid w:val="002A54E1"/>
    <w:rsid w:val="002A5A1F"/>
    <w:rsid w:val="002A6689"/>
    <w:rsid w:val="002A696E"/>
    <w:rsid w:val="002A7002"/>
    <w:rsid w:val="002A7516"/>
    <w:rsid w:val="002A79DA"/>
    <w:rsid w:val="002A7E93"/>
    <w:rsid w:val="002B05D9"/>
    <w:rsid w:val="002B0C76"/>
    <w:rsid w:val="002B1193"/>
    <w:rsid w:val="002B142F"/>
    <w:rsid w:val="002B18A9"/>
    <w:rsid w:val="002B3309"/>
    <w:rsid w:val="002B3C76"/>
    <w:rsid w:val="002B4094"/>
    <w:rsid w:val="002B4341"/>
    <w:rsid w:val="002B513D"/>
    <w:rsid w:val="002B5662"/>
    <w:rsid w:val="002B7E5F"/>
    <w:rsid w:val="002C0132"/>
    <w:rsid w:val="002C0305"/>
    <w:rsid w:val="002C0708"/>
    <w:rsid w:val="002C0A53"/>
    <w:rsid w:val="002C0BED"/>
    <w:rsid w:val="002C0CE7"/>
    <w:rsid w:val="002C1C44"/>
    <w:rsid w:val="002C2A7E"/>
    <w:rsid w:val="002C3F94"/>
    <w:rsid w:val="002C4C3C"/>
    <w:rsid w:val="002C678D"/>
    <w:rsid w:val="002C6B30"/>
    <w:rsid w:val="002D005C"/>
    <w:rsid w:val="002D02F6"/>
    <w:rsid w:val="002D03CE"/>
    <w:rsid w:val="002D0BDD"/>
    <w:rsid w:val="002D11B7"/>
    <w:rsid w:val="002D1A2C"/>
    <w:rsid w:val="002D1BBB"/>
    <w:rsid w:val="002D20F9"/>
    <w:rsid w:val="002D3241"/>
    <w:rsid w:val="002D44D0"/>
    <w:rsid w:val="002D4719"/>
    <w:rsid w:val="002D4BEE"/>
    <w:rsid w:val="002D550C"/>
    <w:rsid w:val="002D5594"/>
    <w:rsid w:val="002D5F22"/>
    <w:rsid w:val="002D6E0E"/>
    <w:rsid w:val="002D71A3"/>
    <w:rsid w:val="002D7377"/>
    <w:rsid w:val="002D76FB"/>
    <w:rsid w:val="002D79DA"/>
    <w:rsid w:val="002D7DC3"/>
    <w:rsid w:val="002E00A1"/>
    <w:rsid w:val="002E1824"/>
    <w:rsid w:val="002E19A5"/>
    <w:rsid w:val="002E1A7C"/>
    <w:rsid w:val="002E23B6"/>
    <w:rsid w:val="002E25AC"/>
    <w:rsid w:val="002E2A4D"/>
    <w:rsid w:val="002E2B01"/>
    <w:rsid w:val="002E300D"/>
    <w:rsid w:val="002E387A"/>
    <w:rsid w:val="002E3C6E"/>
    <w:rsid w:val="002E3D53"/>
    <w:rsid w:val="002E4CA2"/>
    <w:rsid w:val="002E51C3"/>
    <w:rsid w:val="002E5D67"/>
    <w:rsid w:val="002E5ED3"/>
    <w:rsid w:val="002E6BD4"/>
    <w:rsid w:val="002E6F9A"/>
    <w:rsid w:val="002F00A7"/>
    <w:rsid w:val="002F21D6"/>
    <w:rsid w:val="002F2507"/>
    <w:rsid w:val="002F2C86"/>
    <w:rsid w:val="002F362D"/>
    <w:rsid w:val="002F39B0"/>
    <w:rsid w:val="002F3E93"/>
    <w:rsid w:val="002F596F"/>
    <w:rsid w:val="002F60EB"/>
    <w:rsid w:val="002F652C"/>
    <w:rsid w:val="002F72E1"/>
    <w:rsid w:val="002F74D2"/>
    <w:rsid w:val="003007D9"/>
    <w:rsid w:val="00300C8F"/>
    <w:rsid w:val="00301019"/>
    <w:rsid w:val="003027A5"/>
    <w:rsid w:val="00302ED4"/>
    <w:rsid w:val="003048EF"/>
    <w:rsid w:val="003051FA"/>
    <w:rsid w:val="00306604"/>
    <w:rsid w:val="00306634"/>
    <w:rsid w:val="003066A5"/>
    <w:rsid w:val="003069FB"/>
    <w:rsid w:val="00306D02"/>
    <w:rsid w:val="003073A2"/>
    <w:rsid w:val="00307458"/>
    <w:rsid w:val="003074E0"/>
    <w:rsid w:val="003078A5"/>
    <w:rsid w:val="00307DC8"/>
    <w:rsid w:val="00307ECA"/>
    <w:rsid w:val="0031045D"/>
    <w:rsid w:val="0031075C"/>
    <w:rsid w:val="00310D9F"/>
    <w:rsid w:val="003111CD"/>
    <w:rsid w:val="003129EF"/>
    <w:rsid w:val="00312D48"/>
    <w:rsid w:val="003134F7"/>
    <w:rsid w:val="00313976"/>
    <w:rsid w:val="00313B1A"/>
    <w:rsid w:val="0031511E"/>
    <w:rsid w:val="00315441"/>
    <w:rsid w:val="00316DAC"/>
    <w:rsid w:val="00316E99"/>
    <w:rsid w:val="00317046"/>
    <w:rsid w:val="00317B69"/>
    <w:rsid w:val="003205A8"/>
    <w:rsid w:val="00320CA5"/>
    <w:rsid w:val="00320E4E"/>
    <w:rsid w:val="00320EA2"/>
    <w:rsid w:val="00321252"/>
    <w:rsid w:val="00322759"/>
    <w:rsid w:val="00322B3E"/>
    <w:rsid w:val="0032359C"/>
    <w:rsid w:val="00323784"/>
    <w:rsid w:val="003239BD"/>
    <w:rsid w:val="00323F25"/>
    <w:rsid w:val="00325B0B"/>
    <w:rsid w:val="0032693E"/>
    <w:rsid w:val="0032704E"/>
    <w:rsid w:val="00327308"/>
    <w:rsid w:val="0032735C"/>
    <w:rsid w:val="003274AB"/>
    <w:rsid w:val="003275FD"/>
    <w:rsid w:val="00327825"/>
    <w:rsid w:val="00327F8D"/>
    <w:rsid w:val="00330D44"/>
    <w:rsid w:val="003310AE"/>
    <w:rsid w:val="003316E6"/>
    <w:rsid w:val="00332BC0"/>
    <w:rsid w:val="00333134"/>
    <w:rsid w:val="00333FAD"/>
    <w:rsid w:val="00334019"/>
    <w:rsid w:val="00334A01"/>
    <w:rsid w:val="003350DA"/>
    <w:rsid w:val="0033567B"/>
    <w:rsid w:val="003357D6"/>
    <w:rsid w:val="0033775C"/>
    <w:rsid w:val="00341FEB"/>
    <w:rsid w:val="003421DD"/>
    <w:rsid w:val="003424D6"/>
    <w:rsid w:val="00342BE6"/>
    <w:rsid w:val="00342EB8"/>
    <w:rsid w:val="00343117"/>
    <w:rsid w:val="0034411E"/>
    <w:rsid w:val="003449D0"/>
    <w:rsid w:val="00345E57"/>
    <w:rsid w:val="00346219"/>
    <w:rsid w:val="0034688E"/>
    <w:rsid w:val="00346B4E"/>
    <w:rsid w:val="00347798"/>
    <w:rsid w:val="003478CF"/>
    <w:rsid w:val="00347F6E"/>
    <w:rsid w:val="0035004C"/>
    <w:rsid w:val="00350A41"/>
    <w:rsid w:val="00350EBE"/>
    <w:rsid w:val="00352039"/>
    <w:rsid w:val="00352675"/>
    <w:rsid w:val="0035281B"/>
    <w:rsid w:val="003532A4"/>
    <w:rsid w:val="00353308"/>
    <w:rsid w:val="003534FA"/>
    <w:rsid w:val="00353513"/>
    <w:rsid w:val="00353686"/>
    <w:rsid w:val="003536D3"/>
    <w:rsid w:val="00353854"/>
    <w:rsid w:val="00355D08"/>
    <w:rsid w:val="00355DB0"/>
    <w:rsid w:val="003564EB"/>
    <w:rsid w:val="00356836"/>
    <w:rsid w:val="0035758B"/>
    <w:rsid w:val="00357B51"/>
    <w:rsid w:val="00357E6B"/>
    <w:rsid w:val="00357E8A"/>
    <w:rsid w:val="003601F9"/>
    <w:rsid w:val="003603CA"/>
    <w:rsid w:val="00360C16"/>
    <w:rsid w:val="00360C87"/>
    <w:rsid w:val="00361103"/>
    <w:rsid w:val="00362614"/>
    <w:rsid w:val="00363186"/>
    <w:rsid w:val="00363FAE"/>
    <w:rsid w:val="00364099"/>
    <w:rsid w:val="00364D7E"/>
    <w:rsid w:val="00364D89"/>
    <w:rsid w:val="0036649B"/>
    <w:rsid w:val="00367075"/>
    <w:rsid w:val="003670E2"/>
    <w:rsid w:val="00370CC1"/>
    <w:rsid w:val="00370FD0"/>
    <w:rsid w:val="00372440"/>
    <w:rsid w:val="00372741"/>
    <w:rsid w:val="00372BAC"/>
    <w:rsid w:val="00372E41"/>
    <w:rsid w:val="003733D4"/>
    <w:rsid w:val="00373535"/>
    <w:rsid w:val="00374D4C"/>
    <w:rsid w:val="00375687"/>
    <w:rsid w:val="00375803"/>
    <w:rsid w:val="003759BE"/>
    <w:rsid w:val="00375B71"/>
    <w:rsid w:val="003763A8"/>
    <w:rsid w:val="003815E4"/>
    <w:rsid w:val="00381960"/>
    <w:rsid w:val="00381D3E"/>
    <w:rsid w:val="00381FE3"/>
    <w:rsid w:val="003834EB"/>
    <w:rsid w:val="00383A94"/>
    <w:rsid w:val="00383B0D"/>
    <w:rsid w:val="003843D7"/>
    <w:rsid w:val="00384882"/>
    <w:rsid w:val="00384A96"/>
    <w:rsid w:val="00387625"/>
    <w:rsid w:val="00387A84"/>
    <w:rsid w:val="00387E17"/>
    <w:rsid w:val="00390001"/>
    <w:rsid w:val="00390C42"/>
    <w:rsid w:val="00390DAC"/>
    <w:rsid w:val="00390FB0"/>
    <w:rsid w:val="0039131B"/>
    <w:rsid w:val="00391C72"/>
    <w:rsid w:val="003933F7"/>
    <w:rsid w:val="003934E6"/>
    <w:rsid w:val="00393F64"/>
    <w:rsid w:val="0039520F"/>
    <w:rsid w:val="00395A80"/>
    <w:rsid w:val="003962C9"/>
    <w:rsid w:val="00397A04"/>
    <w:rsid w:val="00397ABA"/>
    <w:rsid w:val="00397ABF"/>
    <w:rsid w:val="003A0199"/>
    <w:rsid w:val="003A0700"/>
    <w:rsid w:val="003A0D5B"/>
    <w:rsid w:val="003A19EF"/>
    <w:rsid w:val="003A1C22"/>
    <w:rsid w:val="003A1D2D"/>
    <w:rsid w:val="003A274B"/>
    <w:rsid w:val="003A36C7"/>
    <w:rsid w:val="003A4DB6"/>
    <w:rsid w:val="003A547C"/>
    <w:rsid w:val="003A56DB"/>
    <w:rsid w:val="003A5E4C"/>
    <w:rsid w:val="003A5F59"/>
    <w:rsid w:val="003A6397"/>
    <w:rsid w:val="003A712D"/>
    <w:rsid w:val="003A7614"/>
    <w:rsid w:val="003A7894"/>
    <w:rsid w:val="003B1D36"/>
    <w:rsid w:val="003B29D1"/>
    <w:rsid w:val="003B335E"/>
    <w:rsid w:val="003B5645"/>
    <w:rsid w:val="003B571C"/>
    <w:rsid w:val="003B5728"/>
    <w:rsid w:val="003B632E"/>
    <w:rsid w:val="003B66B8"/>
    <w:rsid w:val="003B6D28"/>
    <w:rsid w:val="003B6ED9"/>
    <w:rsid w:val="003B7A74"/>
    <w:rsid w:val="003B7EE7"/>
    <w:rsid w:val="003C0BD1"/>
    <w:rsid w:val="003C1150"/>
    <w:rsid w:val="003C11BF"/>
    <w:rsid w:val="003C12C0"/>
    <w:rsid w:val="003C355D"/>
    <w:rsid w:val="003C358C"/>
    <w:rsid w:val="003C387B"/>
    <w:rsid w:val="003C39A9"/>
    <w:rsid w:val="003C3F52"/>
    <w:rsid w:val="003C4300"/>
    <w:rsid w:val="003C50B5"/>
    <w:rsid w:val="003C54A4"/>
    <w:rsid w:val="003C584E"/>
    <w:rsid w:val="003C5AB2"/>
    <w:rsid w:val="003C5C97"/>
    <w:rsid w:val="003C5DF7"/>
    <w:rsid w:val="003C6970"/>
    <w:rsid w:val="003C7527"/>
    <w:rsid w:val="003C7A0C"/>
    <w:rsid w:val="003C7A9A"/>
    <w:rsid w:val="003D06E3"/>
    <w:rsid w:val="003D0AAC"/>
    <w:rsid w:val="003D0B88"/>
    <w:rsid w:val="003D1145"/>
    <w:rsid w:val="003D176F"/>
    <w:rsid w:val="003D1E7A"/>
    <w:rsid w:val="003D2547"/>
    <w:rsid w:val="003D2625"/>
    <w:rsid w:val="003D29F5"/>
    <w:rsid w:val="003D4861"/>
    <w:rsid w:val="003D5F85"/>
    <w:rsid w:val="003D5FB9"/>
    <w:rsid w:val="003D63B7"/>
    <w:rsid w:val="003D72B3"/>
    <w:rsid w:val="003D74DA"/>
    <w:rsid w:val="003D7B2C"/>
    <w:rsid w:val="003E0125"/>
    <w:rsid w:val="003E1AA6"/>
    <w:rsid w:val="003E2177"/>
    <w:rsid w:val="003E25BA"/>
    <w:rsid w:val="003E270E"/>
    <w:rsid w:val="003E27D1"/>
    <w:rsid w:val="003E2BC1"/>
    <w:rsid w:val="003E3CB9"/>
    <w:rsid w:val="003E425B"/>
    <w:rsid w:val="003E4302"/>
    <w:rsid w:val="003E4466"/>
    <w:rsid w:val="003E4B5A"/>
    <w:rsid w:val="003E590D"/>
    <w:rsid w:val="003E5DCB"/>
    <w:rsid w:val="003E63E0"/>
    <w:rsid w:val="003E70AA"/>
    <w:rsid w:val="003F02F1"/>
    <w:rsid w:val="003F05F6"/>
    <w:rsid w:val="003F0F2E"/>
    <w:rsid w:val="003F190C"/>
    <w:rsid w:val="003F1922"/>
    <w:rsid w:val="003F1E76"/>
    <w:rsid w:val="003F2112"/>
    <w:rsid w:val="003F3E44"/>
    <w:rsid w:val="003F4A26"/>
    <w:rsid w:val="003F4A42"/>
    <w:rsid w:val="003F4EC0"/>
    <w:rsid w:val="003F4FFC"/>
    <w:rsid w:val="003F55A4"/>
    <w:rsid w:val="003F593E"/>
    <w:rsid w:val="003F6015"/>
    <w:rsid w:val="003F67CA"/>
    <w:rsid w:val="003F686C"/>
    <w:rsid w:val="003F6B5F"/>
    <w:rsid w:val="003F791C"/>
    <w:rsid w:val="004001FA"/>
    <w:rsid w:val="0040134F"/>
    <w:rsid w:val="00402686"/>
    <w:rsid w:val="00403940"/>
    <w:rsid w:val="0040398A"/>
    <w:rsid w:val="00403B81"/>
    <w:rsid w:val="00404526"/>
    <w:rsid w:val="004047C4"/>
    <w:rsid w:val="004052A5"/>
    <w:rsid w:val="004067ED"/>
    <w:rsid w:val="00406B6F"/>
    <w:rsid w:val="00410C19"/>
    <w:rsid w:val="004113F9"/>
    <w:rsid w:val="0041192A"/>
    <w:rsid w:val="00411931"/>
    <w:rsid w:val="004119AA"/>
    <w:rsid w:val="00411BFC"/>
    <w:rsid w:val="00411FC7"/>
    <w:rsid w:val="004126C6"/>
    <w:rsid w:val="00413E77"/>
    <w:rsid w:val="00414134"/>
    <w:rsid w:val="00414CBA"/>
    <w:rsid w:val="00415352"/>
    <w:rsid w:val="00415B15"/>
    <w:rsid w:val="00415D63"/>
    <w:rsid w:val="00417B45"/>
    <w:rsid w:val="00417F3F"/>
    <w:rsid w:val="00417F46"/>
    <w:rsid w:val="004203FC"/>
    <w:rsid w:val="0042132B"/>
    <w:rsid w:val="0042151A"/>
    <w:rsid w:val="004218BA"/>
    <w:rsid w:val="00421B1A"/>
    <w:rsid w:val="00421BE0"/>
    <w:rsid w:val="00422684"/>
    <w:rsid w:val="00422ACF"/>
    <w:rsid w:val="00422DDD"/>
    <w:rsid w:val="00423D50"/>
    <w:rsid w:val="00424641"/>
    <w:rsid w:val="00424DD3"/>
    <w:rsid w:val="00426894"/>
    <w:rsid w:val="00426CF7"/>
    <w:rsid w:val="00427363"/>
    <w:rsid w:val="00430525"/>
    <w:rsid w:val="004307E5"/>
    <w:rsid w:val="00430A90"/>
    <w:rsid w:val="004315F0"/>
    <w:rsid w:val="00431908"/>
    <w:rsid w:val="00433371"/>
    <w:rsid w:val="0043356D"/>
    <w:rsid w:val="00433BE5"/>
    <w:rsid w:val="00433C63"/>
    <w:rsid w:val="00434500"/>
    <w:rsid w:val="00434CAF"/>
    <w:rsid w:val="00434FD4"/>
    <w:rsid w:val="0043525E"/>
    <w:rsid w:val="00436157"/>
    <w:rsid w:val="0043631D"/>
    <w:rsid w:val="004365BC"/>
    <w:rsid w:val="00436638"/>
    <w:rsid w:val="00436870"/>
    <w:rsid w:val="00436F51"/>
    <w:rsid w:val="00436F66"/>
    <w:rsid w:val="0043730C"/>
    <w:rsid w:val="004376CD"/>
    <w:rsid w:val="004433E5"/>
    <w:rsid w:val="00443403"/>
    <w:rsid w:val="00444A44"/>
    <w:rsid w:val="00445C64"/>
    <w:rsid w:val="004464CD"/>
    <w:rsid w:val="00447150"/>
    <w:rsid w:val="0044746C"/>
    <w:rsid w:val="004475C4"/>
    <w:rsid w:val="00447A62"/>
    <w:rsid w:val="00447E25"/>
    <w:rsid w:val="0045003F"/>
    <w:rsid w:val="0045037A"/>
    <w:rsid w:val="00451671"/>
    <w:rsid w:val="00451A00"/>
    <w:rsid w:val="00451EDD"/>
    <w:rsid w:val="00452122"/>
    <w:rsid w:val="0045220D"/>
    <w:rsid w:val="00452591"/>
    <w:rsid w:val="004526DC"/>
    <w:rsid w:val="00452E1E"/>
    <w:rsid w:val="00453498"/>
    <w:rsid w:val="00453FF3"/>
    <w:rsid w:val="00454A01"/>
    <w:rsid w:val="00454E6D"/>
    <w:rsid w:val="00455D0F"/>
    <w:rsid w:val="0045636B"/>
    <w:rsid w:val="004565D8"/>
    <w:rsid w:val="00456A66"/>
    <w:rsid w:val="00457BCA"/>
    <w:rsid w:val="00457EAF"/>
    <w:rsid w:val="00460093"/>
    <w:rsid w:val="004601F8"/>
    <w:rsid w:val="00460205"/>
    <w:rsid w:val="004611C5"/>
    <w:rsid w:val="00461474"/>
    <w:rsid w:val="004617CB"/>
    <w:rsid w:val="00461E40"/>
    <w:rsid w:val="0046245E"/>
    <w:rsid w:val="00462796"/>
    <w:rsid w:val="0046280B"/>
    <w:rsid w:val="00462AC6"/>
    <w:rsid w:val="00463998"/>
    <w:rsid w:val="00464302"/>
    <w:rsid w:val="004645AA"/>
    <w:rsid w:val="00464BA6"/>
    <w:rsid w:val="00464C7F"/>
    <w:rsid w:val="00465728"/>
    <w:rsid w:val="00465DC1"/>
    <w:rsid w:val="00466887"/>
    <w:rsid w:val="004669D0"/>
    <w:rsid w:val="00466BE5"/>
    <w:rsid w:val="00467076"/>
    <w:rsid w:val="00467852"/>
    <w:rsid w:val="00471189"/>
    <w:rsid w:val="00471A82"/>
    <w:rsid w:val="00471AA4"/>
    <w:rsid w:val="00471FBD"/>
    <w:rsid w:val="004725C8"/>
    <w:rsid w:val="004728C8"/>
    <w:rsid w:val="00472F04"/>
    <w:rsid w:val="00473D0C"/>
    <w:rsid w:val="00474414"/>
    <w:rsid w:val="00474557"/>
    <w:rsid w:val="00474BB7"/>
    <w:rsid w:val="004756A1"/>
    <w:rsid w:val="00476AB9"/>
    <w:rsid w:val="00476F27"/>
    <w:rsid w:val="00477405"/>
    <w:rsid w:val="0047751C"/>
    <w:rsid w:val="00480272"/>
    <w:rsid w:val="00480390"/>
    <w:rsid w:val="0048045B"/>
    <w:rsid w:val="00480898"/>
    <w:rsid w:val="0048093D"/>
    <w:rsid w:val="00481B84"/>
    <w:rsid w:val="004823CB"/>
    <w:rsid w:val="00482C7B"/>
    <w:rsid w:val="004833B5"/>
    <w:rsid w:val="00483663"/>
    <w:rsid w:val="00483D1E"/>
    <w:rsid w:val="00483F19"/>
    <w:rsid w:val="0048458F"/>
    <w:rsid w:val="00484848"/>
    <w:rsid w:val="00485B7E"/>
    <w:rsid w:val="00486F8D"/>
    <w:rsid w:val="0048768D"/>
    <w:rsid w:val="00487A26"/>
    <w:rsid w:val="004902CE"/>
    <w:rsid w:val="00490560"/>
    <w:rsid w:val="00490610"/>
    <w:rsid w:val="00490A38"/>
    <w:rsid w:val="0049257C"/>
    <w:rsid w:val="004929C2"/>
    <w:rsid w:val="00492B60"/>
    <w:rsid w:val="00493555"/>
    <w:rsid w:val="00493D82"/>
    <w:rsid w:val="0049469A"/>
    <w:rsid w:val="004948B6"/>
    <w:rsid w:val="00495197"/>
    <w:rsid w:val="0049632A"/>
    <w:rsid w:val="004963BC"/>
    <w:rsid w:val="004967EE"/>
    <w:rsid w:val="00496D49"/>
    <w:rsid w:val="00497B2D"/>
    <w:rsid w:val="004A00DA"/>
    <w:rsid w:val="004A0113"/>
    <w:rsid w:val="004A0180"/>
    <w:rsid w:val="004A0354"/>
    <w:rsid w:val="004A0685"/>
    <w:rsid w:val="004A2882"/>
    <w:rsid w:val="004A2BF8"/>
    <w:rsid w:val="004A2E3B"/>
    <w:rsid w:val="004A3880"/>
    <w:rsid w:val="004A406B"/>
    <w:rsid w:val="004A4096"/>
    <w:rsid w:val="004A4361"/>
    <w:rsid w:val="004A4EDB"/>
    <w:rsid w:val="004A7FF2"/>
    <w:rsid w:val="004B05A5"/>
    <w:rsid w:val="004B19E5"/>
    <w:rsid w:val="004B1C2F"/>
    <w:rsid w:val="004B274D"/>
    <w:rsid w:val="004B294D"/>
    <w:rsid w:val="004B30CE"/>
    <w:rsid w:val="004B400E"/>
    <w:rsid w:val="004B434D"/>
    <w:rsid w:val="004B4436"/>
    <w:rsid w:val="004B5137"/>
    <w:rsid w:val="004B5335"/>
    <w:rsid w:val="004B537A"/>
    <w:rsid w:val="004B57F3"/>
    <w:rsid w:val="004B5A13"/>
    <w:rsid w:val="004B5C4C"/>
    <w:rsid w:val="004B5F67"/>
    <w:rsid w:val="004B6874"/>
    <w:rsid w:val="004C017B"/>
    <w:rsid w:val="004C0679"/>
    <w:rsid w:val="004C0916"/>
    <w:rsid w:val="004C09B5"/>
    <w:rsid w:val="004C0A7D"/>
    <w:rsid w:val="004C0E25"/>
    <w:rsid w:val="004C0E3D"/>
    <w:rsid w:val="004C21AF"/>
    <w:rsid w:val="004C22B6"/>
    <w:rsid w:val="004C244F"/>
    <w:rsid w:val="004C2C6C"/>
    <w:rsid w:val="004C2FD8"/>
    <w:rsid w:val="004C30B7"/>
    <w:rsid w:val="004C3CA7"/>
    <w:rsid w:val="004C3FB4"/>
    <w:rsid w:val="004C49FA"/>
    <w:rsid w:val="004C4BCD"/>
    <w:rsid w:val="004C5349"/>
    <w:rsid w:val="004C5378"/>
    <w:rsid w:val="004C6007"/>
    <w:rsid w:val="004C6FC5"/>
    <w:rsid w:val="004C78D5"/>
    <w:rsid w:val="004C7B2F"/>
    <w:rsid w:val="004C7CA9"/>
    <w:rsid w:val="004D0020"/>
    <w:rsid w:val="004D0183"/>
    <w:rsid w:val="004D0300"/>
    <w:rsid w:val="004D0BA8"/>
    <w:rsid w:val="004D10AE"/>
    <w:rsid w:val="004D14EE"/>
    <w:rsid w:val="004D1833"/>
    <w:rsid w:val="004D1D80"/>
    <w:rsid w:val="004D2E1E"/>
    <w:rsid w:val="004D3BB8"/>
    <w:rsid w:val="004D3EA7"/>
    <w:rsid w:val="004D414F"/>
    <w:rsid w:val="004D502F"/>
    <w:rsid w:val="004D5333"/>
    <w:rsid w:val="004D55A9"/>
    <w:rsid w:val="004D66B6"/>
    <w:rsid w:val="004D7281"/>
    <w:rsid w:val="004D7920"/>
    <w:rsid w:val="004D79FB"/>
    <w:rsid w:val="004E07EF"/>
    <w:rsid w:val="004E0D22"/>
    <w:rsid w:val="004E0DA9"/>
    <w:rsid w:val="004E123F"/>
    <w:rsid w:val="004E16B9"/>
    <w:rsid w:val="004E20C2"/>
    <w:rsid w:val="004E211C"/>
    <w:rsid w:val="004E3252"/>
    <w:rsid w:val="004E3557"/>
    <w:rsid w:val="004E3B7A"/>
    <w:rsid w:val="004E401F"/>
    <w:rsid w:val="004E44B7"/>
    <w:rsid w:val="004E45D8"/>
    <w:rsid w:val="004E5822"/>
    <w:rsid w:val="004E637D"/>
    <w:rsid w:val="004E6FA5"/>
    <w:rsid w:val="004E7BD0"/>
    <w:rsid w:val="004F003B"/>
    <w:rsid w:val="004F00BB"/>
    <w:rsid w:val="004F0D91"/>
    <w:rsid w:val="004F0F09"/>
    <w:rsid w:val="004F1153"/>
    <w:rsid w:val="004F11C1"/>
    <w:rsid w:val="004F20C3"/>
    <w:rsid w:val="004F22F2"/>
    <w:rsid w:val="004F3362"/>
    <w:rsid w:val="004F4535"/>
    <w:rsid w:val="004F455B"/>
    <w:rsid w:val="004F4AED"/>
    <w:rsid w:val="004F4DF3"/>
    <w:rsid w:val="004F50CE"/>
    <w:rsid w:val="004F51E3"/>
    <w:rsid w:val="004F5F6D"/>
    <w:rsid w:val="0050061F"/>
    <w:rsid w:val="00500EC8"/>
    <w:rsid w:val="00500EEE"/>
    <w:rsid w:val="00501669"/>
    <w:rsid w:val="00501819"/>
    <w:rsid w:val="00501EF7"/>
    <w:rsid w:val="00502345"/>
    <w:rsid w:val="00503B39"/>
    <w:rsid w:val="005040AF"/>
    <w:rsid w:val="005048E5"/>
    <w:rsid w:val="00504AE0"/>
    <w:rsid w:val="00504E44"/>
    <w:rsid w:val="005052F6"/>
    <w:rsid w:val="0050580E"/>
    <w:rsid w:val="005100F7"/>
    <w:rsid w:val="0051019A"/>
    <w:rsid w:val="00510FD2"/>
    <w:rsid w:val="00511250"/>
    <w:rsid w:val="00511F86"/>
    <w:rsid w:val="0051247A"/>
    <w:rsid w:val="0051264B"/>
    <w:rsid w:val="00513146"/>
    <w:rsid w:val="00513335"/>
    <w:rsid w:val="0051489D"/>
    <w:rsid w:val="00514CB4"/>
    <w:rsid w:val="00515B4F"/>
    <w:rsid w:val="005164E6"/>
    <w:rsid w:val="00516CA8"/>
    <w:rsid w:val="00516DDC"/>
    <w:rsid w:val="00516E32"/>
    <w:rsid w:val="00517633"/>
    <w:rsid w:val="00517D55"/>
    <w:rsid w:val="005202C0"/>
    <w:rsid w:val="005205A3"/>
    <w:rsid w:val="0052119F"/>
    <w:rsid w:val="005211E2"/>
    <w:rsid w:val="00521B17"/>
    <w:rsid w:val="0052246D"/>
    <w:rsid w:val="005238FF"/>
    <w:rsid w:val="00523DF9"/>
    <w:rsid w:val="00525981"/>
    <w:rsid w:val="005263BE"/>
    <w:rsid w:val="00526457"/>
    <w:rsid w:val="005266A5"/>
    <w:rsid w:val="00526FF7"/>
    <w:rsid w:val="0052785E"/>
    <w:rsid w:val="00530119"/>
    <w:rsid w:val="00530538"/>
    <w:rsid w:val="00530CD6"/>
    <w:rsid w:val="00530FCD"/>
    <w:rsid w:val="005313DA"/>
    <w:rsid w:val="005315AC"/>
    <w:rsid w:val="00532E45"/>
    <w:rsid w:val="005334F8"/>
    <w:rsid w:val="00533567"/>
    <w:rsid w:val="00533898"/>
    <w:rsid w:val="00534597"/>
    <w:rsid w:val="00534D3C"/>
    <w:rsid w:val="00535596"/>
    <w:rsid w:val="00535AC1"/>
    <w:rsid w:val="00536110"/>
    <w:rsid w:val="0053625F"/>
    <w:rsid w:val="00536334"/>
    <w:rsid w:val="005363C5"/>
    <w:rsid w:val="0053647E"/>
    <w:rsid w:val="005364F3"/>
    <w:rsid w:val="00536DC6"/>
    <w:rsid w:val="00536E0C"/>
    <w:rsid w:val="005377E7"/>
    <w:rsid w:val="005379D8"/>
    <w:rsid w:val="00540C20"/>
    <w:rsid w:val="00543273"/>
    <w:rsid w:val="005438C0"/>
    <w:rsid w:val="00543B61"/>
    <w:rsid w:val="005440C6"/>
    <w:rsid w:val="00544120"/>
    <w:rsid w:val="0054511C"/>
    <w:rsid w:val="00545ADF"/>
    <w:rsid w:val="00545FA7"/>
    <w:rsid w:val="00546220"/>
    <w:rsid w:val="0054633B"/>
    <w:rsid w:val="00546661"/>
    <w:rsid w:val="00546965"/>
    <w:rsid w:val="00546A2A"/>
    <w:rsid w:val="00546B69"/>
    <w:rsid w:val="00546C99"/>
    <w:rsid w:val="00546DF7"/>
    <w:rsid w:val="00546F85"/>
    <w:rsid w:val="0054709E"/>
    <w:rsid w:val="005478C2"/>
    <w:rsid w:val="005509B9"/>
    <w:rsid w:val="00550F6B"/>
    <w:rsid w:val="005519C7"/>
    <w:rsid w:val="00552953"/>
    <w:rsid w:val="0055332F"/>
    <w:rsid w:val="00553861"/>
    <w:rsid w:val="00553C44"/>
    <w:rsid w:val="005542BC"/>
    <w:rsid w:val="005558D3"/>
    <w:rsid w:val="00555D9A"/>
    <w:rsid w:val="00555DD5"/>
    <w:rsid w:val="00557721"/>
    <w:rsid w:val="00557AF7"/>
    <w:rsid w:val="00557CB3"/>
    <w:rsid w:val="00560C9B"/>
    <w:rsid w:val="0056154B"/>
    <w:rsid w:val="005617CB"/>
    <w:rsid w:val="005630EB"/>
    <w:rsid w:val="00563D7E"/>
    <w:rsid w:val="00563EA8"/>
    <w:rsid w:val="00564B04"/>
    <w:rsid w:val="00565A93"/>
    <w:rsid w:val="00565C68"/>
    <w:rsid w:val="005666DD"/>
    <w:rsid w:val="00567132"/>
    <w:rsid w:val="005706C9"/>
    <w:rsid w:val="00570BE4"/>
    <w:rsid w:val="00571136"/>
    <w:rsid w:val="005724D2"/>
    <w:rsid w:val="00573569"/>
    <w:rsid w:val="005744AC"/>
    <w:rsid w:val="005747EE"/>
    <w:rsid w:val="00574971"/>
    <w:rsid w:val="00574F3B"/>
    <w:rsid w:val="00575422"/>
    <w:rsid w:val="0057595B"/>
    <w:rsid w:val="00575FA0"/>
    <w:rsid w:val="00575FE8"/>
    <w:rsid w:val="0057611E"/>
    <w:rsid w:val="00576B59"/>
    <w:rsid w:val="00577BBD"/>
    <w:rsid w:val="005809FE"/>
    <w:rsid w:val="0058187C"/>
    <w:rsid w:val="00581C7D"/>
    <w:rsid w:val="00583571"/>
    <w:rsid w:val="00583CE8"/>
    <w:rsid w:val="0058408A"/>
    <w:rsid w:val="005843D5"/>
    <w:rsid w:val="00584543"/>
    <w:rsid w:val="0058454C"/>
    <w:rsid w:val="005852E3"/>
    <w:rsid w:val="00585F02"/>
    <w:rsid w:val="00590AF5"/>
    <w:rsid w:val="00591038"/>
    <w:rsid w:val="005910EC"/>
    <w:rsid w:val="005919E3"/>
    <w:rsid w:val="00591A02"/>
    <w:rsid w:val="00591A1A"/>
    <w:rsid w:val="00591B67"/>
    <w:rsid w:val="00591BA5"/>
    <w:rsid w:val="00592759"/>
    <w:rsid w:val="00592B56"/>
    <w:rsid w:val="0059305F"/>
    <w:rsid w:val="0059344B"/>
    <w:rsid w:val="005937EA"/>
    <w:rsid w:val="0059439E"/>
    <w:rsid w:val="005943E1"/>
    <w:rsid w:val="005944F8"/>
    <w:rsid w:val="00594BC6"/>
    <w:rsid w:val="005974D6"/>
    <w:rsid w:val="00597DE9"/>
    <w:rsid w:val="005A0495"/>
    <w:rsid w:val="005A0A57"/>
    <w:rsid w:val="005A0E0E"/>
    <w:rsid w:val="005A1952"/>
    <w:rsid w:val="005A4B94"/>
    <w:rsid w:val="005A4DC6"/>
    <w:rsid w:val="005A5997"/>
    <w:rsid w:val="005A5C81"/>
    <w:rsid w:val="005A5FCC"/>
    <w:rsid w:val="005A6185"/>
    <w:rsid w:val="005A6373"/>
    <w:rsid w:val="005A64B5"/>
    <w:rsid w:val="005A658E"/>
    <w:rsid w:val="005A6621"/>
    <w:rsid w:val="005A77D3"/>
    <w:rsid w:val="005A7B0D"/>
    <w:rsid w:val="005B073A"/>
    <w:rsid w:val="005B1124"/>
    <w:rsid w:val="005B1407"/>
    <w:rsid w:val="005B1988"/>
    <w:rsid w:val="005B214A"/>
    <w:rsid w:val="005B21F3"/>
    <w:rsid w:val="005B2636"/>
    <w:rsid w:val="005B4152"/>
    <w:rsid w:val="005B41DA"/>
    <w:rsid w:val="005B4804"/>
    <w:rsid w:val="005B5F74"/>
    <w:rsid w:val="005B6075"/>
    <w:rsid w:val="005B63FA"/>
    <w:rsid w:val="005B6DC6"/>
    <w:rsid w:val="005B6E0D"/>
    <w:rsid w:val="005B7394"/>
    <w:rsid w:val="005B7AF6"/>
    <w:rsid w:val="005C0D84"/>
    <w:rsid w:val="005C1BCF"/>
    <w:rsid w:val="005C3043"/>
    <w:rsid w:val="005C37D0"/>
    <w:rsid w:val="005C37EA"/>
    <w:rsid w:val="005C5081"/>
    <w:rsid w:val="005C51C8"/>
    <w:rsid w:val="005C6AB0"/>
    <w:rsid w:val="005C7735"/>
    <w:rsid w:val="005C7A02"/>
    <w:rsid w:val="005D01B5"/>
    <w:rsid w:val="005D0E58"/>
    <w:rsid w:val="005D20EC"/>
    <w:rsid w:val="005D2246"/>
    <w:rsid w:val="005D259A"/>
    <w:rsid w:val="005D2933"/>
    <w:rsid w:val="005D5A50"/>
    <w:rsid w:val="005D5BBD"/>
    <w:rsid w:val="005D5D1E"/>
    <w:rsid w:val="005D6300"/>
    <w:rsid w:val="005D64A1"/>
    <w:rsid w:val="005D6B03"/>
    <w:rsid w:val="005D710F"/>
    <w:rsid w:val="005D7288"/>
    <w:rsid w:val="005D74A6"/>
    <w:rsid w:val="005D761F"/>
    <w:rsid w:val="005D7784"/>
    <w:rsid w:val="005D7AE5"/>
    <w:rsid w:val="005D7B02"/>
    <w:rsid w:val="005E1E1E"/>
    <w:rsid w:val="005E23A6"/>
    <w:rsid w:val="005E28EA"/>
    <w:rsid w:val="005E35E6"/>
    <w:rsid w:val="005E5744"/>
    <w:rsid w:val="005E595C"/>
    <w:rsid w:val="005E652A"/>
    <w:rsid w:val="005E7646"/>
    <w:rsid w:val="005E78CD"/>
    <w:rsid w:val="005F0081"/>
    <w:rsid w:val="005F0299"/>
    <w:rsid w:val="005F0DFC"/>
    <w:rsid w:val="005F14E9"/>
    <w:rsid w:val="005F167E"/>
    <w:rsid w:val="005F1FC3"/>
    <w:rsid w:val="005F2276"/>
    <w:rsid w:val="005F25AD"/>
    <w:rsid w:val="005F2764"/>
    <w:rsid w:val="005F28E0"/>
    <w:rsid w:val="005F29AA"/>
    <w:rsid w:val="005F2DCB"/>
    <w:rsid w:val="005F400D"/>
    <w:rsid w:val="005F43ED"/>
    <w:rsid w:val="005F45D5"/>
    <w:rsid w:val="005F46BF"/>
    <w:rsid w:val="005F4BB6"/>
    <w:rsid w:val="005F527A"/>
    <w:rsid w:val="005F65B0"/>
    <w:rsid w:val="005F6A76"/>
    <w:rsid w:val="005F6F27"/>
    <w:rsid w:val="005F744E"/>
    <w:rsid w:val="005F7990"/>
    <w:rsid w:val="006002FE"/>
    <w:rsid w:val="006004E6"/>
    <w:rsid w:val="00600FA0"/>
    <w:rsid w:val="006019B9"/>
    <w:rsid w:val="00601D30"/>
    <w:rsid w:val="00601D94"/>
    <w:rsid w:val="00601E91"/>
    <w:rsid w:val="00602587"/>
    <w:rsid w:val="006029C5"/>
    <w:rsid w:val="006030BF"/>
    <w:rsid w:val="00603286"/>
    <w:rsid w:val="0060337F"/>
    <w:rsid w:val="00603E3C"/>
    <w:rsid w:val="00603F9B"/>
    <w:rsid w:val="006042CA"/>
    <w:rsid w:val="0060447B"/>
    <w:rsid w:val="0060471E"/>
    <w:rsid w:val="00605002"/>
    <w:rsid w:val="006052B8"/>
    <w:rsid w:val="0060547E"/>
    <w:rsid w:val="00605760"/>
    <w:rsid w:val="00605907"/>
    <w:rsid w:val="00605B85"/>
    <w:rsid w:val="006062A9"/>
    <w:rsid w:val="00606810"/>
    <w:rsid w:val="00606852"/>
    <w:rsid w:val="00607041"/>
    <w:rsid w:val="00607971"/>
    <w:rsid w:val="00607AB4"/>
    <w:rsid w:val="00607DAD"/>
    <w:rsid w:val="006109E0"/>
    <w:rsid w:val="00611534"/>
    <w:rsid w:val="0061169C"/>
    <w:rsid w:val="0061169F"/>
    <w:rsid w:val="006118F2"/>
    <w:rsid w:val="00611BBD"/>
    <w:rsid w:val="00611F55"/>
    <w:rsid w:val="00612AEF"/>
    <w:rsid w:val="00612B90"/>
    <w:rsid w:val="0061304B"/>
    <w:rsid w:val="006141E5"/>
    <w:rsid w:val="00614A86"/>
    <w:rsid w:val="00614C6C"/>
    <w:rsid w:val="0061522A"/>
    <w:rsid w:val="0061564B"/>
    <w:rsid w:val="006157C0"/>
    <w:rsid w:val="00615ACB"/>
    <w:rsid w:val="00615BB3"/>
    <w:rsid w:val="00615D25"/>
    <w:rsid w:val="0061797F"/>
    <w:rsid w:val="006210E5"/>
    <w:rsid w:val="00621CBD"/>
    <w:rsid w:val="0062209C"/>
    <w:rsid w:val="006223A9"/>
    <w:rsid w:val="00622864"/>
    <w:rsid w:val="00622C2C"/>
    <w:rsid w:val="00622D28"/>
    <w:rsid w:val="00623BE0"/>
    <w:rsid w:val="00623FB4"/>
    <w:rsid w:val="00624792"/>
    <w:rsid w:val="0062498C"/>
    <w:rsid w:val="00625422"/>
    <w:rsid w:val="00626751"/>
    <w:rsid w:val="00626E22"/>
    <w:rsid w:val="00627633"/>
    <w:rsid w:val="00627FC5"/>
    <w:rsid w:val="00630DA7"/>
    <w:rsid w:val="00630DAD"/>
    <w:rsid w:val="006310CB"/>
    <w:rsid w:val="0063116D"/>
    <w:rsid w:val="0063126D"/>
    <w:rsid w:val="00631313"/>
    <w:rsid w:val="00631DA8"/>
    <w:rsid w:val="00632933"/>
    <w:rsid w:val="00632993"/>
    <w:rsid w:val="006335AA"/>
    <w:rsid w:val="00633A87"/>
    <w:rsid w:val="00633EF6"/>
    <w:rsid w:val="0063459D"/>
    <w:rsid w:val="00634C93"/>
    <w:rsid w:val="0063505B"/>
    <w:rsid w:val="00635C83"/>
    <w:rsid w:val="00635CDD"/>
    <w:rsid w:val="006360FB"/>
    <w:rsid w:val="0063617E"/>
    <w:rsid w:val="006368B2"/>
    <w:rsid w:val="00636D2C"/>
    <w:rsid w:val="00636E4C"/>
    <w:rsid w:val="00637037"/>
    <w:rsid w:val="00637F56"/>
    <w:rsid w:val="006401C6"/>
    <w:rsid w:val="00641B14"/>
    <w:rsid w:val="00641BA3"/>
    <w:rsid w:val="00642367"/>
    <w:rsid w:val="00643977"/>
    <w:rsid w:val="00643D9D"/>
    <w:rsid w:val="00643E2B"/>
    <w:rsid w:val="00643FEA"/>
    <w:rsid w:val="00644522"/>
    <w:rsid w:val="00644E2D"/>
    <w:rsid w:val="0064506B"/>
    <w:rsid w:val="00645D5C"/>
    <w:rsid w:val="00645EC3"/>
    <w:rsid w:val="0064610E"/>
    <w:rsid w:val="006461C4"/>
    <w:rsid w:val="00646C4F"/>
    <w:rsid w:val="00650014"/>
    <w:rsid w:val="00650077"/>
    <w:rsid w:val="006508DA"/>
    <w:rsid w:val="006509E0"/>
    <w:rsid w:val="006509E6"/>
    <w:rsid w:val="00650F8B"/>
    <w:rsid w:val="006512D6"/>
    <w:rsid w:val="00652791"/>
    <w:rsid w:val="00652AC5"/>
    <w:rsid w:val="006540B9"/>
    <w:rsid w:val="006546D7"/>
    <w:rsid w:val="0065542E"/>
    <w:rsid w:val="0065575D"/>
    <w:rsid w:val="00656312"/>
    <w:rsid w:val="0065642B"/>
    <w:rsid w:val="0065674C"/>
    <w:rsid w:val="00657989"/>
    <w:rsid w:val="00657D39"/>
    <w:rsid w:val="0066055B"/>
    <w:rsid w:val="0066112C"/>
    <w:rsid w:val="00661137"/>
    <w:rsid w:val="006615C8"/>
    <w:rsid w:val="00661B84"/>
    <w:rsid w:val="006628AB"/>
    <w:rsid w:val="00663335"/>
    <w:rsid w:val="006640F7"/>
    <w:rsid w:val="00664456"/>
    <w:rsid w:val="00664FBC"/>
    <w:rsid w:val="00665228"/>
    <w:rsid w:val="00665977"/>
    <w:rsid w:val="0066642B"/>
    <w:rsid w:val="00667614"/>
    <w:rsid w:val="006676D4"/>
    <w:rsid w:val="00670474"/>
    <w:rsid w:val="0067085F"/>
    <w:rsid w:val="00670CCF"/>
    <w:rsid w:val="006720AE"/>
    <w:rsid w:val="0067218E"/>
    <w:rsid w:val="006730C0"/>
    <w:rsid w:val="006730DE"/>
    <w:rsid w:val="00673311"/>
    <w:rsid w:val="0067395A"/>
    <w:rsid w:val="0067484F"/>
    <w:rsid w:val="00674C5C"/>
    <w:rsid w:val="006750CF"/>
    <w:rsid w:val="00675A30"/>
    <w:rsid w:val="00676644"/>
    <w:rsid w:val="00676C12"/>
    <w:rsid w:val="00677A3F"/>
    <w:rsid w:val="00677F9C"/>
    <w:rsid w:val="00680502"/>
    <w:rsid w:val="00680BDF"/>
    <w:rsid w:val="00680ECC"/>
    <w:rsid w:val="0068158B"/>
    <w:rsid w:val="006820DC"/>
    <w:rsid w:val="0068294F"/>
    <w:rsid w:val="00682BD4"/>
    <w:rsid w:val="00682D98"/>
    <w:rsid w:val="00683651"/>
    <w:rsid w:val="0068371F"/>
    <w:rsid w:val="006837A6"/>
    <w:rsid w:val="00684180"/>
    <w:rsid w:val="006842DB"/>
    <w:rsid w:val="006867BE"/>
    <w:rsid w:val="00687205"/>
    <w:rsid w:val="00690693"/>
    <w:rsid w:val="00690BA3"/>
    <w:rsid w:val="00690DC1"/>
    <w:rsid w:val="00691400"/>
    <w:rsid w:val="00691585"/>
    <w:rsid w:val="00691D5F"/>
    <w:rsid w:val="00692C8A"/>
    <w:rsid w:val="00693613"/>
    <w:rsid w:val="0069369E"/>
    <w:rsid w:val="00694006"/>
    <w:rsid w:val="006945EE"/>
    <w:rsid w:val="0069583B"/>
    <w:rsid w:val="006959F4"/>
    <w:rsid w:val="00695E55"/>
    <w:rsid w:val="00695FD4"/>
    <w:rsid w:val="006966BD"/>
    <w:rsid w:val="0069783C"/>
    <w:rsid w:val="006A035F"/>
    <w:rsid w:val="006A043B"/>
    <w:rsid w:val="006A0512"/>
    <w:rsid w:val="006A092B"/>
    <w:rsid w:val="006A145C"/>
    <w:rsid w:val="006A1639"/>
    <w:rsid w:val="006A35B7"/>
    <w:rsid w:val="006A39C0"/>
    <w:rsid w:val="006A3C37"/>
    <w:rsid w:val="006A3CF5"/>
    <w:rsid w:val="006A534C"/>
    <w:rsid w:val="006A55C4"/>
    <w:rsid w:val="006A5D84"/>
    <w:rsid w:val="006A6042"/>
    <w:rsid w:val="006A6702"/>
    <w:rsid w:val="006A7478"/>
    <w:rsid w:val="006A7B63"/>
    <w:rsid w:val="006B18CE"/>
    <w:rsid w:val="006B267F"/>
    <w:rsid w:val="006B2BA7"/>
    <w:rsid w:val="006B3272"/>
    <w:rsid w:val="006B3E64"/>
    <w:rsid w:val="006B4090"/>
    <w:rsid w:val="006B4DEB"/>
    <w:rsid w:val="006B5179"/>
    <w:rsid w:val="006B5FA1"/>
    <w:rsid w:val="006B600F"/>
    <w:rsid w:val="006B6BC8"/>
    <w:rsid w:val="006B70EC"/>
    <w:rsid w:val="006B7B28"/>
    <w:rsid w:val="006C09AA"/>
    <w:rsid w:val="006C0BCE"/>
    <w:rsid w:val="006C0E2A"/>
    <w:rsid w:val="006C1323"/>
    <w:rsid w:val="006C21F2"/>
    <w:rsid w:val="006C290E"/>
    <w:rsid w:val="006C2F92"/>
    <w:rsid w:val="006C3822"/>
    <w:rsid w:val="006C3B5F"/>
    <w:rsid w:val="006C5421"/>
    <w:rsid w:val="006C5666"/>
    <w:rsid w:val="006C5A85"/>
    <w:rsid w:val="006C66C9"/>
    <w:rsid w:val="006C6890"/>
    <w:rsid w:val="006C72FF"/>
    <w:rsid w:val="006C7ECA"/>
    <w:rsid w:val="006D0C25"/>
    <w:rsid w:val="006D0F85"/>
    <w:rsid w:val="006D1F2A"/>
    <w:rsid w:val="006D226C"/>
    <w:rsid w:val="006D2CE6"/>
    <w:rsid w:val="006D44FB"/>
    <w:rsid w:val="006D4AFB"/>
    <w:rsid w:val="006D5369"/>
    <w:rsid w:val="006D6360"/>
    <w:rsid w:val="006D655C"/>
    <w:rsid w:val="006D6DD8"/>
    <w:rsid w:val="006D7C0F"/>
    <w:rsid w:val="006E0063"/>
    <w:rsid w:val="006E1146"/>
    <w:rsid w:val="006E118B"/>
    <w:rsid w:val="006E1D86"/>
    <w:rsid w:val="006E1DB4"/>
    <w:rsid w:val="006E3674"/>
    <w:rsid w:val="006E3BDF"/>
    <w:rsid w:val="006E3E12"/>
    <w:rsid w:val="006E49BD"/>
    <w:rsid w:val="006E4D20"/>
    <w:rsid w:val="006E67E6"/>
    <w:rsid w:val="006E69CD"/>
    <w:rsid w:val="006E69F2"/>
    <w:rsid w:val="006E6FE1"/>
    <w:rsid w:val="006E7410"/>
    <w:rsid w:val="006E749A"/>
    <w:rsid w:val="006E7B99"/>
    <w:rsid w:val="006F052F"/>
    <w:rsid w:val="006F0C69"/>
    <w:rsid w:val="006F0F8C"/>
    <w:rsid w:val="006F1005"/>
    <w:rsid w:val="006F1133"/>
    <w:rsid w:val="006F1872"/>
    <w:rsid w:val="006F19DD"/>
    <w:rsid w:val="006F20B0"/>
    <w:rsid w:val="006F21B5"/>
    <w:rsid w:val="006F2558"/>
    <w:rsid w:val="006F40AD"/>
    <w:rsid w:val="006F4365"/>
    <w:rsid w:val="006F4B9A"/>
    <w:rsid w:val="006F4C63"/>
    <w:rsid w:val="006F5C42"/>
    <w:rsid w:val="006F5F81"/>
    <w:rsid w:val="006F61C2"/>
    <w:rsid w:val="006F76C5"/>
    <w:rsid w:val="006F7860"/>
    <w:rsid w:val="006F7D58"/>
    <w:rsid w:val="006F7DE8"/>
    <w:rsid w:val="00701A4F"/>
    <w:rsid w:val="007020EF"/>
    <w:rsid w:val="007023AC"/>
    <w:rsid w:val="007023B5"/>
    <w:rsid w:val="00702CE9"/>
    <w:rsid w:val="007035C5"/>
    <w:rsid w:val="00704393"/>
    <w:rsid w:val="007044D0"/>
    <w:rsid w:val="00704851"/>
    <w:rsid w:val="00704921"/>
    <w:rsid w:val="00704B46"/>
    <w:rsid w:val="0070504A"/>
    <w:rsid w:val="0070521B"/>
    <w:rsid w:val="00705B86"/>
    <w:rsid w:val="00705CD9"/>
    <w:rsid w:val="00705D47"/>
    <w:rsid w:val="00706864"/>
    <w:rsid w:val="0070710E"/>
    <w:rsid w:val="00707133"/>
    <w:rsid w:val="00707AD6"/>
    <w:rsid w:val="00707D3F"/>
    <w:rsid w:val="007100BB"/>
    <w:rsid w:val="00710B44"/>
    <w:rsid w:val="0071160C"/>
    <w:rsid w:val="00712469"/>
    <w:rsid w:val="0071293A"/>
    <w:rsid w:val="007129D4"/>
    <w:rsid w:val="007157F7"/>
    <w:rsid w:val="00715A70"/>
    <w:rsid w:val="0071689E"/>
    <w:rsid w:val="007169D4"/>
    <w:rsid w:val="00716FA9"/>
    <w:rsid w:val="007176D2"/>
    <w:rsid w:val="007179E8"/>
    <w:rsid w:val="00717B6A"/>
    <w:rsid w:val="00717C00"/>
    <w:rsid w:val="007203C8"/>
    <w:rsid w:val="00720D52"/>
    <w:rsid w:val="007212B5"/>
    <w:rsid w:val="007215DD"/>
    <w:rsid w:val="00721C9E"/>
    <w:rsid w:val="00722439"/>
    <w:rsid w:val="00722648"/>
    <w:rsid w:val="007228EC"/>
    <w:rsid w:val="0072343F"/>
    <w:rsid w:val="0072368D"/>
    <w:rsid w:val="007236EA"/>
    <w:rsid w:val="00724B05"/>
    <w:rsid w:val="00725608"/>
    <w:rsid w:val="0072594D"/>
    <w:rsid w:val="007261CC"/>
    <w:rsid w:val="00726721"/>
    <w:rsid w:val="00726CF9"/>
    <w:rsid w:val="007278C1"/>
    <w:rsid w:val="00730723"/>
    <w:rsid w:val="007311EC"/>
    <w:rsid w:val="00731408"/>
    <w:rsid w:val="00731FD0"/>
    <w:rsid w:val="0073219B"/>
    <w:rsid w:val="007327DE"/>
    <w:rsid w:val="00733C56"/>
    <w:rsid w:val="00734A9C"/>
    <w:rsid w:val="00734B2B"/>
    <w:rsid w:val="00735A13"/>
    <w:rsid w:val="00736400"/>
    <w:rsid w:val="007371EC"/>
    <w:rsid w:val="00737960"/>
    <w:rsid w:val="0074000D"/>
    <w:rsid w:val="00740B83"/>
    <w:rsid w:val="00740D21"/>
    <w:rsid w:val="007423A8"/>
    <w:rsid w:val="00742427"/>
    <w:rsid w:val="007433C7"/>
    <w:rsid w:val="0074391B"/>
    <w:rsid w:val="00745634"/>
    <w:rsid w:val="00745A63"/>
    <w:rsid w:val="00746A8C"/>
    <w:rsid w:val="00747A2A"/>
    <w:rsid w:val="00747BF9"/>
    <w:rsid w:val="007508E2"/>
    <w:rsid w:val="0075125C"/>
    <w:rsid w:val="007521BA"/>
    <w:rsid w:val="00752E8D"/>
    <w:rsid w:val="00753924"/>
    <w:rsid w:val="007545F3"/>
    <w:rsid w:val="007551DB"/>
    <w:rsid w:val="0075687E"/>
    <w:rsid w:val="00756A49"/>
    <w:rsid w:val="00760AE5"/>
    <w:rsid w:val="00760E58"/>
    <w:rsid w:val="00761000"/>
    <w:rsid w:val="00761073"/>
    <w:rsid w:val="007613B3"/>
    <w:rsid w:val="00761662"/>
    <w:rsid w:val="00761694"/>
    <w:rsid w:val="0076176D"/>
    <w:rsid w:val="007636D3"/>
    <w:rsid w:val="00763D6B"/>
    <w:rsid w:val="00763F71"/>
    <w:rsid w:val="007652BD"/>
    <w:rsid w:val="00766AC8"/>
    <w:rsid w:val="0076790B"/>
    <w:rsid w:val="007708C1"/>
    <w:rsid w:val="00770D6F"/>
    <w:rsid w:val="007713BE"/>
    <w:rsid w:val="00771599"/>
    <w:rsid w:val="00772499"/>
    <w:rsid w:val="00773096"/>
    <w:rsid w:val="0077349F"/>
    <w:rsid w:val="0077372B"/>
    <w:rsid w:val="00773D7F"/>
    <w:rsid w:val="00775E58"/>
    <w:rsid w:val="007760AB"/>
    <w:rsid w:val="00776877"/>
    <w:rsid w:val="0077714D"/>
    <w:rsid w:val="0077738D"/>
    <w:rsid w:val="00777CDD"/>
    <w:rsid w:val="00780359"/>
    <w:rsid w:val="007805B5"/>
    <w:rsid w:val="007807A1"/>
    <w:rsid w:val="00780BA1"/>
    <w:rsid w:val="007815EF"/>
    <w:rsid w:val="00781861"/>
    <w:rsid w:val="007822A7"/>
    <w:rsid w:val="00782739"/>
    <w:rsid w:val="00782E57"/>
    <w:rsid w:val="00783615"/>
    <w:rsid w:val="00783D1D"/>
    <w:rsid w:val="00784E7A"/>
    <w:rsid w:val="007850AD"/>
    <w:rsid w:val="0078591E"/>
    <w:rsid w:val="007867AD"/>
    <w:rsid w:val="00786B7D"/>
    <w:rsid w:val="00786CA8"/>
    <w:rsid w:val="00786D4B"/>
    <w:rsid w:val="007874BC"/>
    <w:rsid w:val="00787612"/>
    <w:rsid w:val="00787F4D"/>
    <w:rsid w:val="00790E7F"/>
    <w:rsid w:val="00792B0B"/>
    <w:rsid w:val="0079339F"/>
    <w:rsid w:val="00794A94"/>
    <w:rsid w:val="00794B29"/>
    <w:rsid w:val="00794E47"/>
    <w:rsid w:val="00795105"/>
    <w:rsid w:val="007951DD"/>
    <w:rsid w:val="00795386"/>
    <w:rsid w:val="007959F7"/>
    <w:rsid w:val="00795BEB"/>
    <w:rsid w:val="007A0C16"/>
    <w:rsid w:val="007A0F9A"/>
    <w:rsid w:val="007A11A0"/>
    <w:rsid w:val="007A15A3"/>
    <w:rsid w:val="007A19F6"/>
    <w:rsid w:val="007A1C56"/>
    <w:rsid w:val="007A258C"/>
    <w:rsid w:val="007A2814"/>
    <w:rsid w:val="007A28F7"/>
    <w:rsid w:val="007A361E"/>
    <w:rsid w:val="007A36D2"/>
    <w:rsid w:val="007A48FB"/>
    <w:rsid w:val="007A57FB"/>
    <w:rsid w:val="007A5AB1"/>
    <w:rsid w:val="007A5FFB"/>
    <w:rsid w:val="007A6210"/>
    <w:rsid w:val="007A6772"/>
    <w:rsid w:val="007A7682"/>
    <w:rsid w:val="007A7F5C"/>
    <w:rsid w:val="007B08B9"/>
    <w:rsid w:val="007B1B10"/>
    <w:rsid w:val="007B1DC6"/>
    <w:rsid w:val="007B28C3"/>
    <w:rsid w:val="007B2942"/>
    <w:rsid w:val="007B29D7"/>
    <w:rsid w:val="007B2FB9"/>
    <w:rsid w:val="007B3440"/>
    <w:rsid w:val="007B3623"/>
    <w:rsid w:val="007B3C01"/>
    <w:rsid w:val="007B3C86"/>
    <w:rsid w:val="007B3F6A"/>
    <w:rsid w:val="007B4A31"/>
    <w:rsid w:val="007B4B8B"/>
    <w:rsid w:val="007B55E7"/>
    <w:rsid w:val="007B6B5E"/>
    <w:rsid w:val="007B7086"/>
    <w:rsid w:val="007B7BD0"/>
    <w:rsid w:val="007B7D8A"/>
    <w:rsid w:val="007C0153"/>
    <w:rsid w:val="007C042D"/>
    <w:rsid w:val="007C054E"/>
    <w:rsid w:val="007C0DBD"/>
    <w:rsid w:val="007C125B"/>
    <w:rsid w:val="007C1855"/>
    <w:rsid w:val="007C1CAD"/>
    <w:rsid w:val="007C24EB"/>
    <w:rsid w:val="007C2ACA"/>
    <w:rsid w:val="007C2C1E"/>
    <w:rsid w:val="007C2CBC"/>
    <w:rsid w:val="007C3024"/>
    <w:rsid w:val="007C37BE"/>
    <w:rsid w:val="007C3F91"/>
    <w:rsid w:val="007C40B6"/>
    <w:rsid w:val="007C4197"/>
    <w:rsid w:val="007C4F20"/>
    <w:rsid w:val="007C53CF"/>
    <w:rsid w:val="007C5727"/>
    <w:rsid w:val="007C64F7"/>
    <w:rsid w:val="007C6DE7"/>
    <w:rsid w:val="007C7154"/>
    <w:rsid w:val="007C7D5F"/>
    <w:rsid w:val="007C7DBA"/>
    <w:rsid w:val="007D13F3"/>
    <w:rsid w:val="007D233A"/>
    <w:rsid w:val="007D240E"/>
    <w:rsid w:val="007D26E9"/>
    <w:rsid w:val="007D2C8E"/>
    <w:rsid w:val="007D2ECE"/>
    <w:rsid w:val="007D315D"/>
    <w:rsid w:val="007D32D0"/>
    <w:rsid w:val="007D3639"/>
    <w:rsid w:val="007D3729"/>
    <w:rsid w:val="007D39FD"/>
    <w:rsid w:val="007D435C"/>
    <w:rsid w:val="007D48E2"/>
    <w:rsid w:val="007D4AAB"/>
    <w:rsid w:val="007D4D71"/>
    <w:rsid w:val="007D5DFF"/>
    <w:rsid w:val="007D5E5C"/>
    <w:rsid w:val="007D5FD2"/>
    <w:rsid w:val="007D61FF"/>
    <w:rsid w:val="007D6A48"/>
    <w:rsid w:val="007D6C4E"/>
    <w:rsid w:val="007D72FD"/>
    <w:rsid w:val="007D732B"/>
    <w:rsid w:val="007D7D51"/>
    <w:rsid w:val="007E0223"/>
    <w:rsid w:val="007E08EA"/>
    <w:rsid w:val="007E101C"/>
    <w:rsid w:val="007E1438"/>
    <w:rsid w:val="007E23B8"/>
    <w:rsid w:val="007E27B1"/>
    <w:rsid w:val="007E2923"/>
    <w:rsid w:val="007E2C0D"/>
    <w:rsid w:val="007E30D1"/>
    <w:rsid w:val="007E376E"/>
    <w:rsid w:val="007E3E62"/>
    <w:rsid w:val="007E4588"/>
    <w:rsid w:val="007E4BB9"/>
    <w:rsid w:val="007E6944"/>
    <w:rsid w:val="007E7E12"/>
    <w:rsid w:val="007E7FCC"/>
    <w:rsid w:val="007F039B"/>
    <w:rsid w:val="007F1AC8"/>
    <w:rsid w:val="007F1C01"/>
    <w:rsid w:val="007F2961"/>
    <w:rsid w:val="007F2F57"/>
    <w:rsid w:val="007F314A"/>
    <w:rsid w:val="007F35D4"/>
    <w:rsid w:val="007F4147"/>
    <w:rsid w:val="007F4591"/>
    <w:rsid w:val="007F461E"/>
    <w:rsid w:val="007F4771"/>
    <w:rsid w:val="007F4A7B"/>
    <w:rsid w:val="007F4B91"/>
    <w:rsid w:val="007F535C"/>
    <w:rsid w:val="007F5867"/>
    <w:rsid w:val="007F5BFA"/>
    <w:rsid w:val="007F6833"/>
    <w:rsid w:val="007F7BD3"/>
    <w:rsid w:val="00800323"/>
    <w:rsid w:val="0080069E"/>
    <w:rsid w:val="00800B51"/>
    <w:rsid w:val="0080120F"/>
    <w:rsid w:val="00802545"/>
    <w:rsid w:val="00802DC4"/>
    <w:rsid w:val="00802FE6"/>
    <w:rsid w:val="00803576"/>
    <w:rsid w:val="008047B7"/>
    <w:rsid w:val="00804C72"/>
    <w:rsid w:val="00805A8A"/>
    <w:rsid w:val="00806315"/>
    <w:rsid w:val="00806526"/>
    <w:rsid w:val="008067BC"/>
    <w:rsid w:val="00807273"/>
    <w:rsid w:val="0080742C"/>
    <w:rsid w:val="008110C6"/>
    <w:rsid w:val="0081131C"/>
    <w:rsid w:val="0081399C"/>
    <w:rsid w:val="00815C46"/>
    <w:rsid w:val="00815C4B"/>
    <w:rsid w:val="00816102"/>
    <w:rsid w:val="00816852"/>
    <w:rsid w:val="00816A43"/>
    <w:rsid w:val="00821206"/>
    <w:rsid w:val="008219F5"/>
    <w:rsid w:val="00822C97"/>
    <w:rsid w:val="00822E5B"/>
    <w:rsid w:val="008233D4"/>
    <w:rsid w:val="00823B38"/>
    <w:rsid w:val="00823E8A"/>
    <w:rsid w:val="00824977"/>
    <w:rsid w:val="00826331"/>
    <w:rsid w:val="008264F0"/>
    <w:rsid w:val="008267C9"/>
    <w:rsid w:val="0082756C"/>
    <w:rsid w:val="00827B04"/>
    <w:rsid w:val="00827C74"/>
    <w:rsid w:val="00827DCE"/>
    <w:rsid w:val="00830857"/>
    <w:rsid w:val="008313A9"/>
    <w:rsid w:val="0083283B"/>
    <w:rsid w:val="00832854"/>
    <w:rsid w:val="008329CF"/>
    <w:rsid w:val="00833313"/>
    <w:rsid w:val="0083338F"/>
    <w:rsid w:val="00833546"/>
    <w:rsid w:val="00833C27"/>
    <w:rsid w:val="00833D48"/>
    <w:rsid w:val="00833FD5"/>
    <w:rsid w:val="008349DA"/>
    <w:rsid w:val="00835E0C"/>
    <w:rsid w:val="00836BDE"/>
    <w:rsid w:val="00836F0D"/>
    <w:rsid w:val="00837475"/>
    <w:rsid w:val="00837865"/>
    <w:rsid w:val="0083793D"/>
    <w:rsid w:val="00837B5E"/>
    <w:rsid w:val="008402F0"/>
    <w:rsid w:val="0084053E"/>
    <w:rsid w:val="00840CA4"/>
    <w:rsid w:val="008410AE"/>
    <w:rsid w:val="00842090"/>
    <w:rsid w:val="008420E7"/>
    <w:rsid w:val="008424AF"/>
    <w:rsid w:val="00842BC3"/>
    <w:rsid w:val="008432A7"/>
    <w:rsid w:val="008438E6"/>
    <w:rsid w:val="00843EA9"/>
    <w:rsid w:val="00843EAF"/>
    <w:rsid w:val="00843F1B"/>
    <w:rsid w:val="00843FA8"/>
    <w:rsid w:val="00844041"/>
    <w:rsid w:val="00844DB0"/>
    <w:rsid w:val="00845093"/>
    <w:rsid w:val="0084561B"/>
    <w:rsid w:val="008466B0"/>
    <w:rsid w:val="00846A0A"/>
    <w:rsid w:val="00846D65"/>
    <w:rsid w:val="00847FA8"/>
    <w:rsid w:val="00850583"/>
    <w:rsid w:val="008529F7"/>
    <w:rsid w:val="008534B0"/>
    <w:rsid w:val="008538F0"/>
    <w:rsid w:val="00853AB2"/>
    <w:rsid w:val="0085401D"/>
    <w:rsid w:val="0085473B"/>
    <w:rsid w:val="00855434"/>
    <w:rsid w:val="00855834"/>
    <w:rsid w:val="0085614F"/>
    <w:rsid w:val="008561DB"/>
    <w:rsid w:val="0085778D"/>
    <w:rsid w:val="00857B52"/>
    <w:rsid w:val="00857EF0"/>
    <w:rsid w:val="00860DD8"/>
    <w:rsid w:val="00861541"/>
    <w:rsid w:val="00861A12"/>
    <w:rsid w:val="008628AC"/>
    <w:rsid w:val="008632D5"/>
    <w:rsid w:val="0086371F"/>
    <w:rsid w:val="00865605"/>
    <w:rsid w:val="00865E32"/>
    <w:rsid w:val="008662BD"/>
    <w:rsid w:val="00870002"/>
    <w:rsid w:val="00870570"/>
    <w:rsid w:val="008705EE"/>
    <w:rsid w:val="008712FE"/>
    <w:rsid w:val="00871798"/>
    <w:rsid w:val="008718DB"/>
    <w:rsid w:val="00871DF2"/>
    <w:rsid w:val="008725A9"/>
    <w:rsid w:val="0087273E"/>
    <w:rsid w:val="00873352"/>
    <w:rsid w:val="0087495C"/>
    <w:rsid w:val="00874A74"/>
    <w:rsid w:val="008754FB"/>
    <w:rsid w:val="00875D6A"/>
    <w:rsid w:val="00875FC2"/>
    <w:rsid w:val="008770EB"/>
    <w:rsid w:val="0087716F"/>
    <w:rsid w:val="00877580"/>
    <w:rsid w:val="00877990"/>
    <w:rsid w:val="008779D9"/>
    <w:rsid w:val="00877EC6"/>
    <w:rsid w:val="0088073E"/>
    <w:rsid w:val="008809D5"/>
    <w:rsid w:val="00880A39"/>
    <w:rsid w:val="00881035"/>
    <w:rsid w:val="00881538"/>
    <w:rsid w:val="00881E17"/>
    <w:rsid w:val="0088363C"/>
    <w:rsid w:val="008844EC"/>
    <w:rsid w:val="008844ED"/>
    <w:rsid w:val="00884E6D"/>
    <w:rsid w:val="0088501E"/>
    <w:rsid w:val="008854B9"/>
    <w:rsid w:val="00886335"/>
    <w:rsid w:val="008865E1"/>
    <w:rsid w:val="00886BDE"/>
    <w:rsid w:val="00887A35"/>
    <w:rsid w:val="00891EFB"/>
    <w:rsid w:val="008925E1"/>
    <w:rsid w:val="00892992"/>
    <w:rsid w:val="00892EA3"/>
    <w:rsid w:val="00894073"/>
    <w:rsid w:val="00894879"/>
    <w:rsid w:val="00894A06"/>
    <w:rsid w:val="00894EBF"/>
    <w:rsid w:val="00895902"/>
    <w:rsid w:val="008965F9"/>
    <w:rsid w:val="008966C5"/>
    <w:rsid w:val="00896884"/>
    <w:rsid w:val="00897542"/>
    <w:rsid w:val="008977FE"/>
    <w:rsid w:val="0089780B"/>
    <w:rsid w:val="00897B66"/>
    <w:rsid w:val="008A0511"/>
    <w:rsid w:val="008A08E4"/>
    <w:rsid w:val="008A1584"/>
    <w:rsid w:val="008A1F50"/>
    <w:rsid w:val="008A2CB1"/>
    <w:rsid w:val="008A2D2C"/>
    <w:rsid w:val="008A2E20"/>
    <w:rsid w:val="008A3028"/>
    <w:rsid w:val="008A3C3E"/>
    <w:rsid w:val="008A3C86"/>
    <w:rsid w:val="008A4043"/>
    <w:rsid w:val="008A4640"/>
    <w:rsid w:val="008A53F8"/>
    <w:rsid w:val="008A55AD"/>
    <w:rsid w:val="008A5893"/>
    <w:rsid w:val="008A59D8"/>
    <w:rsid w:val="008A619C"/>
    <w:rsid w:val="008A6558"/>
    <w:rsid w:val="008A65B0"/>
    <w:rsid w:val="008A7D9A"/>
    <w:rsid w:val="008B0178"/>
    <w:rsid w:val="008B037E"/>
    <w:rsid w:val="008B0570"/>
    <w:rsid w:val="008B1150"/>
    <w:rsid w:val="008B1971"/>
    <w:rsid w:val="008B1E99"/>
    <w:rsid w:val="008B24C1"/>
    <w:rsid w:val="008B260C"/>
    <w:rsid w:val="008B2986"/>
    <w:rsid w:val="008B3DD0"/>
    <w:rsid w:val="008B478D"/>
    <w:rsid w:val="008B5162"/>
    <w:rsid w:val="008B5A6F"/>
    <w:rsid w:val="008B7830"/>
    <w:rsid w:val="008C123D"/>
    <w:rsid w:val="008C1CD8"/>
    <w:rsid w:val="008C1D25"/>
    <w:rsid w:val="008C40FA"/>
    <w:rsid w:val="008C43A9"/>
    <w:rsid w:val="008C45BB"/>
    <w:rsid w:val="008C4BAF"/>
    <w:rsid w:val="008C6320"/>
    <w:rsid w:val="008C667B"/>
    <w:rsid w:val="008C676F"/>
    <w:rsid w:val="008C6C2B"/>
    <w:rsid w:val="008C6FC9"/>
    <w:rsid w:val="008C7387"/>
    <w:rsid w:val="008C7639"/>
    <w:rsid w:val="008C7C1D"/>
    <w:rsid w:val="008C7E5B"/>
    <w:rsid w:val="008D0898"/>
    <w:rsid w:val="008D0BB0"/>
    <w:rsid w:val="008D1A20"/>
    <w:rsid w:val="008D1ACF"/>
    <w:rsid w:val="008D257D"/>
    <w:rsid w:val="008D2BDD"/>
    <w:rsid w:val="008D2C61"/>
    <w:rsid w:val="008D2EF6"/>
    <w:rsid w:val="008D32D3"/>
    <w:rsid w:val="008D396F"/>
    <w:rsid w:val="008D3D88"/>
    <w:rsid w:val="008D4540"/>
    <w:rsid w:val="008D57E3"/>
    <w:rsid w:val="008D727C"/>
    <w:rsid w:val="008D7A75"/>
    <w:rsid w:val="008D7DDF"/>
    <w:rsid w:val="008E0E83"/>
    <w:rsid w:val="008E1466"/>
    <w:rsid w:val="008E1F48"/>
    <w:rsid w:val="008E222E"/>
    <w:rsid w:val="008E3C1A"/>
    <w:rsid w:val="008E4750"/>
    <w:rsid w:val="008E485B"/>
    <w:rsid w:val="008E4C64"/>
    <w:rsid w:val="008E6A99"/>
    <w:rsid w:val="008E7023"/>
    <w:rsid w:val="008E7131"/>
    <w:rsid w:val="008E727A"/>
    <w:rsid w:val="008E79CF"/>
    <w:rsid w:val="008F1075"/>
    <w:rsid w:val="008F1269"/>
    <w:rsid w:val="008F1A2A"/>
    <w:rsid w:val="008F1BB6"/>
    <w:rsid w:val="008F27B3"/>
    <w:rsid w:val="008F2EB1"/>
    <w:rsid w:val="008F3046"/>
    <w:rsid w:val="008F367D"/>
    <w:rsid w:val="008F3E39"/>
    <w:rsid w:val="008F45F3"/>
    <w:rsid w:val="008F510E"/>
    <w:rsid w:val="008F5389"/>
    <w:rsid w:val="008F5BC4"/>
    <w:rsid w:val="008F60C5"/>
    <w:rsid w:val="008F627E"/>
    <w:rsid w:val="008F7EEE"/>
    <w:rsid w:val="0090031E"/>
    <w:rsid w:val="00901520"/>
    <w:rsid w:val="0090447C"/>
    <w:rsid w:val="00904E09"/>
    <w:rsid w:val="00905B56"/>
    <w:rsid w:val="009062BE"/>
    <w:rsid w:val="00907F17"/>
    <w:rsid w:val="00910318"/>
    <w:rsid w:val="00910845"/>
    <w:rsid w:val="00910B17"/>
    <w:rsid w:val="00910DDD"/>
    <w:rsid w:val="0091124C"/>
    <w:rsid w:val="00911305"/>
    <w:rsid w:val="00911425"/>
    <w:rsid w:val="00912306"/>
    <w:rsid w:val="0091290B"/>
    <w:rsid w:val="00912C61"/>
    <w:rsid w:val="00913215"/>
    <w:rsid w:val="00914945"/>
    <w:rsid w:val="00915EC4"/>
    <w:rsid w:val="00916298"/>
    <w:rsid w:val="00916392"/>
    <w:rsid w:val="0091647A"/>
    <w:rsid w:val="00920774"/>
    <w:rsid w:val="00920BC6"/>
    <w:rsid w:val="009226BC"/>
    <w:rsid w:val="00922866"/>
    <w:rsid w:val="009230E3"/>
    <w:rsid w:val="0092357E"/>
    <w:rsid w:val="0092384B"/>
    <w:rsid w:val="009240F3"/>
    <w:rsid w:val="009241DF"/>
    <w:rsid w:val="0092474C"/>
    <w:rsid w:val="00924F43"/>
    <w:rsid w:val="0092508E"/>
    <w:rsid w:val="009255AF"/>
    <w:rsid w:val="00925FCF"/>
    <w:rsid w:val="009263DA"/>
    <w:rsid w:val="00926B98"/>
    <w:rsid w:val="00926EEE"/>
    <w:rsid w:val="00927F1D"/>
    <w:rsid w:val="00930453"/>
    <w:rsid w:val="009305E6"/>
    <w:rsid w:val="00930779"/>
    <w:rsid w:val="00930B46"/>
    <w:rsid w:val="0093154C"/>
    <w:rsid w:val="00931ACE"/>
    <w:rsid w:val="00931F10"/>
    <w:rsid w:val="009322E3"/>
    <w:rsid w:val="009323E3"/>
    <w:rsid w:val="00932E53"/>
    <w:rsid w:val="0093507D"/>
    <w:rsid w:val="009351FB"/>
    <w:rsid w:val="0093594C"/>
    <w:rsid w:val="00935EF8"/>
    <w:rsid w:val="00935F21"/>
    <w:rsid w:val="009368E1"/>
    <w:rsid w:val="00936974"/>
    <w:rsid w:val="00937452"/>
    <w:rsid w:val="009378DD"/>
    <w:rsid w:val="009379E7"/>
    <w:rsid w:val="00937C2A"/>
    <w:rsid w:val="0094097B"/>
    <w:rsid w:val="00941826"/>
    <w:rsid w:val="0094184C"/>
    <w:rsid w:val="00941868"/>
    <w:rsid w:val="00941E5F"/>
    <w:rsid w:val="00943048"/>
    <w:rsid w:val="0094304E"/>
    <w:rsid w:val="009439A7"/>
    <w:rsid w:val="009446FA"/>
    <w:rsid w:val="00946AA9"/>
    <w:rsid w:val="0094738E"/>
    <w:rsid w:val="0094755E"/>
    <w:rsid w:val="00950754"/>
    <w:rsid w:val="0095186B"/>
    <w:rsid w:val="00952181"/>
    <w:rsid w:val="0095333E"/>
    <w:rsid w:val="00955834"/>
    <w:rsid w:val="009563EF"/>
    <w:rsid w:val="00957BBA"/>
    <w:rsid w:val="00957E76"/>
    <w:rsid w:val="00960D28"/>
    <w:rsid w:val="00961F50"/>
    <w:rsid w:val="00961FBC"/>
    <w:rsid w:val="009625CB"/>
    <w:rsid w:val="0096290C"/>
    <w:rsid w:val="00962EB4"/>
    <w:rsid w:val="009634BD"/>
    <w:rsid w:val="00963B05"/>
    <w:rsid w:val="0096481D"/>
    <w:rsid w:val="0096491E"/>
    <w:rsid w:val="009671B2"/>
    <w:rsid w:val="009672B8"/>
    <w:rsid w:val="00967790"/>
    <w:rsid w:val="00967A2D"/>
    <w:rsid w:val="00967F23"/>
    <w:rsid w:val="00970346"/>
    <w:rsid w:val="009703D1"/>
    <w:rsid w:val="00970FA5"/>
    <w:rsid w:val="009710A7"/>
    <w:rsid w:val="009714DA"/>
    <w:rsid w:val="009719BF"/>
    <w:rsid w:val="00971E45"/>
    <w:rsid w:val="00972969"/>
    <w:rsid w:val="00972D0B"/>
    <w:rsid w:val="009730C4"/>
    <w:rsid w:val="00973DF2"/>
    <w:rsid w:val="00974839"/>
    <w:rsid w:val="00974E23"/>
    <w:rsid w:val="00974EB0"/>
    <w:rsid w:val="00975297"/>
    <w:rsid w:val="0097699D"/>
    <w:rsid w:val="009770FE"/>
    <w:rsid w:val="009777A4"/>
    <w:rsid w:val="00977B0A"/>
    <w:rsid w:val="00977B69"/>
    <w:rsid w:val="00977DEB"/>
    <w:rsid w:val="009803C9"/>
    <w:rsid w:val="00980F84"/>
    <w:rsid w:val="00980FC7"/>
    <w:rsid w:val="00982996"/>
    <w:rsid w:val="00983285"/>
    <w:rsid w:val="00983349"/>
    <w:rsid w:val="009839A8"/>
    <w:rsid w:val="00983A0C"/>
    <w:rsid w:val="00983AAA"/>
    <w:rsid w:val="00983DFB"/>
    <w:rsid w:val="009841E3"/>
    <w:rsid w:val="00984505"/>
    <w:rsid w:val="00984FA0"/>
    <w:rsid w:val="0098513A"/>
    <w:rsid w:val="009852CA"/>
    <w:rsid w:val="00986457"/>
    <w:rsid w:val="009871E5"/>
    <w:rsid w:val="009879F5"/>
    <w:rsid w:val="009900D0"/>
    <w:rsid w:val="0099090B"/>
    <w:rsid w:val="009915C8"/>
    <w:rsid w:val="00992CBA"/>
    <w:rsid w:val="00993042"/>
    <w:rsid w:val="00993044"/>
    <w:rsid w:val="009931E2"/>
    <w:rsid w:val="009933C7"/>
    <w:rsid w:val="00994635"/>
    <w:rsid w:val="00994860"/>
    <w:rsid w:val="009948E2"/>
    <w:rsid w:val="00994FC6"/>
    <w:rsid w:val="00995477"/>
    <w:rsid w:val="00995FFF"/>
    <w:rsid w:val="00996CF6"/>
    <w:rsid w:val="009977D3"/>
    <w:rsid w:val="00997B26"/>
    <w:rsid w:val="009A040A"/>
    <w:rsid w:val="009A049A"/>
    <w:rsid w:val="009A07B2"/>
    <w:rsid w:val="009A0ED7"/>
    <w:rsid w:val="009A0EE1"/>
    <w:rsid w:val="009A1BC3"/>
    <w:rsid w:val="009A1FB4"/>
    <w:rsid w:val="009A2888"/>
    <w:rsid w:val="009A4105"/>
    <w:rsid w:val="009A512A"/>
    <w:rsid w:val="009A5A8F"/>
    <w:rsid w:val="009A6F35"/>
    <w:rsid w:val="009B00F0"/>
    <w:rsid w:val="009B0453"/>
    <w:rsid w:val="009B109A"/>
    <w:rsid w:val="009B1E56"/>
    <w:rsid w:val="009B206F"/>
    <w:rsid w:val="009B25BF"/>
    <w:rsid w:val="009B2EA2"/>
    <w:rsid w:val="009B3D90"/>
    <w:rsid w:val="009B4424"/>
    <w:rsid w:val="009B4F2A"/>
    <w:rsid w:val="009B614E"/>
    <w:rsid w:val="009B6276"/>
    <w:rsid w:val="009B69AC"/>
    <w:rsid w:val="009B6A74"/>
    <w:rsid w:val="009B6CF9"/>
    <w:rsid w:val="009B6D0F"/>
    <w:rsid w:val="009C0397"/>
    <w:rsid w:val="009C0614"/>
    <w:rsid w:val="009C103F"/>
    <w:rsid w:val="009C156D"/>
    <w:rsid w:val="009C1586"/>
    <w:rsid w:val="009C16A4"/>
    <w:rsid w:val="009C1E6D"/>
    <w:rsid w:val="009C2BD0"/>
    <w:rsid w:val="009C3374"/>
    <w:rsid w:val="009C42B3"/>
    <w:rsid w:val="009C4797"/>
    <w:rsid w:val="009C4904"/>
    <w:rsid w:val="009C4C2E"/>
    <w:rsid w:val="009C5102"/>
    <w:rsid w:val="009C5533"/>
    <w:rsid w:val="009C617D"/>
    <w:rsid w:val="009C6736"/>
    <w:rsid w:val="009C7DCD"/>
    <w:rsid w:val="009D02C9"/>
    <w:rsid w:val="009D06CC"/>
    <w:rsid w:val="009D1286"/>
    <w:rsid w:val="009D145A"/>
    <w:rsid w:val="009D2101"/>
    <w:rsid w:val="009D246C"/>
    <w:rsid w:val="009D2DA4"/>
    <w:rsid w:val="009D2E18"/>
    <w:rsid w:val="009D2E9B"/>
    <w:rsid w:val="009D33F7"/>
    <w:rsid w:val="009D3974"/>
    <w:rsid w:val="009D4068"/>
    <w:rsid w:val="009D5FF4"/>
    <w:rsid w:val="009D655F"/>
    <w:rsid w:val="009D65B0"/>
    <w:rsid w:val="009D71E0"/>
    <w:rsid w:val="009D76FE"/>
    <w:rsid w:val="009D7AB5"/>
    <w:rsid w:val="009D7F18"/>
    <w:rsid w:val="009E0007"/>
    <w:rsid w:val="009E10AB"/>
    <w:rsid w:val="009E12C6"/>
    <w:rsid w:val="009E17BB"/>
    <w:rsid w:val="009E1931"/>
    <w:rsid w:val="009E2376"/>
    <w:rsid w:val="009E2688"/>
    <w:rsid w:val="009E2DA2"/>
    <w:rsid w:val="009E31D1"/>
    <w:rsid w:val="009E3C10"/>
    <w:rsid w:val="009E4191"/>
    <w:rsid w:val="009E4344"/>
    <w:rsid w:val="009E5FDA"/>
    <w:rsid w:val="009E6FB4"/>
    <w:rsid w:val="009E7EBB"/>
    <w:rsid w:val="009F018C"/>
    <w:rsid w:val="009F05C7"/>
    <w:rsid w:val="009F07F9"/>
    <w:rsid w:val="009F0868"/>
    <w:rsid w:val="009F159C"/>
    <w:rsid w:val="009F1F6F"/>
    <w:rsid w:val="009F32C2"/>
    <w:rsid w:val="009F3D59"/>
    <w:rsid w:val="009F4250"/>
    <w:rsid w:val="009F4C5E"/>
    <w:rsid w:val="009F5010"/>
    <w:rsid w:val="009F501B"/>
    <w:rsid w:val="009F5F32"/>
    <w:rsid w:val="009F60CF"/>
    <w:rsid w:val="009F60D0"/>
    <w:rsid w:val="009F6D0C"/>
    <w:rsid w:val="009F7612"/>
    <w:rsid w:val="009F7B41"/>
    <w:rsid w:val="00A00373"/>
    <w:rsid w:val="00A0044B"/>
    <w:rsid w:val="00A013C7"/>
    <w:rsid w:val="00A02CCC"/>
    <w:rsid w:val="00A03045"/>
    <w:rsid w:val="00A0329E"/>
    <w:rsid w:val="00A035C9"/>
    <w:rsid w:val="00A03908"/>
    <w:rsid w:val="00A03C69"/>
    <w:rsid w:val="00A03D49"/>
    <w:rsid w:val="00A04312"/>
    <w:rsid w:val="00A047B4"/>
    <w:rsid w:val="00A04C67"/>
    <w:rsid w:val="00A05759"/>
    <w:rsid w:val="00A0593C"/>
    <w:rsid w:val="00A05CE3"/>
    <w:rsid w:val="00A06596"/>
    <w:rsid w:val="00A067F8"/>
    <w:rsid w:val="00A06A64"/>
    <w:rsid w:val="00A07098"/>
    <w:rsid w:val="00A10853"/>
    <w:rsid w:val="00A11794"/>
    <w:rsid w:val="00A11E63"/>
    <w:rsid w:val="00A1202B"/>
    <w:rsid w:val="00A12091"/>
    <w:rsid w:val="00A120DC"/>
    <w:rsid w:val="00A1335E"/>
    <w:rsid w:val="00A1388C"/>
    <w:rsid w:val="00A13B91"/>
    <w:rsid w:val="00A13BA5"/>
    <w:rsid w:val="00A13F49"/>
    <w:rsid w:val="00A141C5"/>
    <w:rsid w:val="00A14E4D"/>
    <w:rsid w:val="00A15078"/>
    <w:rsid w:val="00A16298"/>
    <w:rsid w:val="00A16478"/>
    <w:rsid w:val="00A16504"/>
    <w:rsid w:val="00A16D42"/>
    <w:rsid w:val="00A17710"/>
    <w:rsid w:val="00A2049B"/>
    <w:rsid w:val="00A2075F"/>
    <w:rsid w:val="00A213BE"/>
    <w:rsid w:val="00A21472"/>
    <w:rsid w:val="00A215B7"/>
    <w:rsid w:val="00A225D6"/>
    <w:rsid w:val="00A22C2A"/>
    <w:rsid w:val="00A22FA8"/>
    <w:rsid w:val="00A237D9"/>
    <w:rsid w:val="00A23DB2"/>
    <w:rsid w:val="00A24041"/>
    <w:rsid w:val="00A24F63"/>
    <w:rsid w:val="00A25358"/>
    <w:rsid w:val="00A25E52"/>
    <w:rsid w:val="00A26990"/>
    <w:rsid w:val="00A26CCA"/>
    <w:rsid w:val="00A27139"/>
    <w:rsid w:val="00A30ECB"/>
    <w:rsid w:val="00A31871"/>
    <w:rsid w:val="00A319CE"/>
    <w:rsid w:val="00A31DD4"/>
    <w:rsid w:val="00A31FF3"/>
    <w:rsid w:val="00A32ABE"/>
    <w:rsid w:val="00A32CA7"/>
    <w:rsid w:val="00A33D46"/>
    <w:rsid w:val="00A35025"/>
    <w:rsid w:val="00A35781"/>
    <w:rsid w:val="00A35ACD"/>
    <w:rsid w:val="00A35EA6"/>
    <w:rsid w:val="00A36196"/>
    <w:rsid w:val="00A36B25"/>
    <w:rsid w:val="00A36FA3"/>
    <w:rsid w:val="00A3702D"/>
    <w:rsid w:val="00A3775E"/>
    <w:rsid w:val="00A37899"/>
    <w:rsid w:val="00A402EC"/>
    <w:rsid w:val="00A4050D"/>
    <w:rsid w:val="00A4074B"/>
    <w:rsid w:val="00A415A3"/>
    <w:rsid w:val="00A420F6"/>
    <w:rsid w:val="00A4223F"/>
    <w:rsid w:val="00A42880"/>
    <w:rsid w:val="00A42ECB"/>
    <w:rsid w:val="00A4346A"/>
    <w:rsid w:val="00A434C7"/>
    <w:rsid w:val="00A44222"/>
    <w:rsid w:val="00A4495C"/>
    <w:rsid w:val="00A44B2E"/>
    <w:rsid w:val="00A45010"/>
    <w:rsid w:val="00A45364"/>
    <w:rsid w:val="00A47178"/>
    <w:rsid w:val="00A502BA"/>
    <w:rsid w:val="00A50391"/>
    <w:rsid w:val="00A50CB9"/>
    <w:rsid w:val="00A51A87"/>
    <w:rsid w:val="00A51BB0"/>
    <w:rsid w:val="00A5379C"/>
    <w:rsid w:val="00A539D3"/>
    <w:rsid w:val="00A54022"/>
    <w:rsid w:val="00A54189"/>
    <w:rsid w:val="00A54BD1"/>
    <w:rsid w:val="00A567ED"/>
    <w:rsid w:val="00A5682A"/>
    <w:rsid w:val="00A57167"/>
    <w:rsid w:val="00A57184"/>
    <w:rsid w:val="00A57820"/>
    <w:rsid w:val="00A6018E"/>
    <w:rsid w:val="00A60BF2"/>
    <w:rsid w:val="00A6110E"/>
    <w:rsid w:val="00A61699"/>
    <w:rsid w:val="00A61825"/>
    <w:rsid w:val="00A619B4"/>
    <w:rsid w:val="00A626FA"/>
    <w:rsid w:val="00A62D4A"/>
    <w:rsid w:val="00A62ED1"/>
    <w:rsid w:val="00A6378D"/>
    <w:rsid w:val="00A63AC7"/>
    <w:rsid w:val="00A64152"/>
    <w:rsid w:val="00A64814"/>
    <w:rsid w:val="00A64A7B"/>
    <w:rsid w:val="00A65D67"/>
    <w:rsid w:val="00A65F69"/>
    <w:rsid w:val="00A6618D"/>
    <w:rsid w:val="00A6685F"/>
    <w:rsid w:val="00A66C1A"/>
    <w:rsid w:val="00A67655"/>
    <w:rsid w:val="00A70312"/>
    <w:rsid w:val="00A70338"/>
    <w:rsid w:val="00A709AA"/>
    <w:rsid w:val="00A70AE4"/>
    <w:rsid w:val="00A70DDC"/>
    <w:rsid w:val="00A7102E"/>
    <w:rsid w:val="00A7112F"/>
    <w:rsid w:val="00A71A65"/>
    <w:rsid w:val="00A734FA"/>
    <w:rsid w:val="00A73626"/>
    <w:rsid w:val="00A7376D"/>
    <w:rsid w:val="00A738C4"/>
    <w:rsid w:val="00A74FB6"/>
    <w:rsid w:val="00A75182"/>
    <w:rsid w:val="00A75725"/>
    <w:rsid w:val="00A75A79"/>
    <w:rsid w:val="00A75AEA"/>
    <w:rsid w:val="00A75C39"/>
    <w:rsid w:val="00A762B7"/>
    <w:rsid w:val="00A765F1"/>
    <w:rsid w:val="00A76B1B"/>
    <w:rsid w:val="00A76B65"/>
    <w:rsid w:val="00A77427"/>
    <w:rsid w:val="00A824A2"/>
    <w:rsid w:val="00A8384D"/>
    <w:rsid w:val="00A83AD4"/>
    <w:rsid w:val="00A83D92"/>
    <w:rsid w:val="00A83FAE"/>
    <w:rsid w:val="00A8410F"/>
    <w:rsid w:val="00A84E44"/>
    <w:rsid w:val="00A84EEF"/>
    <w:rsid w:val="00A8559F"/>
    <w:rsid w:val="00A8564A"/>
    <w:rsid w:val="00A85912"/>
    <w:rsid w:val="00A875A3"/>
    <w:rsid w:val="00A87A31"/>
    <w:rsid w:val="00A9035D"/>
    <w:rsid w:val="00A904D8"/>
    <w:rsid w:val="00A9060D"/>
    <w:rsid w:val="00A90833"/>
    <w:rsid w:val="00A90F1C"/>
    <w:rsid w:val="00A912E5"/>
    <w:rsid w:val="00A92222"/>
    <w:rsid w:val="00A92270"/>
    <w:rsid w:val="00A925EA"/>
    <w:rsid w:val="00A949B5"/>
    <w:rsid w:val="00A94E19"/>
    <w:rsid w:val="00A95021"/>
    <w:rsid w:val="00A95417"/>
    <w:rsid w:val="00A95BAC"/>
    <w:rsid w:val="00A95F48"/>
    <w:rsid w:val="00A960EC"/>
    <w:rsid w:val="00A9751A"/>
    <w:rsid w:val="00A97A52"/>
    <w:rsid w:val="00AA071B"/>
    <w:rsid w:val="00AA1240"/>
    <w:rsid w:val="00AA24E7"/>
    <w:rsid w:val="00AA270F"/>
    <w:rsid w:val="00AA2972"/>
    <w:rsid w:val="00AA2EBA"/>
    <w:rsid w:val="00AA3E89"/>
    <w:rsid w:val="00AA4310"/>
    <w:rsid w:val="00AA4F4D"/>
    <w:rsid w:val="00AA51FF"/>
    <w:rsid w:val="00AA6519"/>
    <w:rsid w:val="00AA6D52"/>
    <w:rsid w:val="00AA6EB7"/>
    <w:rsid w:val="00AA7594"/>
    <w:rsid w:val="00AB063A"/>
    <w:rsid w:val="00AB1455"/>
    <w:rsid w:val="00AB1AA6"/>
    <w:rsid w:val="00AB24C8"/>
    <w:rsid w:val="00AB2D34"/>
    <w:rsid w:val="00AB306E"/>
    <w:rsid w:val="00AB515C"/>
    <w:rsid w:val="00AB53AC"/>
    <w:rsid w:val="00AB5983"/>
    <w:rsid w:val="00AB5E9B"/>
    <w:rsid w:val="00AB6F00"/>
    <w:rsid w:val="00AC0594"/>
    <w:rsid w:val="00AC071E"/>
    <w:rsid w:val="00AC09AA"/>
    <w:rsid w:val="00AC1364"/>
    <w:rsid w:val="00AC19A6"/>
    <w:rsid w:val="00AC262D"/>
    <w:rsid w:val="00AC2A35"/>
    <w:rsid w:val="00AC2A86"/>
    <w:rsid w:val="00AC3A5E"/>
    <w:rsid w:val="00AC3BFA"/>
    <w:rsid w:val="00AC3E99"/>
    <w:rsid w:val="00AC3F92"/>
    <w:rsid w:val="00AC41EF"/>
    <w:rsid w:val="00AC493A"/>
    <w:rsid w:val="00AC4A33"/>
    <w:rsid w:val="00AC556C"/>
    <w:rsid w:val="00AC562A"/>
    <w:rsid w:val="00AC5667"/>
    <w:rsid w:val="00AC6388"/>
    <w:rsid w:val="00AD0A3F"/>
    <w:rsid w:val="00AD1182"/>
    <w:rsid w:val="00AD15FD"/>
    <w:rsid w:val="00AD165C"/>
    <w:rsid w:val="00AD3195"/>
    <w:rsid w:val="00AD3902"/>
    <w:rsid w:val="00AD3BF3"/>
    <w:rsid w:val="00AD4CE8"/>
    <w:rsid w:val="00AD571D"/>
    <w:rsid w:val="00AD5F67"/>
    <w:rsid w:val="00AD7193"/>
    <w:rsid w:val="00AD782E"/>
    <w:rsid w:val="00AE074A"/>
    <w:rsid w:val="00AE1BE5"/>
    <w:rsid w:val="00AE21B3"/>
    <w:rsid w:val="00AE2526"/>
    <w:rsid w:val="00AE25C3"/>
    <w:rsid w:val="00AE3897"/>
    <w:rsid w:val="00AE46B3"/>
    <w:rsid w:val="00AE5B2E"/>
    <w:rsid w:val="00AE6D08"/>
    <w:rsid w:val="00AE6F5D"/>
    <w:rsid w:val="00AE6FC6"/>
    <w:rsid w:val="00AE783B"/>
    <w:rsid w:val="00AE7AA6"/>
    <w:rsid w:val="00AF02D5"/>
    <w:rsid w:val="00AF0850"/>
    <w:rsid w:val="00AF17C3"/>
    <w:rsid w:val="00AF1E31"/>
    <w:rsid w:val="00AF2318"/>
    <w:rsid w:val="00AF269E"/>
    <w:rsid w:val="00AF3695"/>
    <w:rsid w:val="00AF3FD2"/>
    <w:rsid w:val="00AF405A"/>
    <w:rsid w:val="00AF6AE8"/>
    <w:rsid w:val="00AF6D8C"/>
    <w:rsid w:val="00B0087B"/>
    <w:rsid w:val="00B01D8D"/>
    <w:rsid w:val="00B021A6"/>
    <w:rsid w:val="00B02801"/>
    <w:rsid w:val="00B036B8"/>
    <w:rsid w:val="00B03EED"/>
    <w:rsid w:val="00B04512"/>
    <w:rsid w:val="00B045A3"/>
    <w:rsid w:val="00B04AD9"/>
    <w:rsid w:val="00B05D96"/>
    <w:rsid w:val="00B07029"/>
    <w:rsid w:val="00B07749"/>
    <w:rsid w:val="00B07903"/>
    <w:rsid w:val="00B0799C"/>
    <w:rsid w:val="00B102D1"/>
    <w:rsid w:val="00B10898"/>
    <w:rsid w:val="00B11086"/>
    <w:rsid w:val="00B1219C"/>
    <w:rsid w:val="00B12307"/>
    <w:rsid w:val="00B12E1F"/>
    <w:rsid w:val="00B13363"/>
    <w:rsid w:val="00B13973"/>
    <w:rsid w:val="00B13C69"/>
    <w:rsid w:val="00B144F7"/>
    <w:rsid w:val="00B14769"/>
    <w:rsid w:val="00B14B5D"/>
    <w:rsid w:val="00B154E8"/>
    <w:rsid w:val="00B1550E"/>
    <w:rsid w:val="00B1686D"/>
    <w:rsid w:val="00B17199"/>
    <w:rsid w:val="00B171DA"/>
    <w:rsid w:val="00B1739F"/>
    <w:rsid w:val="00B176B1"/>
    <w:rsid w:val="00B17DA9"/>
    <w:rsid w:val="00B20164"/>
    <w:rsid w:val="00B2027B"/>
    <w:rsid w:val="00B20B2C"/>
    <w:rsid w:val="00B20D36"/>
    <w:rsid w:val="00B211E1"/>
    <w:rsid w:val="00B21367"/>
    <w:rsid w:val="00B21EC0"/>
    <w:rsid w:val="00B230F3"/>
    <w:rsid w:val="00B24F86"/>
    <w:rsid w:val="00B24FF4"/>
    <w:rsid w:val="00B2612C"/>
    <w:rsid w:val="00B2646C"/>
    <w:rsid w:val="00B269B1"/>
    <w:rsid w:val="00B273F8"/>
    <w:rsid w:val="00B27F3D"/>
    <w:rsid w:val="00B300A1"/>
    <w:rsid w:val="00B30119"/>
    <w:rsid w:val="00B308D9"/>
    <w:rsid w:val="00B3249D"/>
    <w:rsid w:val="00B326B4"/>
    <w:rsid w:val="00B33C9B"/>
    <w:rsid w:val="00B341F4"/>
    <w:rsid w:val="00B344ED"/>
    <w:rsid w:val="00B34F0A"/>
    <w:rsid w:val="00B3525E"/>
    <w:rsid w:val="00B35AE2"/>
    <w:rsid w:val="00B35D76"/>
    <w:rsid w:val="00B36449"/>
    <w:rsid w:val="00B37718"/>
    <w:rsid w:val="00B37992"/>
    <w:rsid w:val="00B37ACD"/>
    <w:rsid w:val="00B37DB5"/>
    <w:rsid w:val="00B40B9F"/>
    <w:rsid w:val="00B41950"/>
    <w:rsid w:val="00B41A6A"/>
    <w:rsid w:val="00B426BD"/>
    <w:rsid w:val="00B426F0"/>
    <w:rsid w:val="00B42992"/>
    <w:rsid w:val="00B429EB"/>
    <w:rsid w:val="00B43B7C"/>
    <w:rsid w:val="00B44314"/>
    <w:rsid w:val="00B446CB"/>
    <w:rsid w:val="00B44AC4"/>
    <w:rsid w:val="00B456F8"/>
    <w:rsid w:val="00B46084"/>
    <w:rsid w:val="00B47910"/>
    <w:rsid w:val="00B50A09"/>
    <w:rsid w:val="00B50E1C"/>
    <w:rsid w:val="00B50F14"/>
    <w:rsid w:val="00B51F02"/>
    <w:rsid w:val="00B5263E"/>
    <w:rsid w:val="00B52B45"/>
    <w:rsid w:val="00B52DD9"/>
    <w:rsid w:val="00B52DEF"/>
    <w:rsid w:val="00B52FB3"/>
    <w:rsid w:val="00B53D82"/>
    <w:rsid w:val="00B53EAE"/>
    <w:rsid w:val="00B54380"/>
    <w:rsid w:val="00B548D8"/>
    <w:rsid w:val="00B54F9B"/>
    <w:rsid w:val="00B55C96"/>
    <w:rsid w:val="00B55FB8"/>
    <w:rsid w:val="00B560B3"/>
    <w:rsid w:val="00B56854"/>
    <w:rsid w:val="00B56BB4"/>
    <w:rsid w:val="00B56DB9"/>
    <w:rsid w:val="00B56DFB"/>
    <w:rsid w:val="00B57301"/>
    <w:rsid w:val="00B57C0E"/>
    <w:rsid w:val="00B57FB9"/>
    <w:rsid w:val="00B6008F"/>
    <w:rsid w:val="00B60CE3"/>
    <w:rsid w:val="00B60E8C"/>
    <w:rsid w:val="00B617F6"/>
    <w:rsid w:val="00B6181B"/>
    <w:rsid w:val="00B62BCC"/>
    <w:rsid w:val="00B62CFF"/>
    <w:rsid w:val="00B63314"/>
    <w:rsid w:val="00B6360E"/>
    <w:rsid w:val="00B63AD2"/>
    <w:rsid w:val="00B63B1D"/>
    <w:rsid w:val="00B63CC3"/>
    <w:rsid w:val="00B64FC8"/>
    <w:rsid w:val="00B650B2"/>
    <w:rsid w:val="00B65B2B"/>
    <w:rsid w:val="00B65E0C"/>
    <w:rsid w:val="00B66393"/>
    <w:rsid w:val="00B6648D"/>
    <w:rsid w:val="00B678DB"/>
    <w:rsid w:val="00B67F2A"/>
    <w:rsid w:val="00B70D1F"/>
    <w:rsid w:val="00B7110F"/>
    <w:rsid w:val="00B716F8"/>
    <w:rsid w:val="00B73531"/>
    <w:rsid w:val="00B7358C"/>
    <w:rsid w:val="00B74626"/>
    <w:rsid w:val="00B75370"/>
    <w:rsid w:val="00B753D4"/>
    <w:rsid w:val="00B75F0B"/>
    <w:rsid w:val="00B7616C"/>
    <w:rsid w:val="00B77251"/>
    <w:rsid w:val="00B776F4"/>
    <w:rsid w:val="00B77933"/>
    <w:rsid w:val="00B77CBC"/>
    <w:rsid w:val="00B80D50"/>
    <w:rsid w:val="00B81231"/>
    <w:rsid w:val="00B81262"/>
    <w:rsid w:val="00B81A47"/>
    <w:rsid w:val="00B81AEC"/>
    <w:rsid w:val="00B8232F"/>
    <w:rsid w:val="00B82F65"/>
    <w:rsid w:val="00B83F54"/>
    <w:rsid w:val="00B84B2A"/>
    <w:rsid w:val="00B84EA3"/>
    <w:rsid w:val="00B85E33"/>
    <w:rsid w:val="00B86067"/>
    <w:rsid w:val="00B8662C"/>
    <w:rsid w:val="00B8778F"/>
    <w:rsid w:val="00B878E8"/>
    <w:rsid w:val="00B87D1F"/>
    <w:rsid w:val="00B915D5"/>
    <w:rsid w:val="00B91D9F"/>
    <w:rsid w:val="00B924CF"/>
    <w:rsid w:val="00B92689"/>
    <w:rsid w:val="00B92EFA"/>
    <w:rsid w:val="00B932CD"/>
    <w:rsid w:val="00B93406"/>
    <w:rsid w:val="00B9397D"/>
    <w:rsid w:val="00B93A0D"/>
    <w:rsid w:val="00B93D9F"/>
    <w:rsid w:val="00B93F8F"/>
    <w:rsid w:val="00B943DC"/>
    <w:rsid w:val="00B94BAD"/>
    <w:rsid w:val="00B94ED0"/>
    <w:rsid w:val="00B950CE"/>
    <w:rsid w:val="00B96D7F"/>
    <w:rsid w:val="00B97272"/>
    <w:rsid w:val="00BA080C"/>
    <w:rsid w:val="00BA1747"/>
    <w:rsid w:val="00BA18AE"/>
    <w:rsid w:val="00BA2602"/>
    <w:rsid w:val="00BA2993"/>
    <w:rsid w:val="00BA3485"/>
    <w:rsid w:val="00BA3B0B"/>
    <w:rsid w:val="00BA41A2"/>
    <w:rsid w:val="00BA4E33"/>
    <w:rsid w:val="00BA7378"/>
    <w:rsid w:val="00BA794A"/>
    <w:rsid w:val="00BA7D2A"/>
    <w:rsid w:val="00BB2810"/>
    <w:rsid w:val="00BB2ABB"/>
    <w:rsid w:val="00BB2B82"/>
    <w:rsid w:val="00BB2CC4"/>
    <w:rsid w:val="00BB3301"/>
    <w:rsid w:val="00BB3A8B"/>
    <w:rsid w:val="00BB3FFD"/>
    <w:rsid w:val="00BB50A0"/>
    <w:rsid w:val="00BB54F5"/>
    <w:rsid w:val="00BB5615"/>
    <w:rsid w:val="00BB57ED"/>
    <w:rsid w:val="00BB5BB2"/>
    <w:rsid w:val="00BB60B2"/>
    <w:rsid w:val="00BB6698"/>
    <w:rsid w:val="00BB67A8"/>
    <w:rsid w:val="00BB7A8F"/>
    <w:rsid w:val="00BB7B14"/>
    <w:rsid w:val="00BC04C4"/>
    <w:rsid w:val="00BC05D4"/>
    <w:rsid w:val="00BC0E7B"/>
    <w:rsid w:val="00BC0FD4"/>
    <w:rsid w:val="00BC18AB"/>
    <w:rsid w:val="00BC1F0E"/>
    <w:rsid w:val="00BC2125"/>
    <w:rsid w:val="00BC3D58"/>
    <w:rsid w:val="00BC3ECD"/>
    <w:rsid w:val="00BC4136"/>
    <w:rsid w:val="00BC4216"/>
    <w:rsid w:val="00BC4643"/>
    <w:rsid w:val="00BC5140"/>
    <w:rsid w:val="00BC6095"/>
    <w:rsid w:val="00BC6158"/>
    <w:rsid w:val="00BC62FC"/>
    <w:rsid w:val="00BC63B0"/>
    <w:rsid w:val="00BC6593"/>
    <w:rsid w:val="00BC6901"/>
    <w:rsid w:val="00BC7176"/>
    <w:rsid w:val="00BC7478"/>
    <w:rsid w:val="00BC74EE"/>
    <w:rsid w:val="00BC7ADC"/>
    <w:rsid w:val="00BD0670"/>
    <w:rsid w:val="00BD079A"/>
    <w:rsid w:val="00BD0884"/>
    <w:rsid w:val="00BD0999"/>
    <w:rsid w:val="00BD0AAB"/>
    <w:rsid w:val="00BD27A2"/>
    <w:rsid w:val="00BD3C64"/>
    <w:rsid w:val="00BD3CAC"/>
    <w:rsid w:val="00BD44CF"/>
    <w:rsid w:val="00BD48C7"/>
    <w:rsid w:val="00BD49BE"/>
    <w:rsid w:val="00BD4BE3"/>
    <w:rsid w:val="00BD4E5E"/>
    <w:rsid w:val="00BD4F70"/>
    <w:rsid w:val="00BD5AD7"/>
    <w:rsid w:val="00BD5B0D"/>
    <w:rsid w:val="00BD5E6C"/>
    <w:rsid w:val="00BD614B"/>
    <w:rsid w:val="00BD6185"/>
    <w:rsid w:val="00BD7E5C"/>
    <w:rsid w:val="00BE070D"/>
    <w:rsid w:val="00BE0D92"/>
    <w:rsid w:val="00BE1DFB"/>
    <w:rsid w:val="00BE21E4"/>
    <w:rsid w:val="00BE21E9"/>
    <w:rsid w:val="00BE21F3"/>
    <w:rsid w:val="00BE25E0"/>
    <w:rsid w:val="00BE2BA3"/>
    <w:rsid w:val="00BE2E49"/>
    <w:rsid w:val="00BE3189"/>
    <w:rsid w:val="00BE330A"/>
    <w:rsid w:val="00BE492A"/>
    <w:rsid w:val="00BE4C56"/>
    <w:rsid w:val="00BE5243"/>
    <w:rsid w:val="00BE55AF"/>
    <w:rsid w:val="00BE6A13"/>
    <w:rsid w:val="00BE6B41"/>
    <w:rsid w:val="00BE73AE"/>
    <w:rsid w:val="00BE7C3D"/>
    <w:rsid w:val="00BE7CCE"/>
    <w:rsid w:val="00BF00C7"/>
    <w:rsid w:val="00BF2882"/>
    <w:rsid w:val="00BF28C0"/>
    <w:rsid w:val="00BF2F86"/>
    <w:rsid w:val="00BF39AF"/>
    <w:rsid w:val="00BF3CCF"/>
    <w:rsid w:val="00BF682D"/>
    <w:rsid w:val="00BF6CB0"/>
    <w:rsid w:val="00BF78FD"/>
    <w:rsid w:val="00C0001C"/>
    <w:rsid w:val="00C00036"/>
    <w:rsid w:val="00C0008E"/>
    <w:rsid w:val="00C00E5B"/>
    <w:rsid w:val="00C014A8"/>
    <w:rsid w:val="00C016EC"/>
    <w:rsid w:val="00C02541"/>
    <w:rsid w:val="00C026C6"/>
    <w:rsid w:val="00C02D13"/>
    <w:rsid w:val="00C03281"/>
    <w:rsid w:val="00C035A8"/>
    <w:rsid w:val="00C03AE2"/>
    <w:rsid w:val="00C03F5A"/>
    <w:rsid w:val="00C04396"/>
    <w:rsid w:val="00C04486"/>
    <w:rsid w:val="00C046BE"/>
    <w:rsid w:val="00C04CD5"/>
    <w:rsid w:val="00C04DB6"/>
    <w:rsid w:val="00C055EA"/>
    <w:rsid w:val="00C05A41"/>
    <w:rsid w:val="00C10401"/>
    <w:rsid w:val="00C10E08"/>
    <w:rsid w:val="00C1165D"/>
    <w:rsid w:val="00C11958"/>
    <w:rsid w:val="00C11E26"/>
    <w:rsid w:val="00C11EDE"/>
    <w:rsid w:val="00C122DC"/>
    <w:rsid w:val="00C124CB"/>
    <w:rsid w:val="00C1296A"/>
    <w:rsid w:val="00C12DAB"/>
    <w:rsid w:val="00C13B63"/>
    <w:rsid w:val="00C13DD8"/>
    <w:rsid w:val="00C13F96"/>
    <w:rsid w:val="00C14B81"/>
    <w:rsid w:val="00C14DA4"/>
    <w:rsid w:val="00C15793"/>
    <w:rsid w:val="00C15B71"/>
    <w:rsid w:val="00C15BA0"/>
    <w:rsid w:val="00C15D22"/>
    <w:rsid w:val="00C165F1"/>
    <w:rsid w:val="00C176CF"/>
    <w:rsid w:val="00C203FD"/>
    <w:rsid w:val="00C20C00"/>
    <w:rsid w:val="00C211E2"/>
    <w:rsid w:val="00C22251"/>
    <w:rsid w:val="00C22562"/>
    <w:rsid w:val="00C22AE4"/>
    <w:rsid w:val="00C23168"/>
    <w:rsid w:val="00C232E9"/>
    <w:rsid w:val="00C2381B"/>
    <w:rsid w:val="00C240B9"/>
    <w:rsid w:val="00C2647F"/>
    <w:rsid w:val="00C2651C"/>
    <w:rsid w:val="00C27533"/>
    <w:rsid w:val="00C27611"/>
    <w:rsid w:val="00C27724"/>
    <w:rsid w:val="00C30202"/>
    <w:rsid w:val="00C309CB"/>
    <w:rsid w:val="00C3162C"/>
    <w:rsid w:val="00C31AE2"/>
    <w:rsid w:val="00C32590"/>
    <w:rsid w:val="00C3304F"/>
    <w:rsid w:val="00C3311A"/>
    <w:rsid w:val="00C33936"/>
    <w:rsid w:val="00C342D5"/>
    <w:rsid w:val="00C35694"/>
    <w:rsid w:val="00C36218"/>
    <w:rsid w:val="00C37183"/>
    <w:rsid w:val="00C40096"/>
    <w:rsid w:val="00C4026E"/>
    <w:rsid w:val="00C403B3"/>
    <w:rsid w:val="00C41086"/>
    <w:rsid w:val="00C414E0"/>
    <w:rsid w:val="00C4151E"/>
    <w:rsid w:val="00C41C9C"/>
    <w:rsid w:val="00C42750"/>
    <w:rsid w:val="00C42756"/>
    <w:rsid w:val="00C4289D"/>
    <w:rsid w:val="00C42B6F"/>
    <w:rsid w:val="00C4317B"/>
    <w:rsid w:val="00C43B78"/>
    <w:rsid w:val="00C43CC6"/>
    <w:rsid w:val="00C445FB"/>
    <w:rsid w:val="00C4466F"/>
    <w:rsid w:val="00C4496F"/>
    <w:rsid w:val="00C45074"/>
    <w:rsid w:val="00C45091"/>
    <w:rsid w:val="00C450C0"/>
    <w:rsid w:val="00C4517A"/>
    <w:rsid w:val="00C458ED"/>
    <w:rsid w:val="00C47965"/>
    <w:rsid w:val="00C50D3A"/>
    <w:rsid w:val="00C50D42"/>
    <w:rsid w:val="00C50EDC"/>
    <w:rsid w:val="00C519A9"/>
    <w:rsid w:val="00C51D9C"/>
    <w:rsid w:val="00C5301C"/>
    <w:rsid w:val="00C535BF"/>
    <w:rsid w:val="00C54EE0"/>
    <w:rsid w:val="00C553D0"/>
    <w:rsid w:val="00C60915"/>
    <w:rsid w:val="00C60EB1"/>
    <w:rsid w:val="00C61F32"/>
    <w:rsid w:val="00C6220C"/>
    <w:rsid w:val="00C623BE"/>
    <w:rsid w:val="00C62DFE"/>
    <w:rsid w:val="00C62FAD"/>
    <w:rsid w:val="00C63734"/>
    <w:rsid w:val="00C63984"/>
    <w:rsid w:val="00C63C49"/>
    <w:rsid w:val="00C63E25"/>
    <w:rsid w:val="00C64583"/>
    <w:rsid w:val="00C6458C"/>
    <w:rsid w:val="00C645BC"/>
    <w:rsid w:val="00C651D5"/>
    <w:rsid w:val="00C653B6"/>
    <w:rsid w:val="00C65C04"/>
    <w:rsid w:val="00C66E14"/>
    <w:rsid w:val="00C67216"/>
    <w:rsid w:val="00C67361"/>
    <w:rsid w:val="00C67906"/>
    <w:rsid w:val="00C67F17"/>
    <w:rsid w:val="00C70BDC"/>
    <w:rsid w:val="00C70D1D"/>
    <w:rsid w:val="00C70D81"/>
    <w:rsid w:val="00C7232F"/>
    <w:rsid w:val="00C7263D"/>
    <w:rsid w:val="00C7475F"/>
    <w:rsid w:val="00C75117"/>
    <w:rsid w:val="00C759E5"/>
    <w:rsid w:val="00C75DD2"/>
    <w:rsid w:val="00C76C67"/>
    <w:rsid w:val="00C7703E"/>
    <w:rsid w:val="00C7726E"/>
    <w:rsid w:val="00C77D85"/>
    <w:rsid w:val="00C800F1"/>
    <w:rsid w:val="00C802DB"/>
    <w:rsid w:val="00C8165F"/>
    <w:rsid w:val="00C8235E"/>
    <w:rsid w:val="00C83256"/>
    <w:rsid w:val="00C83FFD"/>
    <w:rsid w:val="00C851C2"/>
    <w:rsid w:val="00C858F7"/>
    <w:rsid w:val="00C85BF0"/>
    <w:rsid w:val="00C86198"/>
    <w:rsid w:val="00C86550"/>
    <w:rsid w:val="00C8726C"/>
    <w:rsid w:val="00C872A0"/>
    <w:rsid w:val="00C87503"/>
    <w:rsid w:val="00C9032B"/>
    <w:rsid w:val="00C90390"/>
    <w:rsid w:val="00C90B59"/>
    <w:rsid w:val="00C91057"/>
    <w:rsid w:val="00C910A9"/>
    <w:rsid w:val="00C919FA"/>
    <w:rsid w:val="00C923E5"/>
    <w:rsid w:val="00C9252D"/>
    <w:rsid w:val="00C92936"/>
    <w:rsid w:val="00C92BFD"/>
    <w:rsid w:val="00C931AB"/>
    <w:rsid w:val="00C93319"/>
    <w:rsid w:val="00C9333A"/>
    <w:rsid w:val="00C93E79"/>
    <w:rsid w:val="00C951B4"/>
    <w:rsid w:val="00C951EC"/>
    <w:rsid w:val="00C95F3B"/>
    <w:rsid w:val="00C96128"/>
    <w:rsid w:val="00C96391"/>
    <w:rsid w:val="00C9713C"/>
    <w:rsid w:val="00C9716C"/>
    <w:rsid w:val="00C97882"/>
    <w:rsid w:val="00C97A91"/>
    <w:rsid w:val="00C97F59"/>
    <w:rsid w:val="00CA034C"/>
    <w:rsid w:val="00CA0494"/>
    <w:rsid w:val="00CA0EC5"/>
    <w:rsid w:val="00CA1AB2"/>
    <w:rsid w:val="00CA2200"/>
    <w:rsid w:val="00CA2EBA"/>
    <w:rsid w:val="00CA5CB3"/>
    <w:rsid w:val="00CA6198"/>
    <w:rsid w:val="00CA7B1B"/>
    <w:rsid w:val="00CB0995"/>
    <w:rsid w:val="00CB11FE"/>
    <w:rsid w:val="00CB19AD"/>
    <w:rsid w:val="00CB1FE2"/>
    <w:rsid w:val="00CB20CA"/>
    <w:rsid w:val="00CB20D9"/>
    <w:rsid w:val="00CB28C4"/>
    <w:rsid w:val="00CB2A99"/>
    <w:rsid w:val="00CB4208"/>
    <w:rsid w:val="00CB45C8"/>
    <w:rsid w:val="00CB5BCC"/>
    <w:rsid w:val="00CB5DB1"/>
    <w:rsid w:val="00CB6562"/>
    <w:rsid w:val="00CB667C"/>
    <w:rsid w:val="00CB6D31"/>
    <w:rsid w:val="00CB7CC8"/>
    <w:rsid w:val="00CC277D"/>
    <w:rsid w:val="00CC28F5"/>
    <w:rsid w:val="00CC2A05"/>
    <w:rsid w:val="00CC2DDE"/>
    <w:rsid w:val="00CC31B6"/>
    <w:rsid w:val="00CC417D"/>
    <w:rsid w:val="00CC4E0C"/>
    <w:rsid w:val="00CC4F59"/>
    <w:rsid w:val="00CC535C"/>
    <w:rsid w:val="00CC60A3"/>
    <w:rsid w:val="00CD0568"/>
    <w:rsid w:val="00CD1A47"/>
    <w:rsid w:val="00CD266C"/>
    <w:rsid w:val="00CD4851"/>
    <w:rsid w:val="00CD4F3D"/>
    <w:rsid w:val="00CD5EAF"/>
    <w:rsid w:val="00CD670B"/>
    <w:rsid w:val="00CD68C3"/>
    <w:rsid w:val="00CD6C07"/>
    <w:rsid w:val="00CD6FB1"/>
    <w:rsid w:val="00CD7407"/>
    <w:rsid w:val="00CD786D"/>
    <w:rsid w:val="00CD7F7E"/>
    <w:rsid w:val="00CE01D5"/>
    <w:rsid w:val="00CE0B2F"/>
    <w:rsid w:val="00CE0F4C"/>
    <w:rsid w:val="00CE1ACA"/>
    <w:rsid w:val="00CE27FB"/>
    <w:rsid w:val="00CE2B16"/>
    <w:rsid w:val="00CE33A3"/>
    <w:rsid w:val="00CE3E47"/>
    <w:rsid w:val="00CE4EE2"/>
    <w:rsid w:val="00CE5729"/>
    <w:rsid w:val="00CE6834"/>
    <w:rsid w:val="00CE68C8"/>
    <w:rsid w:val="00CE6E6A"/>
    <w:rsid w:val="00CF0CCF"/>
    <w:rsid w:val="00CF13C7"/>
    <w:rsid w:val="00CF20F4"/>
    <w:rsid w:val="00CF2EA5"/>
    <w:rsid w:val="00CF3214"/>
    <w:rsid w:val="00CF36D3"/>
    <w:rsid w:val="00CF398F"/>
    <w:rsid w:val="00CF3A1B"/>
    <w:rsid w:val="00CF3A96"/>
    <w:rsid w:val="00CF3BE8"/>
    <w:rsid w:val="00CF3C5A"/>
    <w:rsid w:val="00CF6E1B"/>
    <w:rsid w:val="00CF726D"/>
    <w:rsid w:val="00CF7599"/>
    <w:rsid w:val="00CF798C"/>
    <w:rsid w:val="00CF7F6D"/>
    <w:rsid w:val="00D0077B"/>
    <w:rsid w:val="00D0095A"/>
    <w:rsid w:val="00D00AF9"/>
    <w:rsid w:val="00D018EC"/>
    <w:rsid w:val="00D01A0D"/>
    <w:rsid w:val="00D0275F"/>
    <w:rsid w:val="00D02A1A"/>
    <w:rsid w:val="00D02BAF"/>
    <w:rsid w:val="00D0309E"/>
    <w:rsid w:val="00D03C1C"/>
    <w:rsid w:val="00D04C19"/>
    <w:rsid w:val="00D05D12"/>
    <w:rsid w:val="00D066C7"/>
    <w:rsid w:val="00D07281"/>
    <w:rsid w:val="00D07985"/>
    <w:rsid w:val="00D1069A"/>
    <w:rsid w:val="00D10A8E"/>
    <w:rsid w:val="00D10F15"/>
    <w:rsid w:val="00D11413"/>
    <w:rsid w:val="00D125AA"/>
    <w:rsid w:val="00D13070"/>
    <w:rsid w:val="00D13B4D"/>
    <w:rsid w:val="00D1426B"/>
    <w:rsid w:val="00D15B86"/>
    <w:rsid w:val="00D16CD9"/>
    <w:rsid w:val="00D177A8"/>
    <w:rsid w:val="00D17964"/>
    <w:rsid w:val="00D202AC"/>
    <w:rsid w:val="00D212E3"/>
    <w:rsid w:val="00D21792"/>
    <w:rsid w:val="00D2295E"/>
    <w:rsid w:val="00D22DDD"/>
    <w:rsid w:val="00D22F3E"/>
    <w:rsid w:val="00D23B09"/>
    <w:rsid w:val="00D24097"/>
    <w:rsid w:val="00D24829"/>
    <w:rsid w:val="00D24AE1"/>
    <w:rsid w:val="00D26513"/>
    <w:rsid w:val="00D268AD"/>
    <w:rsid w:val="00D268AE"/>
    <w:rsid w:val="00D27B1D"/>
    <w:rsid w:val="00D30564"/>
    <w:rsid w:val="00D30A43"/>
    <w:rsid w:val="00D318B7"/>
    <w:rsid w:val="00D32059"/>
    <w:rsid w:val="00D32ACF"/>
    <w:rsid w:val="00D33963"/>
    <w:rsid w:val="00D339B9"/>
    <w:rsid w:val="00D35F0A"/>
    <w:rsid w:val="00D36880"/>
    <w:rsid w:val="00D36AC4"/>
    <w:rsid w:val="00D377A0"/>
    <w:rsid w:val="00D37D9F"/>
    <w:rsid w:val="00D40385"/>
    <w:rsid w:val="00D407DB"/>
    <w:rsid w:val="00D40831"/>
    <w:rsid w:val="00D410D9"/>
    <w:rsid w:val="00D41977"/>
    <w:rsid w:val="00D42D59"/>
    <w:rsid w:val="00D43ACA"/>
    <w:rsid w:val="00D44A69"/>
    <w:rsid w:val="00D44B5A"/>
    <w:rsid w:val="00D45730"/>
    <w:rsid w:val="00D45A76"/>
    <w:rsid w:val="00D45E4C"/>
    <w:rsid w:val="00D46DF0"/>
    <w:rsid w:val="00D46E6B"/>
    <w:rsid w:val="00D46EFF"/>
    <w:rsid w:val="00D47796"/>
    <w:rsid w:val="00D47FCC"/>
    <w:rsid w:val="00D505D7"/>
    <w:rsid w:val="00D5153C"/>
    <w:rsid w:val="00D51E1F"/>
    <w:rsid w:val="00D51F0E"/>
    <w:rsid w:val="00D51F60"/>
    <w:rsid w:val="00D53743"/>
    <w:rsid w:val="00D5398F"/>
    <w:rsid w:val="00D55BF4"/>
    <w:rsid w:val="00D55E6E"/>
    <w:rsid w:val="00D562FF"/>
    <w:rsid w:val="00D57510"/>
    <w:rsid w:val="00D61A0F"/>
    <w:rsid w:val="00D628BB"/>
    <w:rsid w:val="00D638CE"/>
    <w:rsid w:val="00D64CDA"/>
    <w:rsid w:val="00D64EB4"/>
    <w:rsid w:val="00D6515B"/>
    <w:rsid w:val="00D65763"/>
    <w:rsid w:val="00D65B1A"/>
    <w:rsid w:val="00D66356"/>
    <w:rsid w:val="00D67510"/>
    <w:rsid w:val="00D67A22"/>
    <w:rsid w:val="00D711D8"/>
    <w:rsid w:val="00D7125E"/>
    <w:rsid w:val="00D71A16"/>
    <w:rsid w:val="00D73D20"/>
    <w:rsid w:val="00D74888"/>
    <w:rsid w:val="00D7491D"/>
    <w:rsid w:val="00D74D0A"/>
    <w:rsid w:val="00D752C6"/>
    <w:rsid w:val="00D754AF"/>
    <w:rsid w:val="00D771F5"/>
    <w:rsid w:val="00D801EF"/>
    <w:rsid w:val="00D8021A"/>
    <w:rsid w:val="00D8068E"/>
    <w:rsid w:val="00D8191E"/>
    <w:rsid w:val="00D8292E"/>
    <w:rsid w:val="00D831E5"/>
    <w:rsid w:val="00D83400"/>
    <w:rsid w:val="00D8348B"/>
    <w:rsid w:val="00D83C6A"/>
    <w:rsid w:val="00D845FC"/>
    <w:rsid w:val="00D8515B"/>
    <w:rsid w:val="00D853CD"/>
    <w:rsid w:val="00D85CC3"/>
    <w:rsid w:val="00D8682A"/>
    <w:rsid w:val="00D86AA8"/>
    <w:rsid w:val="00D87FA8"/>
    <w:rsid w:val="00D900AA"/>
    <w:rsid w:val="00D90F53"/>
    <w:rsid w:val="00D93321"/>
    <w:rsid w:val="00D93446"/>
    <w:rsid w:val="00D93530"/>
    <w:rsid w:val="00D94689"/>
    <w:rsid w:val="00D9491F"/>
    <w:rsid w:val="00D95F27"/>
    <w:rsid w:val="00D96B79"/>
    <w:rsid w:val="00D97FD8"/>
    <w:rsid w:val="00DA0011"/>
    <w:rsid w:val="00DA02B6"/>
    <w:rsid w:val="00DA04A5"/>
    <w:rsid w:val="00DA1D04"/>
    <w:rsid w:val="00DA1DBA"/>
    <w:rsid w:val="00DA1E93"/>
    <w:rsid w:val="00DA2760"/>
    <w:rsid w:val="00DA2F7E"/>
    <w:rsid w:val="00DA4004"/>
    <w:rsid w:val="00DA501B"/>
    <w:rsid w:val="00DA57EF"/>
    <w:rsid w:val="00DA5AAB"/>
    <w:rsid w:val="00DA6640"/>
    <w:rsid w:val="00DA684E"/>
    <w:rsid w:val="00DA6C08"/>
    <w:rsid w:val="00DA6EA8"/>
    <w:rsid w:val="00DA6F7C"/>
    <w:rsid w:val="00DA74E9"/>
    <w:rsid w:val="00DB0241"/>
    <w:rsid w:val="00DB02B4"/>
    <w:rsid w:val="00DB04FF"/>
    <w:rsid w:val="00DB05CB"/>
    <w:rsid w:val="00DB093D"/>
    <w:rsid w:val="00DB1C25"/>
    <w:rsid w:val="00DB27B2"/>
    <w:rsid w:val="00DB29D2"/>
    <w:rsid w:val="00DB38D7"/>
    <w:rsid w:val="00DB49DE"/>
    <w:rsid w:val="00DB5355"/>
    <w:rsid w:val="00DB5652"/>
    <w:rsid w:val="00DB5F77"/>
    <w:rsid w:val="00DB6A1B"/>
    <w:rsid w:val="00DC009E"/>
    <w:rsid w:val="00DC036F"/>
    <w:rsid w:val="00DC152A"/>
    <w:rsid w:val="00DC170A"/>
    <w:rsid w:val="00DC1F05"/>
    <w:rsid w:val="00DC28B1"/>
    <w:rsid w:val="00DC2C7A"/>
    <w:rsid w:val="00DC43AE"/>
    <w:rsid w:val="00DC46B4"/>
    <w:rsid w:val="00DC4B75"/>
    <w:rsid w:val="00DC5613"/>
    <w:rsid w:val="00DC5FF6"/>
    <w:rsid w:val="00DC6327"/>
    <w:rsid w:val="00DC6D59"/>
    <w:rsid w:val="00DC70F8"/>
    <w:rsid w:val="00DD10D5"/>
    <w:rsid w:val="00DD20E1"/>
    <w:rsid w:val="00DD275F"/>
    <w:rsid w:val="00DD2874"/>
    <w:rsid w:val="00DD36FA"/>
    <w:rsid w:val="00DD39FF"/>
    <w:rsid w:val="00DD4335"/>
    <w:rsid w:val="00DD45B1"/>
    <w:rsid w:val="00DD4892"/>
    <w:rsid w:val="00DD5686"/>
    <w:rsid w:val="00DD5CDC"/>
    <w:rsid w:val="00DD6C56"/>
    <w:rsid w:val="00DD6ED0"/>
    <w:rsid w:val="00DD72D5"/>
    <w:rsid w:val="00DD7A4F"/>
    <w:rsid w:val="00DE0587"/>
    <w:rsid w:val="00DE1027"/>
    <w:rsid w:val="00DE1292"/>
    <w:rsid w:val="00DE1DEB"/>
    <w:rsid w:val="00DE33DB"/>
    <w:rsid w:val="00DE33EB"/>
    <w:rsid w:val="00DE3DDC"/>
    <w:rsid w:val="00DE42C3"/>
    <w:rsid w:val="00DE48DD"/>
    <w:rsid w:val="00DE60F8"/>
    <w:rsid w:val="00DE68E4"/>
    <w:rsid w:val="00DE6B0D"/>
    <w:rsid w:val="00DE6BAB"/>
    <w:rsid w:val="00DE749B"/>
    <w:rsid w:val="00DE7BFF"/>
    <w:rsid w:val="00DF0150"/>
    <w:rsid w:val="00DF04A5"/>
    <w:rsid w:val="00DF0C8C"/>
    <w:rsid w:val="00DF133D"/>
    <w:rsid w:val="00DF1F79"/>
    <w:rsid w:val="00DF2615"/>
    <w:rsid w:val="00DF2D23"/>
    <w:rsid w:val="00DF2F23"/>
    <w:rsid w:val="00DF2FCE"/>
    <w:rsid w:val="00DF319B"/>
    <w:rsid w:val="00DF3901"/>
    <w:rsid w:val="00DF3F68"/>
    <w:rsid w:val="00DF460B"/>
    <w:rsid w:val="00DF6A68"/>
    <w:rsid w:val="00DF6CFB"/>
    <w:rsid w:val="00E003FA"/>
    <w:rsid w:val="00E008AB"/>
    <w:rsid w:val="00E00AED"/>
    <w:rsid w:val="00E00FEF"/>
    <w:rsid w:val="00E01803"/>
    <w:rsid w:val="00E0186B"/>
    <w:rsid w:val="00E0294E"/>
    <w:rsid w:val="00E02C6C"/>
    <w:rsid w:val="00E03FDD"/>
    <w:rsid w:val="00E046C5"/>
    <w:rsid w:val="00E0492D"/>
    <w:rsid w:val="00E04BEF"/>
    <w:rsid w:val="00E04E7E"/>
    <w:rsid w:val="00E05D96"/>
    <w:rsid w:val="00E068E5"/>
    <w:rsid w:val="00E06937"/>
    <w:rsid w:val="00E07968"/>
    <w:rsid w:val="00E10156"/>
    <w:rsid w:val="00E103F2"/>
    <w:rsid w:val="00E10C1D"/>
    <w:rsid w:val="00E112D0"/>
    <w:rsid w:val="00E11C96"/>
    <w:rsid w:val="00E1237A"/>
    <w:rsid w:val="00E12459"/>
    <w:rsid w:val="00E12B94"/>
    <w:rsid w:val="00E12D69"/>
    <w:rsid w:val="00E12FC7"/>
    <w:rsid w:val="00E136A9"/>
    <w:rsid w:val="00E136D0"/>
    <w:rsid w:val="00E13740"/>
    <w:rsid w:val="00E13D3E"/>
    <w:rsid w:val="00E1603B"/>
    <w:rsid w:val="00E162DB"/>
    <w:rsid w:val="00E17A6B"/>
    <w:rsid w:val="00E203F1"/>
    <w:rsid w:val="00E20758"/>
    <w:rsid w:val="00E20F67"/>
    <w:rsid w:val="00E22A09"/>
    <w:rsid w:val="00E22E5F"/>
    <w:rsid w:val="00E22FBB"/>
    <w:rsid w:val="00E230F8"/>
    <w:rsid w:val="00E2315E"/>
    <w:rsid w:val="00E23562"/>
    <w:rsid w:val="00E23945"/>
    <w:rsid w:val="00E24626"/>
    <w:rsid w:val="00E24B28"/>
    <w:rsid w:val="00E24D72"/>
    <w:rsid w:val="00E252FD"/>
    <w:rsid w:val="00E25719"/>
    <w:rsid w:val="00E25C04"/>
    <w:rsid w:val="00E25ECC"/>
    <w:rsid w:val="00E260C2"/>
    <w:rsid w:val="00E260E2"/>
    <w:rsid w:val="00E268A8"/>
    <w:rsid w:val="00E26C60"/>
    <w:rsid w:val="00E27AE6"/>
    <w:rsid w:val="00E27CF5"/>
    <w:rsid w:val="00E313D8"/>
    <w:rsid w:val="00E316B5"/>
    <w:rsid w:val="00E32045"/>
    <w:rsid w:val="00E32253"/>
    <w:rsid w:val="00E32DCF"/>
    <w:rsid w:val="00E33583"/>
    <w:rsid w:val="00E33B0F"/>
    <w:rsid w:val="00E33CCE"/>
    <w:rsid w:val="00E34515"/>
    <w:rsid w:val="00E34EB9"/>
    <w:rsid w:val="00E35114"/>
    <w:rsid w:val="00E368A7"/>
    <w:rsid w:val="00E3756B"/>
    <w:rsid w:val="00E37B45"/>
    <w:rsid w:val="00E37F46"/>
    <w:rsid w:val="00E40400"/>
    <w:rsid w:val="00E4072D"/>
    <w:rsid w:val="00E40792"/>
    <w:rsid w:val="00E4168F"/>
    <w:rsid w:val="00E417FD"/>
    <w:rsid w:val="00E41911"/>
    <w:rsid w:val="00E41ED6"/>
    <w:rsid w:val="00E4208A"/>
    <w:rsid w:val="00E4210A"/>
    <w:rsid w:val="00E42224"/>
    <w:rsid w:val="00E424B4"/>
    <w:rsid w:val="00E42B2C"/>
    <w:rsid w:val="00E43586"/>
    <w:rsid w:val="00E44218"/>
    <w:rsid w:val="00E44A88"/>
    <w:rsid w:val="00E45133"/>
    <w:rsid w:val="00E45174"/>
    <w:rsid w:val="00E4548D"/>
    <w:rsid w:val="00E456DB"/>
    <w:rsid w:val="00E4602A"/>
    <w:rsid w:val="00E46889"/>
    <w:rsid w:val="00E46CE1"/>
    <w:rsid w:val="00E46DCB"/>
    <w:rsid w:val="00E46F9C"/>
    <w:rsid w:val="00E50030"/>
    <w:rsid w:val="00E50319"/>
    <w:rsid w:val="00E50AB1"/>
    <w:rsid w:val="00E535AB"/>
    <w:rsid w:val="00E53A08"/>
    <w:rsid w:val="00E53D96"/>
    <w:rsid w:val="00E5436A"/>
    <w:rsid w:val="00E5510C"/>
    <w:rsid w:val="00E559D0"/>
    <w:rsid w:val="00E561EF"/>
    <w:rsid w:val="00E5635D"/>
    <w:rsid w:val="00E56728"/>
    <w:rsid w:val="00E567C0"/>
    <w:rsid w:val="00E56859"/>
    <w:rsid w:val="00E56868"/>
    <w:rsid w:val="00E56DF1"/>
    <w:rsid w:val="00E56F3C"/>
    <w:rsid w:val="00E570FB"/>
    <w:rsid w:val="00E57517"/>
    <w:rsid w:val="00E60DBE"/>
    <w:rsid w:val="00E60FF6"/>
    <w:rsid w:val="00E6293E"/>
    <w:rsid w:val="00E62AF7"/>
    <w:rsid w:val="00E63431"/>
    <w:rsid w:val="00E63445"/>
    <w:rsid w:val="00E63A5E"/>
    <w:rsid w:val="00E646D5"/>
    <w:rsid w:val="00E6487F"/>
    <w:rsid w:val="00E64E9B"/>
    <w:rsid w:val="00E650DF"/>
    <w:rsid w:val="00E6511C"/>
    <w:rsid w:val="00E65608"/>
    <w:rsid w:val="00E6614B"/>
    <w:rsid w:val="00E6643F"/>
    <w:rsid w:val="00E66ACD"/>
    <w:rsid w:val="00E66F47"/>
    <w:rsid w:val="00E6707D"/>
    <w:rsid w:val="00E67354"/>
    <w:rsid w:val="00E722FA"/>
    <w:rsid w:val="00E72840"/>
    <w:rsid w:val="00E72D9C"/>
    <w:rsid w:val="00E7382B"/>
    <w:rsid w:val="00E738AB"/>
    <w:rsid w:val="00E75296"/>
    <w:rsid w:val="00E75748"/>
    <w:rsid w:val="00E7640D"/>
    <w:rsid w:val="00E7666E"/>
    <w:rsid w:val="00E76B7E"/>
    <w:rsid w:val="00E76C05"/>
    <w:rsid w:val="00E77DFD"/>
    <w:rsid w:val="00E800D4"/>
    <w:rsid w:val="00E803B8"/>
    <w:rsid w:val="00E8140A"/>
    <w:rsid w:val="00E81A69"/>
    <w:rsid w:val="00E82B2C"/>
    <w:rsid w:val="00E8334B"/>
    <w:rsid w:val="00E83BF9"/>
    <w:rsid w:val="00E84106"/>
    <w:rsid w:val="00E84431"/>
    <w:rsid w:val="00E848D6"/>
    <w:rsid w:val="00E8494C"/>
    <w:rsid w:val="00E84A4A"/>
    <w:rsid w:val="00E84EDF"/>
    <w:rsid w:val="00E85107"/>
    <w:rsid w:val="00E85256"/>
    <w:rsid w:val="00E85848"/>
    <w:rsid w:val="00E8607C"/>
    <w:rsid w:val="00E860AE"/>
    <w:rsid w:val="00E863FD"/>
    <w:rsid w:val="00E86807"/>
    <w:rsid w:val="00E87B7D"/>
    <w:rsid w:val="00E90413"/>
    <w:rsid w:val="00E909B1"/>
    <w:rsid w:val="00E90C0F"/>
    <w:rsid w:val="00E90E83"/>
    <w:rsid w:val="00E90F27"/>
    <w:rsid w:val="00E91472"/>
    <w:rsid w:val="00E916F3"/>
    <w:rsid w:val="00E917CF"/>
    <w:rsid w:val="00E91C95"/>
    <w:rsid w:val="00E92956"/>
    <w:rsid w:val="00E92B4B"/>
    <w:rsid w:val="00E92DBD"/>
    <w:rsid w:val="00E92FE1"/>
    <w:rsid w:val="00E94060"/>
    <w:rsid w:val="00E962B0"/>
    <w:rsid w:val="00E962D0"/>
    <w:rsid w:val="00E963CE"/>
    <w:rsid w:val="00E96405"/>
    <w:rsid w:val="00E96796"/>
    <w:rsid w:val="00E96AE8"/>
    <w:rsid w:val="00E9780E"/>
    <w:rsid w:val="00EA0B0A"/>
    <w:rsid w:val="00EA0FEC"/>
    <w:rsid w:val="00EA1536"/>
    <w:rsid w:val="00EA17A2"/>
    <w:rsid w:val="00EA1F30"/>
    <w:rsid w:val="00EA2E60"/>
    <w:rsid w:val="00EA3D4C"/>
    <w:rsid w:val="00EA4514"/>
    <w:rsid w:val="00EA55AA"/>
    <w:rsid w:val="00EA5695"/>
    <w:rsid w:val="00EA61E2"/>
    <w:rsid w:val="00EA6379"/>
    <w:rsid w:val="00EA63CC"/>
    <w:rsid w:val="00EB00FC"/>
    <w:rsid w:val="00EB0C85"/>
    <w:rsid w:val="00EB0D74"/>
    <w:rsid w:val="00EB1879"/>
    <w:rsid w:val="00EB3259"/>
    <w:rsid w:val="00EB4A71"/>
    <w:rsid w:val="00EB4D64"/>
    <w:rsid w:val="00EB4EB6"/>
    <w:rsid w:val="00EC1BEF"/>
    <w:rsid w:val="00EC210B"/>
    <w:rsid w:val="00EC27D9"/>
    <w:rsid w:val="00EC3786"/>
    <w:rsid w:val="00EC3FA0"/>
    <w:rsid w:val="00EC4299"/>
    <w:rsid w:val="00EC4896"/>
    <w:rsid w:val="00EC5F2A"/>
    <w:rsid w:val="00EC5F62"/>
    <w:rsid w:val="00EC6BEA"/>
    <w:rsid w:val="00EC71E5"/>
    <w:rsid w:val="00EC75FD"/>
    <w:rsid w:val="00EC7821"/>
    <w:rsid w:val="00EC7E73"/>
    <w:rsid w:val="00ED0830"/>
    <w:rsid w:val="00ED1281"/>
    <w:rsid w:val="00ED17F0"/>
    <w:rsid w:val="00ED1A1B"/>
    <w:rsid w:val="00ED5476"/>
    <w:rsid w:val="00ED63EF"/>
    <w:rsid w:val="00ED6882"/>
    <w:rsid w:val="00ED6BA4"/>
    <w:rsid w:val="00ED769E"/>
    <w:rsid w:val="00ED7A21"/>
    <w:rsid w:val="00ED7C4A"/>
    <w:rsid w:val="00EE104E"/>
    <w:rsid w:val="00EE18E7"/>
    <w:rsid w:val="00EE1C37"/>
    <w:rsid w:val="00EE2208"/>
    <w:rsid w:val="00EE2C60"/>
    <w:rsid w:val="00EE31E1"/>
    <w:rsid w:val="00EE39EC"/>
    <w:rsid w:val="00EE3A5A"/>
    <w:rsid w:val="00EE4B14"/>
    <w:rsid w:val="00EE5473"/>
    <w:rsid w:val="00EE59D7"/>
    <w:rsid w:val="00EE5C6E"/>
    <w:rsid w:val="00EE5F71"/>
    <w:rsid w:val="00EE6061"/>
    <w:rsid w:val="00EE61D2"/>
    <w:rsid w:val="00EE6B45"/>
    <w:rsid w:val="00EE733B"/>
    <w:rsid w:val="00EE78D5"/>
    <w:rsid w:val="00EE7BFB"/>
    <w:rsid w:val="00EE7ED0"/>
    <w:rsid w:val="00EF0325"/>
    <w:rsid w:val="00EF1054"/>
    <w:rsid w:val="00EF1DBE"/>
    <w:rsid w:val="00EF1F4A"/>
    <w:rsid w:val="00EF20A6"/>
    <w:rsid w:val="00EF218E"/>
    <w:rsid w:val="00EF23C0"/>
    <w:rsid w:val="00EF267E"/>
    <w:rsid w:val="00EF2BA0"/>
    <w:rsid w:val="00EF49C8"/>
    <w:rsid w:val="00EF4C03"/>
    <w:rsid w:val="00EF5537"/>
    <w:rsid w:val="00EF5A4F"/>
    <w:rsid w:val="00EF5BA8"/>
    <w:rsid w:val="00EF5D85"/>
    <w:rsid w:val="00EF6BDC"/>
    <w:rsid w:val="00EF76C8"/>
    <w:rsid w:val="00EF7EDD"/>
    <w:rsid w:val="00F00266"/>
    <w:rsid w:val="00F00686"/>
    <w:rsid w:val="00F00FA0"/>
    <w:rsid w:val="00F02026"/>
    <w:rsid w:val="00F024A1"/>
    <w:rsid w:val="00F026BD"/>
    <w:rsid w:val="00F02F0A"/>
    <w:rsid w:val="00F03FD7"/>
    <w:rsid w:val="00F05A71"/>
    <w:rsid w:val="00F060E8"/>
    <w:rsid w:val="00F06382"/>
    <w:rsid w:val="00F06D45"/>
    <w:rsid w:val="00F0717C"/>
    <w:rsid w:val="00F07CE4"/>
    <w:rsid w:val="00F10154"/>
    <w:rsid w:val="00F104E4"/>
    <w:rsid w:val="00F10B10"/>
    <w:rsid w:val="00F1104B"/>
    <w:rsid w:val="00F11833"/>
    <w:rsid w:val="00F1221D"/>
    <w:rsid w:val="00F1261F"/>
    <w:rsid w:val="00F12D19"/>
    <w:rsid w:val="00F136F7"/>
    <w:rsid w:val="00F14251"/>
    <w:rsid w:val="00F1570F"/>
    <w:rsid w:val="00F1615D"/>
    <w:rsid w:val="00F16E27"/>
    <w:rsid w:val="00F17CFF"/>
    <w:rsid w:val="00F17FF4"/>
    <w:rsid w:val="00F208ED"/>
    <w:rsid w:val="00F20DDD"/>
    <w:rsid w:val="00F211AB"/>
    <w:rsid w:val="00F213C2"/>
    <w:rsid w:val="00F23484"/>
    <w:rsid w:val="00F23790"/>
    <w:rsid w:val="00F24EEF"/>
    <w:rsid w:val="00F25A75"/>
    <w:rsid w:val="00F25B5E"/>
    <w:rsid w:val="00F25BE8"/>
    <w:rsid w:val="00F260CF"/>
    <w:rsid w:val="00F27BC3"/>
    <w:rsid w:val="00F30203"/>
    <w:rsid w:val="00F30432"/>
    <w:rsid w:val="00F30E66"/>
    <w:rsid w:val="00F311EF"/>
    <w:rsid w:val="00F319CE"/>
    <w:rsid w:val="00F31EA8"/>
    <w:rsid w:val="00F32BCA"/>
    <w:rsid w:val="00F33D6C"/>
    <w:rsid w:val="00F34347"/>
    <w:rsid w:val="00F3444F"/>
    <w:rsid w:val="00F367F7"/>
    <w:rsid w:val="00F36AED"/>
    <w:rsid w:val="00F37E8D"/>
    <w:rsid w:val="00F40965"/>
    <w:rsid w:val="00F40E49"/>
    <w:rsid w:val="00F4161F"/>
    <w:rsid w:val="00F41CA2"/>
    <w:rsid w:val="00F41F6B"/>
    <w:rsid w:val="00F4244E"/>
    <w:rsid w:val="00F42F65"/>
    <w:rsid w:val="00F43235"/>
    <w:rsid w:val="00F432B1"/>
    <w:rsid w:val="00F43E3E"/>
    <w:rsid w:val="00F44038"/>
    <w:rsid w:val="00F44D8B"/>
    <w:rsid w:val="00F44F78"/>
    <w:rsid w:val="00F44FDD"/>
    <w:rsid w:val="00F453D5"/>
    <w:rsid w:val="00F45998"/>
    <w:rsid w:val="00F4710F"/>
    <w:rsid w:val="00F475B3"/>
    <w:rsid w:val="00F47B63"/>
    <w:rsid w:val="00F503C2"/>
    <w:rsid w:val="00F51137"/>
    <w:rsid w:val="00F51917"/>
    <w:rsid w:val="00F524F7"/>
    <w:rsid w:val="00F536CB"/>
    <w:rsid w:val="00F55DEA"/>
    <w:rsid w:val="00F56606"/>
    <w:rsid w:val="00F5698F"/>
    <w:rsid w:val="00F569BF"/>
    <w:rsid w:val="00F571A4"/>
    <w:rsid w:val="00F57330"/>
    <w:rsid w:val="00F5737A"/>
    <w:rsid w:val="00F5796C"/>
    <w:rsid w:val="00F60A4B"/>
    <w:rsid w:val="00F6244E"/>
    <w:rsid w:val="00F626E8"/>
    <w:rsid w:val="00F62B70"/>
    <w:rsid w:val="00F62C3F"/>
    <w:rsid w:val="00F63F71"/>
    <w:rsid w:val="00F64921"/>
    <w:rsid w:val="00F65AEB"/>
    <w:rsid w:val="00F65E84"/>
    <w:rsid w:val="00F66090"/>
    <w:rsid w:val="00F6691B"/>
    <w:rsid w:val="00F66AFB"/>
    <w:rsid w:val="00F6725A"/>
    <w:rsid w:val="00F7010D"/>
    <w:rsid w:val="00F716EE"/>
    <w:rsid w:val="00F720FB"/>
    <w:rsid w:val="00F7249A"/>
    <w:rsid w:val="00F72F4D"/>
    <w:rsid w:val="00F73036"/>
    <w:rsid w:val="00F73612"/>
    <w:rsid w:val="00F74104"/>
    <w:rsid w:val="00F742FC"/>
    <w:rsid w:val="00F747D8"/>
    <w:rsid w:val="00F75E6F"/>
    <w:rsid w:val="00F766AD"/>
    <w:rsid w:val="00F76949"/>
    <w:rsid w:val="00F769C6"/>
    <w:rsid w:val="00F773A2"/>
    <w:rsid w:val="00F77943"/>
    <w:rsid w:val="00F80C7E"/>
    <w:rsid w:val="00F80E9F"/>
    <w:rsid w:val="00F81513"/>
    <w:rsid w:val="00F82171"/>
    <w:rsid w:val="00F8346C"/>
    <w:rsid w:val="00F83DD1"/>
    <w:rsid w:val="00F846AD"/>
    <w:rsid w:val="00F84E85"/>
    <w:rsid w:val="00F85852"/>
    <w:rsid w:val="00F85A5A"/>
    <w:rsid w:val="00F863D0"/>
    <w:rsid w:val="00F8765B"/>
    <w:rsid w:val="00F87818"/>
    <w:rsid w:val="00F87EBD"/>
    <w:rsid w:val="00F9039D"/>
    <w:rsid w:val="00F903C5"/>
    <w:rsid w:val="00F90B01"/>
    <w:rsid w:val="00F91090"/>
    <w:rsid w:val="00F9195D"/>
    <w:rsid w:val="00F91B99"/>
    <w:rsid w:val="00F92031"/>
    <w:rsid w:val="00F93305"/>
    <w:rsid w:val="00F948E6"/>
    <w:rsid w:val="00F95D01"/>
    <w:rsid w:val="00F96531"/>
    <w:rsid w:val="00F97375"/>
    <w:rsid w:val="00F97E2F"/>
    <w:rsid w:val="00FA0CDA"/>
    <w:rsid w:val="00FA11C2"/>
    <w:rsid w:val="00FA1EED"/>
    <w:rsid w:val="00FA2147"/>
    <w:rsid w:val="00FA23B6"/>
    <w:rsid w:val="00FA289D"/>
    <w:rsid w:val="00FA2DA0"/>
    <w:rsid w:val="00FA3219"/>
    <w:rsid w:val="00FA41D1"/>
    <w:rsid w:val="00FA42ED"/>
    <w:rsid w:val="00FA4A2A"/>
    <w:rsid w:val="00FA4ADB"/>
    <w:rsid w:val="00FA53BE"/>
    <w:rsid w:val="00FA7103"/>
    <w:rsid w:val="00FA72AB"/>
    <w:rsid w:val="00FA7717"/>
    <w:rsid w:val="00FA785A"/>
    <w:rsid w:val="00FA7E1C"/>
    <w:rsid w:val="00FB026F"/>
    <w:rsid w:val="00FB0BCF"/>
    <w:rsid w:val="00FB11D9"/>
    <w:rsid w:val="00FB13D0"/>
    <w:rsid w:val="00FB1862"/>
    <w:rsid w:val="00FB1CE2"/>
    <w:rsid w:val="00FB1F12"/>
    <w:rsid w:val="00FB2A66"/>
    <w:rsid w:val="00FB362C"/>
    <w:rsid w:val="00FB3944"/>
    <w:rsid w:val="00FB39E3"/>
    <w:rsid w:val="00FB3A67"/>
    <w:rsid w:val="00FB4170"/>
    <w:rsid w:val="00FB4FA1"/>
    <w:rsid w:val="00FB62A9"/>
    <w:rsid w:val="00FB6A66"/>
    <w:rsid w:val="00FB6D30"/>
    <w:rsid w:val="00FB7D8A"/>
    <w:rsid w:val="00FC09CB"/>
    <w:rsid w:val="00FC1B9A"/>
    <w:rsid w:val="00FC1EBD"/>
    <w:rsid w:val="00FC1F6A"/>
    <w:rsid w:val="00FC210F"/>
    <w:rsid w:val="00FC2CE2"/>
    <w:rsid w:val="00FC2DEC"/>
    <w:rsid w:val="00FC413A"/>
    <w:rsid w:val="00FC531C"/>
    <w:rsid w:val="00FC56C7"/>
    <w:rsid w:val="00FC577E"/>
    <w:rsid w:val="00FC5FD0"/>
    <w:rsid w:val="00FC609A"/>
    <w:rsid w:val="00FC6DD3"/>
    <w:rsid w:val="00FC7A74"/>
    <w:rsid w:val="00FD1241"/>
    <w:rsid w:val="00FD1371"/>
    <w:rsid w:val="00FD14E4"/>
    <w:rsid w:val="00FD2521"/>
    <w:rsid w:val="00FD2D50"/>
    <w:rsid w:val="00FD30D7"/>
    <w:rsid w:val="00FD3698"/>
    <w:rsid w:val="00FD36D9"/>
    <w:rsid w:val="00FD3B68"/>
    <w:rsid w:val="00FD3CE7"/>
    <w:rsid w:val="00FD4282"/>
    <w:rsid w:val="00FD53FA"/>
    <w:rsid w:val="00FD61C7"/>
    <w:rsid w:val="00FD6B92"/>
    <w:rsid w:val="00FD7E8E"/>
    <w:rsid w:val="00FE126A"/>
    <w:rsid w:val="00FE303E"/>
    <w:rsid w:val="00FE3497"/>
    <w:rsid w:val="00FE4A94"/>
    <w:rsid w:val="00FE54F8"/>
    <w:rsid w:val="00FE60F9"/>
    <w:rsid w:val="00FE6ACF"/>
    <w:rsid w:val="00FE6C90"/>
    <w:rsid w:val="00FF1B0E"/>
    <w:rsid w:val="00FF1EAF"/>
    <w:rsid w:val="00FF20C1"/>
    <w:rsid w:val="00FF2206"/>
    <w:rsid w:val="00FF26C2"/>
    <w:rsid w:val="00FF2831"/>
    <w:rsid w:val="00FF2ABC"/>
    <w:rsid w:val="00FF30FD"/>
    <w:rsid w:val="00FF36B8"/>
    <w:rsid w:val="00FF3E54"/>
    <w:rsid w:val="00FF413B"/>
    <w:rsid w:val="00FF4284"/>
    <w:rsid w:val="00FF4942"/>
    <w:rsid w:val="00FF4A76"/>
    <w:rsid w:val="00FF5281"/>
    <w:rsid w:val="00FF55F6"/>
    <w:rsid w:val="00FF5683"/>
    <w:rsid w:val="00FF63C8"/>
    <w:rsid w:val="00FF64AE"/>
    <w:rsid w:val="00FF6594"/>
    <w:rsid w:val="00FF7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437AFAA"/>
  <w15:chartTrackingRefBased/>
  <w15:docId w15:val="{B753E3BC-D2B2-44F1-8A9E-B44426BD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860"/>
    <w:rPr>
      <w:rFonts w:ascii="Arial" w:hAnsi="Arial"/>
      <w:sz w:val="24"/>
    </w:rPr>
  </w:style>
  <w:style w:type="paragraph" w:styleId="Ttulo1">
    <w:name w:val="heading 1"/>
    <w:basedOn w:val="Normal"/>
    <w:next w:val="Normal"/>
    <w:link w:val="Ttulo1Car"/>
    <w:uiPriority w:val="9"/>
    <w:qFormat/>
    <w:rsid w:val="009E7E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E20758"/>
    <w:pPr>
      <w:keepNext/>
      <w:keepLines/>
      <w:spacing w:before="40" w:after="0" w:line="276" w:lineRule="auto"/>
      <w:outlineLvl w:val="1"/>
    </w:pPr>
    <w:rPr>
      <w:rFonts w:eastAsiaTheme="majorEastAsia" w:cstheme="majorBidi"/>
      <w:b/>
      <w:szCs w:val="26"/>
      <w:lang w:eastAsia="es-MX"/>
    </w:rPr>
  </w:style>
  <w:style w:type="paragraph" w:styleId="Ttulo3">
    <w:name w:val="heading 3"/>
    <w:basedOn w:val="Normal"/>
    <w:next w:val="Normal"/>
    <w:link w:val="Ttulo3Car"/>
    <w:unhideWhenUsed/>
    <w:qFormat/>
    <w:rsid w:val="0061169F"/>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6">
    <w:name w:val="heading 6"/>
    <w:basedOn w:val="Normal"/>
    <w:next w:val="Normal"/>
    <w:link w:val="Ttulo6Car"/>
    <w:uiPriority w:val="9"/>
    <w:semiHidden/>
    <w:unhideWhenUsed/>
    <w:qFormat/>
    <w:rsid w:val="00DD6C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2D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2D33"/>
  </w:style>
  <w:style w:type="paragraph" w:styleId="Piedepgina">
    <w:name w:val="footer"/>
    <w:basedOn w:val="Normal"/>
    <w:link w:val="PiedepginaCar"/>
    <w:uiPriority w:val="99"/>
    <w:unhideWhenUsed/>
    <w:rsid w:val="001B2D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2D33"/>
  </w:style>
  <w:style w:type="paragraph" w:styleId="TDC1">
    <w:name w:val="toc 1"/>
    <w:basedOn w:val="Normal"/>
    <w:next w:val="Normal"/>
    <w:autoRedefine/>
    <w:uiPriority w:val="39"/>
    <w:unhideWhenUsed/>
    <w:rsid w:val="00C923E5"/>
    <w:pPr>
      <w:tabs>
        <w:tab w:val="right" w:leader="dot" w:pos="9072"/>
      </w:tabs>
      <w:spacing w:after="0" w:line="240" w:lineRule="auto"/>
    </w:pPr>
    <w:rPr>
      <w:rFonts w:cs="Arial"/>
      <w:b/>
      <w:bCs/>
      <w:caps/>
      <w:sz w:val="22"/>
    </w:rPr>
  </w:style>
  <w:style w:type="character" w:customStyle="1" w:styleId="Ttulo2Car">
    <w:name w:val="Título 2 Car"/>
    <w:basedOn w:val="Fuentedeprrafopredeter"/>
    <w:link w:val="Ttulo2"/>
    <w:rsid w:val="00E20758"/>
    <w:rPr>
      <w:rFonts w:ascii="Arial" w:eastAsiaTheme="majorEastAsia" w:hAnsi="Arial" w:cstheme="majorBidi"/>
      <w:b/>
      <w:sz w:val="24"/>
      <w:szCs w:val="26"/>
      <w:lang w:eastAsia="es-MX"/>
    </w:rPr>
  </w:style>
  <w:style w:type="character" w:customStyle="1" w:styleId="Ttulo3Car">
    <w:name w:val="Título 3 Car"/>
    <w:basedOn w:val="Fuentedeprrafopredeter"/>
    <w:link w:val="Ttulo3"/>
    <w:rsid w:val="0061169F"/>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unhideWhenUsed/>
    <w:rsid w:val="008D727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
    <w:name w:val="Forma"/>
    <w:basedOn w:val="Normal"/>
    <w:link w:val="FormaCar"/>
    <w:rsid w:val="008D727C"/>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8D727C"/>
    <w:rPr>
      <w:rFonts w:ascii="Arial Narrow" w:eastAsia="Times New Roman" w:hAnsi="Arial Narrow" w:cs="Times New Roman"/>
      <w:sz w:val="18"/>
      <w:szCs w:val="24"/>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D727C"/>
    <w:pPr>
      <w:spacing w:after="200" w:line="276" w:lineRule="auto"/>
      <w:ind w:left="720"/>
      <w:contextualSpacing/>
    </w:pPr>
    <w:rPr>
      <w:lang w:val="es-ES"/>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3E5DCB"/>
    <w:pPr>
      <w:spacing w:after="0" w:line="240" w:lineRule="auto"/>
    </w:pPr>
    <w:rPr>
      <w:rFonts w:ascii="Calibri" w:eastAsia="Calibri" w:hAnsi="Calibri" w:cs="Times New Roman"/>
      <w:sz w:val="20"/>
      <w:szCs w:val="20"/>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3E5DCB"/>
    <w:rPr>
      <w:rFonts w:ascii="Calibri" w:eastAsia="Calibri" w:hAnsi="Calibri" w:cs="Times New Roman"/>
      <w:sz w:val="20"/>
      <w:szCs w:val="20"/>
    </w:rPr>
  </w:style>
  <w:style w:type="character" w:styleId="Refdenotaalpie">
    <w:name w:val="footnote reference"/>
    <w:aliases w:val="ftref"/>
    <w:basedOn w:val="Fuentedeprrafopredeter"/>
    <w:uiPriority w:val="99"/>
    <w:unhideWhenUsed/>
    <w:rsid w:val="003E5DCB"/>
    <w:rPr>
      <w:vertAlign w:val="superscript"/>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3E5DCB"/>
    <w:rPr>
      <w:lang w:val="es-ES"/>
    </w:rPr>
  </w:style>
  <w:style w:type="paragraph" w:styleId="NormalWeb">
    <w:name w:val="Normal (Web)"/>
    <w:basedOn w:val="Normal"/>
    <w:uiPriority w:val="99"/>
    <w:unhideWhenUsed/>
    <w:rsid w:val="003E5DCB"/>
    <w:rPr>
      <w:rFonts w:ascii="Times New Roman" w:hAnsi="Times New Roman" w:cs="Times New Roman"/>
      <w:szCs w:val="24"/>
    </w:rPr>
  </w:style>
  <w:style w:type="table" w:styleId="Tablanormal4">
    <w:name w:val="Plain Table 4"/>
    <w:basedOn w:val="Tablanormal"/>
    <w:uiPriority w:val="44"/>
    <w:rsid w:val="000845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0845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7D3729"/>
    <w:rPr>
      <w:color w:val="0563C1" w:themeColor="hyperlink"/>
      <w:u w:val="single"/>
    </w:rPr>
  </w:style>
  <w:style w:type="table" w:styleId="Tabladecuadrcula2-nfasis6">
    <w:name w:val="Grid Table 2 Accent 6"/>
    <w:basedOn w:val="Tablanormal"/>
    <w:uiPriority w:val="47"/>
    <w:rsid w:val="00557CB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6Car">
    <w:name w:val="Título 6 Car"/>
    <w:basedOn w:val="Fuentedeprrafopredeter"/>
    <w:link w:val="Ttulo6"/>
    <w:uiPriority w:val="9"/>
    <w:semiHidden/>
    <w:rsid w:val="00DD6C56"/>
    <w:rPr>
      <w:rFonts w:asciiTheme="majorHAnsi" w:eastAsiaTheme="majorEastAsia" w:hAnsiTheme="majorHAnsi" w:cstheme="majorBidi"/>
      <w:color w:val="1F4D78" w:themeColor="accent1" w:themeShade="7F"/>
    </w:rPr>
  </w:style>
  <w:style w:type="table" w:customStyle="1" w:styleId="Calendario1">
    <w:name w:val="Calendario 1"/>
    <w:basedOn w:val="Tablanormal"/>
    <w:uiPriority w:val="99"/>
    <w:qFormat/>
    <w:rsid w:val="009E7EBB"/>
    <w:pPr>
      <w:spacing w:after="0" w:line="240" w:lineRule="auto"/>
    </w:pPr>
    <w:rPr>
      <w:rFonts w:eastAsiaTheme="minorEastAsia"/>
      <w:lang w:eastAsia="es-MX"/>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Ttulo1Car">
    <w:name w:val="Título 1 Car"/>
    <w:basedOn w:val="Fuentedeprrafopredeter"/>
    <w:link w:val="Ttulo1"/>
    <w:uiPriority w:val="9"/>
    <w:rsid w:val="009E7EBB"/>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9E7EBB"/>
    <w:pPr>
      <w:outlineLvl w:val="9"/>
    </w:pPr>
    <w:rPr>
      <w:lang w:eastAsia="es-MX"/>
    </w:rPr>
  </w:style>
  <w:style w:type="paragraph" w:styleId="TDC2">
    <w:name w:val="toc 2"/>
    <w:basedOn w:val="Normal"/>
    <w:next w:val="Normal"/>
    <w:autoRedefine/>
    <w:uiPriority w:val="39"/>
    <w:unhideWhenUsed/>
    <w:rsid w:val="00C923E5"/>
    <w:pPr>
      <w:tabs>
        <w:tab w:val="left" w:pos="440"/>
        <w:tab w:val="right" w:leader="dot" w:pos="9072"/>
      </w:tabs>
      <w:spacing w:after="0" w:line="240" w:lineRule="auto"/>
      <w:jc w:val="both"/>
    </w:pPr>
    <w:rPr>
      <w:rFonts w:cs="Arial"/>
      <w:b/>
      <w:smallCaps/>
      <w:szCs w:val="24"/>
    </w:rPr>
  </w:style>
  <w:style w:type="paragraph" w:styleId="TDC3">
    <w:name w:val="toc 3"/>
    <w:basedOn w:val="Normal"/>
    <w:next w:val="Normal"/>
    <w:autoRedefine/>
    <w:uiPriority w:val="39"/>
    <w:unhideWhenUsed/>
    <w:rsid w:val="00AB306E"/>
    <w:pPr>
      <w:tabs>
        <w:tab w:val="left" w:pos="709"/>
        <w:tab w:val="right" w:leader="dot" w:pos="8828"/>
      </w:tabs>
      <w:spacing w:after="0" w:line="276" w:lineRule="auto"/>
      <w:ind w:left="440"/>
    </w:pPr>
    <w:rPr>
      <w:i/>
      <w:iCs/>
      <w:sz w:val="20"/>
      <w:szCs w:val="20"/>
    </w:rPr>
  </w:style>
  <w:style w:type="paragraph" w:styleId="TDC4">
    <w:name w:val="toc 4"/>
    <w:basedOn w:val="Normal"/>
    <w:next w:val="Normal"/>
    <w:autoRedefine/>
    <w:uiPriority w:val="39"/>
    <w:unhideWhenUsed/>
    <w:rsid w:val="00C6458C"/>
    <w:pPr>
      <w:spacing w:after="0"/>
      <w:ind w:left="660"/>
    </w:pPr>
    <w:rPr>
      <w:sz w:val="18"/>
      <w:szCs w:val="18"/>
    </w:rPr>
  </w:style>
  <w:style w:type="paragraph" w:styleId="TDC5">
    <w:name w:val="toc 5"/>
    <w:basedOn w:val="Normal"/>
    <w:next w:val="Normal"/>
    <w:autoRedefine/>
    <w:uiPriority w:val="39"/>
    <w:unhideWhenUsed/>
    <w:rsid w:val="00C6458C"/>
    <w:pPr>
      <w:spacing w:after="0"/>
      <w:ind w:left="880"/>
    </w:pPr>
    <w:rPr>
      <w:sz w:val="18"/>
      <w:szCs w:val="18"/>
    </w:rPr>
  </w:style>
  <w:style w:type="paragraph" w:styleId="TDC6">
    <w:name w:val="toc 6"/>
    <w:basedOn w:val="Normal"/>
    <w:next w:val="Normal"/>
    <w:autoRedefine/>
    <w:uiPriority w:val="39"/>
    <w:unhideWhenUsed/>
    <w:rsid w:val="00C6458C"/>
    <w:pPr>
      <w:spacing w:after="0"/>
      <w:ind w:left="1100"/>
    </w:pPr>
    <w:rPr>
      <w:sz w:val="18"/>
      <w:szCs w:val="18"/>
    </w:rPr>
  </w:style>
  <w:style w:type="paragraph" w:styleId="TDC7">
    <w:name w:val="toc 7"/>
    <w:basedOn w:val="Normal"/>
    <w:next w:val="Normal"/>
    <w:autoRedefine/>
    <w:uiPriority w:val="39"/>
    <w:unhideWhenUsed/>
    <w:rsid w:val="00C6458C"/>
    <w:pPr>
      <w:spacing w:after="0"/>
      <w:ind w:left="1320"/>
    </w:pPr>
    <w:rPr>
      <w:sz w:val="18"/>
      <w:szCs w:val="18"/>
    </w:rPr>
  </w:style>
  <w:style w:type="paragraph" w:styleId="TDC8">
    <w:name w:val="toc 8"/>
    <w:basedOn w:val="Normal"/>
    <w:next w:val="Normal"/>
    <w:autoRedefine/>
    <w:uiPriority w:val="39"/>
    <w:unhideWhenUsed/>
    <w:rsid w:val="00C6458C"/>
    <w:pPr>
      <w:spacing w:after="0"/>
      <w:ind w:left="1540"/>
    </w:pPr>
    <w:rPr>
      <w:sz w:val="18"/>
      <w:szCs w:val="18"/>
    </w:rPr>
  </w:style>
  <w:style w:type="paragraph" w:styleId="TDC9">
    <w:name w:val="toc 9"/>
    <w:basedOn w:val="Normal"/>
    <w:next w:val="Normal"/>
    <w:autoRedefine/>
    <w:uiPriority w:val="39"/>
    <w:unhideWhenUsed/>
    <w:rsid w:val="00C6458C"/>
    <w:pPr>
      <w:spacing w:after="0"/>
      <w:ind w:left="1760"/>
    </w:pPr>
    <w:rPr>
      <w:sz w:val="18"/>
      <w:szCs w:val="18"/>
    </w:rPr>
  </w:style>
  <w:style w:type="character" w:styleId="Refdecomentario">
    <w:name w:val="annotation reference"/>
    <w:basedOn w:val="Fuentedeprrafopredeter"/>
    <w:semiHidden/>
    <w:unhideWhenUsed/>
    <w:rsid w:val="00E22FBB"/>
    <w:rPr>
      <w:sz w:val="16"/>
      <w:szCs w:val="16"/>
    </w:rPr>
  </w:style>
  <w:style w:type="paragraph" w:styleId="Textocomentario">
    <w:name w:val="annotation text"/>
    <w:basedOn w:val="Normal"/>
    <w:link w:val="TextocomentarioCar"/>
    <w:semiHidden/>
    <w:unhideWhenUsed/>
    <w:rsid w:val="00E22F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2FBB"/>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E22FBB"/>
    <w:rPr>
      <w:b/>
      <w:bCs/>
    </w:rPr>
  </w:style>
  <w:style w:type="character" w:customStyle="1" w:styleId="AsuntodelcomentarioCar">
    <w:name w:val="Asunto del comentario Car"/>
    <w:basedOn w:val="TextocomentarioCar"/>
    <w:link w:val="Asuntodelcomentario"/>
    <w:uiPriority w:val="99"/>
    <w:semiHidden/>
    <w:rsid w:val="00E22FBB"/>
    <w:rPr>
      <w:rFonts w:ascii="Arial" w:hAnsi="Arial"/>
      <w:b/>
      <w:bCs/>
      <w:sz w:val="20"/>
      <w:szCs w:val="20"/>
    </w:rPr>
  </w:style>
  <w:style w:type="paragraph" w:styleId="Textodeglobo">
    <w:name w:val="Balloon Text"/>
    <w:basedOn w:val="Normal"/>
    <w:link w:val="TextodegloboCar"/>
    <w:uiPriority w:val="99"/>
    <w:semiHidden/>
    <w:unhideWhenUsed/>
    <w:rsid w:val="00E22F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2FBB"/>
    <w:rPr>
      <w:rFonts w:ascii="Segoe UI" w:hAnsi="Segoe UI" w:cs="Segoe UI"/>
      <w:sz w:val="18"/>
      <w:szCs w:val="18"/>
    </w:rPr>
  </w:style>
  <w:style w:type="paragraph" w:customStyle="1" w:styleId="footnoteTextPHPDOCX">
    <w:name w:val="footnote Text PHPDOCX"/>
    <w:basedOn w:val="Normal"/>
    <w:link w:val="footnotetextCarPHPDOCX"/>
    <w:uiPriority w:val="99"/>
    <w:semiHidden/>
    <w:unhideWhenUsed/>
    <w:rsid w:val="00CB19AD"/>
    <w:pPr>
      <w:spacing w:after="0" w:line="240" w:lineRule="auto"/>
    </w:pPr>
    <w:rPr>
      <w:rFonts w:asciiTheme="minorHAnsi" w:eastAsiaTheme="minorEastAsia" w:hAnsiTheme="minorHAnsi"/>
      <w:sz w:val="20"/>
      <w:szCs w:val="20"/>
      <w:lang w:eastAsia="es-MX"/>
    </w:rPr>
  </w:style>
  <w:style w:type="character" w:customStyle="1" w:styleId="footnotetextCarPHPDOCX">
    <w:name w:val="footnote text Car PHPDOCX"/>
    <w:basedOn w:val="Fuentedeprrafopredeter"/>
    <w:link w:val="footnoteTextPHPDOCX"/>
    <w:uiPriority w:val="99"/>
    <w:semiHidden/>
    <w:rsid w:val="00CB19AD"/>
    <w:rPr>
      <w:rFonts w:eastAsiaTheme="minorEastAsia"/>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igc.uqroo.mx/indexp.php?id=12" TargetMode="External"/><Relationship Id="rId26" Type="http://schemas.openxmlformats.org/officeDocument/2006/relationships/hyperlink" Target="http://sigc.uqroo.mx/indexp.php?id=12" TargetMode="External"/><Relationship Id="rId39" Type="http://schemas.openxmlformats.org/officeDocument/2006/relationships/footer" Target="footer1.xml"/><Relationship Id="rId21" Type="http://schemas.openxmlformats.org/officeDocument/2006/relationships/hyperlink" Target="http://sigc.uqroo.mx/indexp.php?id=12" TargetMode="External"/><Relationship Id="rId34" Type="http://schemas.openxmlformats.org/officeDocument/2006/relationships/hyperlink" Target="http://www.sefiplan.qroo.gob.mx"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igc.uqroo.mx/indexp.php?id=12" TargetMode="External"/><Relationship Id="rId29" Type="http://schemas.openxmlformats.org/officeDocument/2006/relationships/hyperlink" Target="http://sigc.uqroo.mx/indexp.php?id=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igc.uqroo.mx/indexp.php?id=12" TargetMode="External"/><Relationship Id="rId32" Type="http://schemas.openxmlformats.org/officeDocument/2006/relationships/hyperlink" Target="http://sigc.uqroo.mx/indexp.php?id=12" TargetMode="External"/><Relationship Id="rId37" Type="http://schemas.openxmlformats.org/officeDocument/2006/relationships/hyperlink" Target="http://sigc.uqroo.mx/indexp.php?id=1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igc.uqroo.mx/indexp.php?id=12" TargetMode="External"/><Relationship Id="rId28" Type="http://schemas.openxmlformats.org/officeDocument/2006/relationships/hyperlink" Target="http://sigc.uqroo.mx/indexp.php?id=12" TargetMode="External"/><Relationship Id="rId36" Type="http://schemas.openxmlformats.org/officeDocument/2006/relationships/hyperlink" Target="http://sigc.uqroo.mx/indexp.php?id=12" TargetMode="External"/><Relationship Id="rId10" Type="http://schemas.openxmlformats.org/officeDocument/2006/relationships/hyperlink" Target="https://forms.gle/iMjrP3xpJic1ah4M7" TargetMode="External"/><Relationship Id="rId19" Type="http://schemas.openxmlformats.org/officeDocument/2006/relationships/hyperlink" Target="http://sigc.uqroo.mx/indexp.php?id=12" TargetMode="External"/><Relationship Id="rId31" Type="http://schemas.openxmlformats.org/officeDocument/2006/relationships/hyperlink" Target="http://sigc.uqroo.mx/indexp.php?id=1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igc.uqroo.mx/indexp.php?id=12" TargetMode="External"/><Relationship Id="rId27" Type="http://schemas.openxmlformats.org/officeDocument/2006/relationships/hyperlink" Target="http://sigc.uqroo.mx/indexp.php?id=12" TargetMode="External"/><Relationship Id="rId30" Type="http://schemas.openxmlformats.org/officeDocument/2006/relationships/hyperlink" Target="http://sigc.uqroo.mx/indexp.php?id=12" TargetMode="External"/><Relationship Id="rId35" Type="http://schemas.openxmlformats.org/officeDocument/2006/relationships/hyperlink" Target="http://sigc.uqroo.mx/indexp.php?id=1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igc.uqroo.mx/indexp.php?id=12" TargetMode="External"/><Relationship Id="rId25" Type="http://schemas.openxmlformats.org/officeDocument/2006/relationships/hyperlink" Target="http://sigc.uqroo.mx/indexp.php?id=12" TargetMode="External"/><Relationship Id="rId33" Type="http://schemas.openxmlformats.org/officeDocument/2006/relationships/hyperlink" Target="http://sigc.uqroo.mx/indexp.php?id=12"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9.png"/><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oleObject" Target="file:///\\10.99.4.6\aemd\venustiano.ardon\Documents\AUDITORIAS%20AL%20DESEMPE&#209;O%202021\UQROO\VISITA%20DE%20CAMPO%20UQROO\Apoyo%20a%20c&#233;dulas%20UQRO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'[Apoyo a cédulas UQROO.xlsx]Hoja9'!$B$4</c:f>
              <c:strCache>
                <c:ptCount val="1"/>
                <c:pt idx="0">
                  <c:v>Siempre </c:v>
                </c:pt>
              </c:strCache>
            </c:strRef>
          </c:tx>
          <c:spPr>
            <a:solidFill>
              <a:srgbClr val="00B0F0"/>
            </a:solidFill>
            <a:ln>
              <a:solidFill>
                <a:schemeClr val="accent6"/>
              </a:solid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val>
            <c:numRef>
              <c:f>'[Apoyo a cédulas UQROO.xlsx]Hoja9'!$C$4</c:f>
              <c:numCache>
                <c:formatCode>0.00%</c:formatCode>
                <c:ptCount val="1"/>
                <c:pt idx="0">
                  <c:v>0.48499999999999999</c:v>
                </c:pt>
              </c:numCache>
            </c:numRef>
          </c:val>
          <c:extLst>
            <c:ext xmlns:c16="http://schemas.microsoft.com/office/drawing/2014/chart" uri="{C3380CC4-5D6E-409C-BE32-E72D297353CC}">
              <c16:uniqueId val="{00000000-6DE6-435D-A482-A7D5F1B9DB6A}"/>
            </c:ext>
          </c:extLst>
        </c:ser>
        <c:ser>
          <c:idx val="1"/>
          <c:order val="1"/>
          <c:tx>
            <c:strRef>
              <c:f>'[Apoyo a cédulas UQROO.xlsx]Hoja9'!$B$5</c:f>
              <c:strCache>
                <c:ptCount val="1"/>
                <c:pt idx="0">
                  <c:v>Casi siempre</c:v>
                </c:pt>
              </c:strCache>
            </c:strRef>
          </c:tx>
          <c:spPr>
            <a:solidFill>
              <a:schemeClr val="accent2">
                <a:lumMod val="40000"/>
                <a:lumOff val="60000"/>
              </a:schemeClr>
            </a:solidFill>
            <a:ln>
              <a:solidFill>
                <a:srgbClr val="00B0F0"/>
              </a:solid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val>
            <c:numRef>
              <c:f>'[Apoyo a cédulas UQROO.xlsx]Hoja9'!$C$5</c:f>
              <c:numCache>
                <c:formatCode>0%</c:formatCode>
                <c:ptCount val="1"/>
                <c:pt idx="0">
                  <c:v>0.4</c:v>
                </c:pt>
              </c:numCache>
            </c:numRef>
          </c:val>
          <c:extLst>
            <c:ext xmlns:c16="http://schemas.microsoft.com/office/drawing/2014/chart" uri="{C3380CC4-5D6E-409C-BE32-E72D297353CC}">
              <c16:uniqueId val="{00000001-6DE6-435D-A482-A7D5F1B9DB6A}"/>
            </c:ext>
          </c:extLst>
        </c:ser>
        <c:ser>
          <c:idx val="2"/>
          <c:order val="2"/>
          <c:tx>
            <c:strRef>
              <c:f>'[Apoyo a cédulas UQROO.xlsx]Hoja9'!$B$6</c:f>
              <c:strCache>
                <c:ptCount val="1"/>
                <c:pt idx="0">
                  <c:v>Nunca</c:v>
                </c:pt>
              </c:strCache>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Pt>
            <c:idx val="0"/>
            <c:invertIfNegative val="0"/>
            <c:bubble3D val="0"/>
            <c:spPr>
              <a:solidFill>
                <a:schemeClr val="tx2">
                  <a:lumMod val="20000"/>
                  <a:lumOff val="80000"/>
                </a:schemeClr>
              </a:solidFill>
              <a:ln>
                <a:noFill/>
              </a:ln>
              <a:effectLst>
                <a:innerShdw blurRad="114300">
                  <a:schemeClr val="accent3"/>
                </a:innerShdw>
              </a:effectLst>
            </c:spPr>
            <c:extLst>
              <c:ext xmlns:c16="http://schemas.microsoft.com/office/drawing/2014/chart" uri="{C3380CC4-5D6E-409C-BE32-E72D297353CC}">
                <c16:uniqueId val="{00000003-6DE6-435D-A482-A7D5F1B9DB6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val>
            <c:numRef>
              <c:f>'[Apoyo a cédulas UQROO.xlsx]Hoja9'!$C$6</c:f>
              <c:numCache>
                <c:formatCode>0.00%</c:formatCode>
                <c:ptCount val="1"/>
                <c:pt idx="0">
                  <c:v>6.5000000000000002E-2</c:v>
                </c:pt>
              </c:numCache>
            </c:numRef>
          </c:val>
          <c:extLst>
            <c:ext xmlns:c16="http://schemas.microsoft.com/office/drawing/2014/chart" uri="{C3380CC4-5D6E-409C-BE32-E72D297353CC}">
              <c16:uniqueId val="{00000004-6DE6-435D-A482-A7D5F1B9DB6A}"/>
            </c:ext>
          </c:extLst>
        </c:ser>
        <c:ser>
          <c:idx val="3"/>
          <c:order val="3"/>
          <c:tx>
            <c:strRef>
              <c:f>'[Apoyo a cédulas UQROO.xlsx]Hoja9'!$B$7</c:f>
              <c:strCache>
                <c:ptCount val="1"/>
                <c:pt idx="0">
                  <c:v>Desconoce</c:v>
                </c:pt>
              </c:strCache>
            </c:strRef>
          </c:tx>
          <c:spPr>
            <a:pattFill prst="narVert">
              <a:fgClr>
                <a:schemeClr val="accent4"/>
              </a:fgClr>
              <a:bgClr>
                <a:schemeClr val="accent4">
                  <a:lumMod val="20000"/>
                  <a:lumOff val="80000"/>
                </a:schemeClr>
              </a:bgClr>
            </a:pattFill>
            <a:ln>
              <a:noFill/>
            </a:ln>
            <a:effectLst>
              <a:innerShdw blurRad="114300">
                <a:schemeClr val="accent4"/>
              </a:innerShdw>
            </a:effectLst>
          </c:spPr>
          <c:invertIfNegative val="0"/>
          <c:dPt>
            <c:idx val="0"/>
            <c:invertIfNegative val="0"/>
            <c:bubble3D val="0"/>
            <c:spPr>
              <a:solidFill>
                <a:schemeClr val="accent4"/>
              </a:solidFill>
              <a:ln>
                <a:noFill/>
              </a:ln>
              <a:effectLst>
                <a:innerShdw blurRad="114300">
                  <a:schemeClr val="accent4"/>
                </a:innerShdw>
              </a:effectLst>
            </c:spPr>
            <c:extLst>
              <c:ext xmlns:c16="http://schemas.microsoft.com/office/drawing/2014/chart" uri="{C3380CC4-5D6E-409C-BE32-E72D297353CC}">
                <c16:uniqueId val="{00000006-6DE6-435D-A482-A7D5F1B9DB6A}"/>
              </c:ext>
            </c:extLst>
          </c:dPt>
          <c:dLbls>
            <c:spPr>
              <a:solidFill>
                <a:schemeClr val="accent4"/>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val>
            <c:numRef>
              <c:f>'[Apoyo a cédulas UQROO.xlsx]Hoja9'!$C$7</c:f>
              <c:numCache>
                <c:formatCode>0%</c:formatCode>
                <c:ptCount val="1"/>
                <c:pt idx="0">
                  <c:v>0.05</c:v>
                </c:pt>
              </c:numCache>
            </c:numRef>
          </c:val>
          <c:extLst>
            <c:ext xmlns:c16="http://schemas.microsoft.com/office/drawing/2014/chart" uri="{C3380CC4-5D6E-409C-BE32-E72D297353CC}">
              <c16:uniqueId val="{00000007-6DE6-435D-A482-A7D5F1B9DB6A}"/>
            </c:ext>
          </c:extLst>
        </c:ser>
        <c:dLbls>
          <c:dLblPos val="inEnd"/>
          <c:showLegendKey val="0"/>
          <c:showVal val="1"/>
          <c:showCatName val="0"/>
          <c:showSerName val="0"/>
          <c:showPercent val="0"/>
          <c:showBubbleSize val="0"/>
        </c:dLbls>
        <c:gapWidth val="227"/>
        <c:overlap val="-48"/>
        <c:axId val="559550687"/>
        <c:axId val="559547359"/>
      </c:barChart>
      <c:catAx>
        <c:axId val="559550687"/>
        <c:scaling>
          <c:orientation val="minMax"/>
        </c:scaling>
        <c:delete val="1"/>
        <c:axPos val="l"/>
        <c:numFmt formatCode="General" sourceLinked="1"/>
        <c:majorTickMark val="none"/>
        <c:minorTickMark val="none"/>
        <c:tickLblPos val="nextTo"/>
        <c:crossAx val="559547359"/>
        <c:crosses val="autoZero"/>
        <c:auto val="1"/>
        <c:lblAlgn val="ctr"/>
        <c:lblOffset val="100"/>
        <c:noMultiLvlLbl val="0"/>
      </c:catAx>
      <c:valAx>
        <c:axId val="559547359"/>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59550687"/>
        <c:crosses val="autoZero"/>
        <c:crossBetween val="between"/>
      </c:valAx>
      <c:spPr>
        <a:noFill/>
        <a:ln>
          <a:noFill/>
        </a:ln>
        <a:effectLst/>
      </c:spPr>
    </c:plotArea>
    <c:legend>
      <c:legendPos val="t"/>
      <c:layout>
        <c:manualLayout>
          <c:xMode val="edge"/>
          <c:yMode val="edge"/>
          <c:x val="0.26954680220245658"/>
          <c:y val="2.7777777777777776E-2"/>
          <c:w val="0.58161779174045425"/>
          <c:h val="0.226273694954797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DDBDB-00F1-4373-9279-B2F4B8F33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10678</Words>
  <Characters>58732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Venustiano Ardon Regules</dc:creator>
  <cp:keywords/>
  <dc:description/>
  <cp:lastModifiedBy>Marisol Gomez Queme</cp:lastModifiedBy>
  <cp:revision>3</cp:revision>
  <cp:lastPrinted>2021-06-24T02:28:00Z</cp:lastPrinted>
  <dcterms:created xsi:type="dcterms:W3CDTF">2021-06-24T02:33:00Z</dcterms:created>
  <dcterms:modified xsi:type="dcterms:W3CDTF">2021-06-24T02:46:00Z</dcterms:modified>
</cp:coreProperties>
</file>