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4F2479">
        <w:trPr>
          <w:trHeight w:val="276"/>
        </w:trPr>
        <w:tc>
          <w:tcPr>
            <w:tcW w:w="4439" w:type="pct"/>
            <w:vMerge w:val="restart"/>
            <w:shd w:val="clear" w:color="auto" w:fill="auto"/>
            <w:hideMark/>
          </w:tcPr>
          <w:p w:rsidR="003F1CB6" w:rsidRPr="00403D69" w:rsidRDefault="003F1CB6" w:rsidP="00957658">
            <w:pPr>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F37635">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381339" w:rsidRDefault="007D48A8" w:rsidP="003F1CB6">
            <w:pPr>
              <w:spacing w:line="360" w:lineRule="auto"/>
              <w:rPr>
                <w:rFonts w:ascii="Arial" w:hAnsi="Arial" w:cs="Arial"/>
                <w:b/>
                <w:bCs/>
                <w:sz w:val="22"/>
              </w:rPr>
            </w:pPr>
          </w:p>
        </w:tc>
        <w:tc>
          <w:tcPr>
            <w:tcW w:w="561" w:type="pct"/>
            <w:vMerge w:val="restart"/>
            <w:shd w:val="clear" w:color="auto" w:fill="auto"/>
            <w:hideMark/>
          </w:tcPr>
          <w:p w:rsidR="003F1CB6" w:rsidRPr="00403D69" w:rsidRDefault="00CD1DFC" w:rsidP="003F1CB6">
            <w:pPr>
              <w:spacing w:line="360" w:lineRule="auto"/>
              <w:jc w:val="center"/>
              <w:rPr>
                <w:rFonts w:ascii="Arial" w:hAnsi="Arial" w:cs="Arial"/>
                <w:b/>
              </w:rPr>
            </w:pPr>
            <w:r>
              <w:rPr>
                <w:rFonts w:ascii="Arial" w:hAnsi="Arial" w:cs="Arial"/>
                <w:b/>
              </w:rPr>
              <w:t>2</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403D69" w:rsidRDefault="0005461B" w:rsidP="0005461B">
            <w:pPr>
              <w:tabs>
                <w:tab w:val="left" w:pos="380"/>
                <w:tab w:val="center" w:pos="455"/>
              </w:tabs>
              <w:spacing w:line="360" w:lineRule="auto"/>
              <w:jc w:val="center"/>
              <w:rPr>
                <w:rFonts w:ascii="Arial" w:hAnsi="Arial" w:cs="Arial"/>
                <w:b/>
              </w:rPr>
            </w:pPr>
            <w:r>
              <w:rPr>
                <w:rFonts w:ascii="Arial" w:hAnsi="Arial" w:cs="Arial"/>
                <w:b/>
              </w:rPr>
              <w:t>4</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Pr>
                <w:rFonts w:ascii="Arial" w:hAnsi="Arial" w:cs="Arial"/>
                <w:b/>
                <w:bCs/>
              </w:rPr>
              <w:t>I. INFORME INDIV</w:t>
            </w:r>
            <w:r w:rsidR="000F6058">
              <w:rPr>
                <w:rFonts w:ascii="Arial" w:hAnsi="Arial" w:cs="Arial"/>
                <w:b/>
                <w:bCs/>
              </w:rPr>
              <w:t>IDUAL DE AUDITORÍA RELATIVO A E</w:t>
            </w:r>
            <w:r>
              <w:rPr>
                <w:rFonts w:ascii="Arial" w:hAnsi="Arial" w:cs="Arial"/>
                <w:b/>
                <w:bCs/>
              </w:rPr>
              <w:t>GRESOS</w:t>
            </w:r>
          </w:p>
        </w:tc>
        <w:tc>
          <w:tcPr>
            <w:tcW w:w="561" w:type="pct"/>
            <w:vMerge w:val="restart"/>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3F1CB6" w:rsidRPr="00403D69" w:rsidRDefault="0005461B" w:rsidP="003F1CB6">
            <w:pPr>
              <w:spacing w:line="360" w:lineRule="auto"/>
              <w:jc w:val="center"/>
              <w:rPr>
                <w:rFonts w:ascii="Arial" w:hAnsi="Arial" w:cs="Arial"/>
                <w:b/>
              </w:rPr>
            </w:pPr>
            <w:r>
              <w:rPr>
                <w:rFonts w:ascii="Arial" w:hAnsi="Arial" w:cs="Arial"/>
                <w:b/>
              </w:rPr>
              <w:t>5</w:t>
            </w:r>
          </w:p>
        </w:tc>
      </w:tr>
      <w:bookmarkEnd w:id="1"/>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05461B" w:rsidP="003F1CB6">
            <w:pPr>
              <w:spacing w:line="360" w:lineRule="auto"/>
              <w:jc w:val="center"/>
              <w:rPr>
                <w:rFonts w:ascii="Arial" w:hAnsi="Arial" w:cs="Arial"/>
                <w:b/>
              </w:rPr>
            </w:pPr>
            <w:r>
              <w:rPr>
                <w:rFonts w:ascii="Arial" w:hAnsi="Arial" w:cs="Arial"/>
                <w:b/>
              </w:rPr>
              <w:t>5</w:t>
            </w:r>
          </w:p>
        </w:tc>
      </w:tr>
      <w:tr w:rsidR="003F1CB6" w:rsidRPr="00403D69" w:rsidTr="004F2479">
        <w:trPr>
          <w:trHeight w:val="20"/>
        </w:trPr>
        <w:tc>
          <w:tcPr>
            <w:tcW w:w="4439" w:type="pct"/>
            <w:shd w:val="clear" w:color="auto" w:fill="auto"/>
          </w:tcPr>
          <w:p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3F1CB6" w:rsidRPr="00403D69" w:rsidRDefault="0005461B" w:rsidP="003F1CB6">
            <w:pPr>
              <w:spacing w:line="360" w:lineRule="auto"/>
              <w:jc w:val="center"/>
              <w:rPr>
                <w:rFonts w:ascii="Arial" w:hAnsi="Arial" w:cs="Arial"/>
                <w:b/>
              </w:rPr>
            </w:pPr>
            <w:r>
              <w:rPr>
                <w:rFonts w:ascii="Arial" w:hAnsi="Arial" w:cs="Arial"/>
                <w:b/>
              </w:rPr>
              <w:t>5</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05461B" w:rsidP="003F1CB6">
            <w:pPr>
              <w:spacing w:line="360" w:lineRule="auto"/>
              <w:jc w:val="center"/>
              <w:rPr>
                <w:rFonts w:ascii="Arial" w:hAnsi="Arial" w:cs="Arial"/>
                <w:b/>
              </w:rPr>
            </w:pPr>
            <w:r>
              <w:rPr>
                <w:rFonts w:ascii="Arial" w:hAnsi="Arial" w:cs="Arial"/>
                <w:b/>
              </w:rPr>
              <w:t>5</w:t>
            </w:r>
          </w:p>
        </w:tc>
      </w:tr>
      <w:tr w:rsidR="003F1CB6" w:rsidRPr="00403D69" w:rsidTr="004F2479">
        <w:trPr>
          <w:trHeight w:val="20"/>
        </w:trPr>
        <w:tc>
          <w:tcPr>
            <w:tcW w:w="4439" w:type="pct"/>
            <w:shd w:val="clear" w:color="auto" w:fill="auto"/>
          </w:tcPr>
          <w:p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3F1CB6" w:rsidRPr="00403D69" w:rsidRDefault="0005461B" w:rsidP="00241188">
            <w:pPr>
              <w:spacing w:line="360" w:lineRule="auto"/>
              <w:jc w:val="center"/>
              <w:rPr>
                <w:rFonts w:ascii="Arial" w:hAnsi="Arial" w:cs="Arial"/>
                <w:b/>
              </w:rPr>
            </w:pPr>
            <w:r>
              <w:rPr>
                <w:rFonts w:ascii="Arial" w:hAnsi="Arial" w:cs="Arial"/>
                <w:b/>
              </w:rPr>
              <w:t>6</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F1CB6" w:rsidRPr="00403D69" w:rsidRDefault="0055536A" w:rsidP="003F1CB6">
            <w:pPr>
              <w:spacing w:line="360" w:lineRule="auto"/>
              <w:jc w:val="center"/>
              <w:rPr>
                <w:rFonts w:ascii="Arial" w:hAnsi="Arial" w:cs="Arial"/>
                <w:b/>
              </w:rPr>
            </w:pPr>
            <w:r>
              <w:rPr>
                <w:rFonts w:ascii="Arial" w:hAnsi="Arial" w:cs="Arial"/>
                <w:b/>
              </w:rPr>
              <w:t>7</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55536A" w:rsidP="003F1CB6">
            <w:pPr>
              <w:spacing w:line="360" w:lineRule="auto"/>
              <w:jc w:val="center"/>
              <w:rPr>
                <w:rFonts w:ascii="Arial" w:hAnsi="Arial" w:cs="Arial"/>
                <w:b/>
              </w:rPr>
            </w:pPr>
            <w:r>
              <w:rPr>
                <w:rFonts w:ascii="Arial" w:hAnsi="Arial" w:cs="Arial"/>
                <w:b/>
              </w:rPr>
              <w:t>7</w:t>
            </w:r>
          </w:p>
        </w:tc>
      </w:tr>
      <w:tr w:rsidR="003F1CB6" w:rsidRPr="00403D69" w:rsidTr="00F563F0">
        <w:trPr>
          <w:trHeight w:val="697"/>
        </w:trPr>
        <w:tc>
          <w:tcPr>
            <w:tcW w:w="4439" w:type="pct"/>
            <w:shd w:val="clear" w:color="auto" w:fill="auto"/>
          </w:tcPr>
          <w:p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rsidR="003F1CB6" w:rsidRPr="004656B0" w:rsidRDefault="0055536A" w:rsidP="0005461B">
            <w:pPr>
              <w:spacing w:line="360" w:lineRule="auto"/>
              <w:jc w:val="center"/>
              <w:rPr>
                <w:rFonts w:ascii="Arial" w:hAnsi="Arial" w:cs="Arial"/>
                <w:b/>
              </w:rPr>
            </w:pPr>
            <w:r>
              <w:rPr>
                <w:rFonts w:ascii="Arial" w:hAnsi="Arial" w:cs="Arial"/>
                <w:b/>
              </w:rPr>
              <w:t>9</w:t>
            </w:r>
          </w:p>
        </w:tc>
      </w:tr>
      <w:tr w:rsidR="003F1CB6" w:rsidRPr="00403D69" w:rsidTr="004F2479">
        <w:trPr>
          <w:trHeight w:val="20"/>
        </w:trPr>
        <w:tc>
          <w:tcPr>
            <w:tcW w:w="4439" w:type="pct"/>
            <w:shd w:val="clear" w:color="auto" w:fill="auto"/>
          </w:tcPr>
          <w:p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rsidR="003F1CB6" w:rsidRPr="004656B0" w:rsidRDefault="00A0466F" w:rsidP="00241188">
            <w:pPr>
              <w:spacing w:line="360" w:lineRule="auto"/>
              <w:jc w:val="center"/>
              <w:rPr>
                <w:rFonts w:ascii="Arial" w:hAnsi="Arial" w:cs="Arial"/>
                <w:b/>
              </w:rPr>
            </w:pPr>
            <w:r>
              <w:rPr>
                <w:rFonts w:ascii="Arial" w:hAnsi="Arial" w:cs="Arial"/>
                <w:b/>
              </w:rPr>
              <w:t>10</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CD1DFC" w:rsidRDefault="00A0466F" w:rsidP="003F1CB6">
            <w:pPr>
              <w:spacing w:line="360" w:lineRule="auto"/>
              <w:jc w:val="center"/>
              <w:rPr>
                <w:rFonts w:ascii="Arial" w:hAnsi="Arial" w:cs="Arial"/>
                <w:b/>
              </w:rPr>
            </w:pPr>
            <w:r>
              <w:rPr>
                <w:rFonts w:ascii="Arial" w:hAnsi="Arial" w:cs="Arial"/>
                <w:b/>
              </w:rPr>
              <w:t>1</w:t>
            </w:r>
            <w:r w:rsidR="0055536A">
              <w:rPr>
                <w:rFonts w:ascii="Arial" w:hAnsi="Arial" w:cs="Arial"/>
                <w:b/>
              </w:rPr>
              <w:t>0</w:t>
            </w:r>
          </w:p>
        </w:tc>
      </w:tr>
      <w:tr w:rsidR="003F1CB6" w:rsidRPr="00403D69" w:rsidTr="00381339">
        <w:trPr>
          <w:trHeight w:val="751"/>
        </w:trPr>
        <w:tc>
          <w:tcPr>
            <w:tcW w:w="4439" w:type="pct"/>
            <w:shd w:val="clear" w:color="auto" w:fill="auto"/>
            <w:hideMark/>
          </w:tcPr>
          <w:p w:rsidR="003F1CB6" w:rsidRPr="000F6058" w:rsidRDefault="003F1CB6" w:rsidP="003F1CB6">
            <w:pPr>
              <w:spacing w:after="180" w:line="360" w:lineRule="auto"/>
              <w:rPr>
                <w:rFonts w:ascii="Arial" w:hAnsi="Arial" w:cs="Arial"/>
                <w:b/>
                <w:bCs/>
                <w:highlight w:val="yellow"/>
              </w:rPr>
            </w:pPr>
            <w:r w:rsidRPr="00CD1DFC">
              <w:rPr>
                <w:rFonts w:ascii="Arial" w:hAnsi="Arial" w:cs="Arial"/>
                <w:b/>
                <w:bCs/>
              </w:rPr>
              <w:t>I.3. RESULTADOS DE LA FISCALIZACIÓN EFECTUADA</w:t>
            </w:r>
          </w:p>
        </w:tc>
        <w:tc>
          <w:tcPr>
            <w:tcW w:w="561" w:type="pct"/>
            <w:shd w:val="clear" w:color="auto" w:fill="auto"/>
            <w:hideMark/>
          </w:tcPr>
          <w:p w:rsidR="003F1CB6" w:rsidRPr="00CD1DFC" w:rsidRDefault="00A0466F" w:rsidP="00A82FD9">
            <w:pPr>
              <w:spacing w:line="360" w:lineRule="auto"/>
              <w:jc w:val="center"/>
              <w:rPr>
                <w:rFonts w:ascii="Arial" w:hAnsi="Arial" w:cs="Arial"/>
                <w:b/>
              </w:rPr>
            </w:pPr>
            <w:r>
              <w:rPr>
                <w:rFonts w:ascii="Arial" w:hAnsi="Arial" w:cs="Arial"/>
                <w:b/>
              </w:rPr>
              <w:t>11</w:t>
            </w:r>
          </w:p>
        </w:tc>
      </w:tr>
      <w:tr w:rsidR="00A409D1" w:rsidRPr="00403D69" w:rsidTr="004726B6">
        <w:trPr>
          <w:trHeight w:val="469"/>
        </w:trPr>
        <w:tc>
          <w:tcPr>
            <w:tcW w:w="4439" w:type="pct"/>
            <w:shd w:val="clear" w:color="auto" w:fill="auto"/>
          </w:tcPr>
          <w:p w:rsidR="000E308D" w:rsidRPr="00032EC2" w:rsidRDefault="00A409D1" w:rsidP="00FC26B1">
            <w:pPr>
              <w:spacing w:line="360" w:lineRule="auto"/>
              <w:jc w:val="both"/>
              <w:rPr>
                <w:rFonts w:ascii="Arial" w:hAnsi="Arial" w:cs="Arial"/>
                <w:b/>
                <w:bCs/>
              </w:rPr>
            </w:pPr>
            <w:r>
              <w:rPr>
                <w:rFonts w:ascii="Arial" w:hAnsi="Arial" w:cs="Arial"/>
                <w:b/>
                <w:bCs/>
              </w:rPr>
              <w:t>I</w:t>
            </w:r>
            <w:r w:rsidR="00FC26B1">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FB363A" w:rsidRPr="00C32D5B">
              <w:rPr>
                <w:rFonts w:ascii="Arial" w:hAnsi="Arial" w:cs="Arial"/>
                <w:b/>
                <w:bCs/>
              </w:rPr>
              <w:t>L</w:t>
            </w:r>
            <w:r w:rsidR="00FC26B1">
              <w:rPr>
                <w:rFonts w:ascii="Arial" w:hAnsi="Arial" w:cs="Arial"/>
                <w:b/>
                <w:bCs/>
              </w:rPr>
              <w:t xml:space="preserve"> </w:t>
            </w:r>
            <w:r w:rsidRPr="00C32D5B">
              <w:rPr>
                <w:rFonts w:ascii="Arial" w:hAnsi="Arial" w:cs="Arial"/>
                <w:b/>
                <w:bCs/>
              </w:rPr>
              <w:t>INFORME INDIVIDUAL</w:t>
            </w:r>
            <w:r w:rsidR="00FC26B1">
              <w:rPr>
                <w:rFonts w:ascii="Arial" w:hAnsi="Arial" w:cs="Arial"/>
                <w:b/>
                <w:bCs/>
              </w:rPr>
              <w:t xml:space="preserve"> </w:t>
            </w:r>
            <w:r>
              <w:rPr>
                <w:rFonts w:ascii="Arial" w:hAnsi="Arial" w:cs="Arial"/>
                <w:b/>
                <w:bCs/>
              </w:rPr>
              <w:t>DE AUDITORÍA</w:t>
            </w:r>
          </w:p>
        </w:tc>
        <w:tc>
          <w:tcPr>
            <w:tcW w:w="561" w:type="pct"/>
            <w:shd w:val="clear" w:color="auto" w:fill="auto"/>
          </w:tcPr>
          <w:p w:rsidR="00A409D1" w:rsidRPr="00BF5F84" w:rsidRDefault="00A0466F" w:rsidP="00241188">
            <w:pPr>
              <w:jc w:val="center"/>
              <w:rPr>
                <w:rFonts w:ascii="Arial" w:hAnsi="Arial" w:cs="Arial"/>
                <w:b/>
              </w:rPr>
            </w:pPr>
            <w:r>
              <w:rPr>
                <w:rFonts w:ascii="Arial" w:hAnsi="Arial" w:cs="Arial"/>
                <w:b/>
              </w:rPr>
              <w:t>11</w:t>
            </w:r>
          </w:p>
        </w:tc>
      </w:tr>
    </w:tbl>
    <w:p w:rsidR="0055536A" w:rsidRDefault="0055536A" w:rsidP="005A7E6B">
      <w:pPr>
        <w:spacing w:line="360" w:lineRule="auto"/>
        <w:ind w:right="49"/>
        <w:rPr>
          <w:rFonts w:ascii="Arial" w:hAnsi="Arial" w:cs="Arial"/>
          <w:b/>
          <w:bCs/>
        </w:rPr>
      </w:pPr>
    </w:p>
    <w:p w:rsidR="0055536A" w:rsidRDefault="0055536A" w:rsidP="005A7E6B">
      <w:pPr>
        <w:spacing w:line="360" w:lineRule="auto"/>
        <w:ind w:right="49"/>
        <w:rPr>
          <w:rFonts w:ascii="Arial" w:hAnsi="Arial" w:cs="Arial"/>
          <w:b/>
          <w:bCs/>
        </w:rPr>
      </w:pPr>
    </w:p>
    <w:p w:rsidR="005164C1" w:rsidRDefault="006447D4" w:rsidP="005A7E6B">
      <w:pPr>
        <w:spacing w:line="360" w:lineRule="auto"/>
        <w:ind w:right="49"/>
        <w:rPr>
          <w:rFonts w:ascii="Arial" w:hAnsi="Arial" w:cs="Arial"/>
          <w:b/>
          <w:bCs/>
        </w:rPr>
      </w:pPr>
      <w:r w:rsidRPr="00A05588">
        <w:rPr>
          <w:rFonts w:ascii="Arial" w:hAnsi="Arial" w:cs="Arial"/>
          <w:b/>
          <w:bCs/>
        </w:rPr>
        <w:lastRenderedPageBreak/>
        <w:t>INTRODUCCIÓN</w:t>
      </w:r>
    </w:p>
    <w:p w:rsidR="009065A7" w:rsidRPr="00A05588" w:rsidRDefault="009065A7" w:rsidP="005A7E6B">
      <w:pPr>
        <w:spacing w:line="360" w:lineRule="auto"/>
        <w:ind w:right="49"/>
        <w:rPr>
          <w:rFonts w:ascii="Arial" w:hAnsi="Arial" w:cs="Arial"/>
          <w:b/>
          <w:bCs/>
        </w:rPr>
      </w:pPr>
    </w:p>
    <w:p w:rsidR="00D66077" w:rsidRDefault="00197921" w:rsidP="005A7E6B">
      <w:pPr>
        <w:tabs>
          <w:tab w:val="left" w:pos="9356"/>
        </w:tabs>
        <w:spacing w:line="360" w:lineRule="auto"/>
        <w:ind w:right="49"/>
        <w:jc w:val="both"/>
        <w:rPr>
          <w:rFonts w:ascii="Arial" w:hAnsi="Arial" w:cs="Arial"/>
        </w:rPr>
      </w:pPr>
      <w:r w:rsidRPr="00197921">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el Gobierno del Estado, le presente sobre su gestión financiera, que se traduce a su vez, en la obligación de los funcionarios correspondientes de presentar su Cuenta Pública para efectos de que sea revisada y fiscalizada.</w:t>
      </w:r>
    </w:p>
    <w:p w:rsidR="00197921" w:rsidRPr="002013D4" w:rsidRDefault="00197921" w:rsidP="005A7E6B">
      <w:pPr>
        <w:spacing w:line="360" w:lineRule="auto"/>
        <w:ind w:right="49"/>
        <w:jc w:val="both"/>
        <w:rPr>
          <w:rFonts w:ascii="Arial" w:hAnsi="Arial" w:cs="Arial"/>
        </w:rPr>
      </w:pPr>
    </w:p>
    <w:p w:rsidR="00345C1A" w:rsidRDefault="00197921" w:rsidP="005A7E6B">
      <w:pPr>
        <w:tabs>
          <w:tab w:val="left" w:pos="9356"/>
        </w:tabs>
        <w:spacing w:line="360" w:lineRule="auto"/>
        <w:ind w:right="49"/>
        <w:jc w:val="both"/>
        <w:rPr>
          <w:rFonts w:ascii="Arial" w:hAnsi="Arial" w:cs="Arial"/>
        </w:rPr>
      </w:pPr>
      <w:r w:rsidRPr="00197921">
        <w:rPr>
          <w:rFonts w:ascii="Arial" w:hAnsi="Arial" w:cs="Arial"/>
        </w:rPr>
        <w:t>Esta revisión se realiza con el objeto de evaluar los resultados de la gestión financiera, derivado del análisis de la Cuenta Pública a efecto de poder rendir el presente informe a esta H. XVI Legislatura del Estado de Quintana Roo, con relación al manejo de la</w:t>
      </w:r>
      <w:r w:rsidR="00DE14F2">
        <w:rPr>
          <w:rFonts w:ascii="Arial" w:hAnsi="Arial" w:cs="Arial"/>
        </w:rPr>
        <w:t xml:space="preserve"> misma </w:t>
      </w:r>
      <w:r w:rsidRPr="00197921">
        <w:rPr>
          <w:rFonts w:ascii="Arial" w:hAnsi="Arial" w:cs="Arial"/>
        </w:rPr>
        <w:t>por parte de la autoridad correspondiente.</w:t>
      </w:r>
    </w:p>
    <w:p w:rsidR="00197921" w:rsidRPr="002013D4" w:rsidRDefault="00197921" w:rsidP="005A7E6B">
      <w:pPr>
        <w:spacing w:line="360" w:lineRule="auto"/>
        <w:ind w:right="49"/>
        <w:jc w:val="both"/>
        <w:rPr>
          <w:rFonts w:ascii="Arial" w:hAnsi="Arial" w:cs="Arial"/>
        </w:rPr>
      </w:pPr>
    </w:p>
    <w:p w:rsidR="00345C1A" w:rsidRDefault="00197921" w:rsidP="005A7E6B">
      <w:pPr>
        <w:spacing w:line="360" w:lineRule="auto"/>
        <w:ind w:right="49"/>
        <w:jc w:val="both"/>
        <w:rPr>
          <w:rFonts w:ascii="Arial" w:hAnsi="Arial" w:cs="Arial"/>
          <w:bCs/>
        </w:rPr>
      </w:pPr>
      <w:r w:rsidRPr="002013D4">
        <w:rPr>
          <w:rFonts w:ascii="Arial" w:hAnsi="Arial" w:cs="Arial"/>
          <w:bCs/>
        </w:rPr>
        <w:t xml:space="preserve">La formulación, revisión y aprobación de la Cuenta Pública de la </w:t>
      </w:r>
      <w:r w:rsidRPr="00C85BAC">
        <w:rPr>
          <w:rFonts w:ascii="Arial" w:hAnsi="Arial" w:cs="Arial"/>
          <w:b/>
        </w:rPr>
        <w:t>Oficialía Mayor</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rsidR="00197921" w:rsidRPr="00971AFA" w:rsidRDefault="00197921" w:rsidP="005A7E6B">
      <w:pPr>
        <w:spacing w:line="360" w:lineRule="auto"/>
        <w:ind w:right="49"/>
        <w:jc w:val="both"/>
        <w:rPr>
          <w:rFonts w:ascii="Arial" w:hAnsi="Arial" w:cs="Arial"/>
          <w:bCs/>
        </w:rPr>
      </w:pPr>
    </w:p>
    <w:p w:rsidR="0051225F" w:rsidRDefault="00345C1A" w:rsidP="005A7E6B">
      <w:pPr>
        <w:spacing w:line="360" w:lineRule="auto"/>
        <w:ind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97921" w:rsidRPr="000E7791">
        <w:rPr>
          <w:rFonts w:ascii="Arial" w:hAnsi="Arial" w:cs="Arial"/>
          <w:bCs/>
        </w:rPr>
        <w:t>que es desarrollado fundamentalmente por la</w:t>
      </w:r>
      <w:r w:rsidR="00197921" w:rsidRPr="000E7791">
        <w:rPr>
          <w:rFonts w:ascii="Arial" w:hAnsi="Arial" w:cs="Arial"/>
          <w:b/>
          <w:bCs/>
        </w:rPr>
        <w:t xml:space="preserve"> </w:t>
      </w:r>
      <w:r w:rsidR="00197921" w:rsidRPr="008E0803">
        <w:rPr>
          <w:rFonts w:ascii="Arial" w:hAnsi="Arial" w:cs="Arial"/>
        </w:rPr>
        <w:t xml:space="preserve">Secretaría de Finanzas y Planeación (Sefiplan), en coordinación con la </w:t>
      </w:r>
      <w:r w:rsidR="00197921" w:rsidRPr="008E0803">
        <w:rPr>
          <w:rFonts w:ascii="Arial" w:hAnsi="Arial" w:cs="Arial"/>
          <w:b/>
        </w:rPr>
        <w:t>Oficialía Mayor</w:t>
      </w:r>
      <w:r w:rsidR="00197921" w:rsidRPr="008E0803">
        <w:rPr>
          <w:rFonts w:ascii="Arial" w:hAnsi="Arial" w:cs="Arial"/>
        </w:rPr>
        <w:t>,</w:t>
      </w:r>
      <w:r w:rsidR="00197921" w:rsidRPr="009879F6">
        <w:rPr>
          <w:rFonts w:ascii="Arial" w:hAnsi="Arial" w:cs="Arial"/>
          <w:bCs/>
        </w:rPr>
        <w:t xml:space="preserve"> en la integración de la Cuenta Pública, la cual comprende los resultados de las labores administrativas realizadas en el ejercicio fiscal </w:t>
      </w:r>
      <w:r w:rsidR="00197921">
        <w:rPr>
          <w:rFonts w:ascii="Arial" w:hAnsi="Arial" w:cs="Arial"/>
          <w:bCs/>
        </w:rPr>
        <w:t>202</w:t>
      </w:r>
      <w:r w:rsidR="002E62A4">
        <w:rPr>
          <w:rFonts w:ascii="Arial" w:hAnsi="Arial" w:cs="Arial"/>
          <w:bCs/>
        </w:rPr>
        <w:t>1</w:t>
      </w:r>
      <w:r w:rsidR="00197921" w:rsidRPr="009879F6">
        <w:rPr>
          <w:rFonts w:ascii="Arial" w:hAnsi="Arial" w:cs="Arial"/>
          <w:bCs/>
        </w:rPr>
        <w:t xml:space="preserve">, así como las principales políticas financieras, económicas y sociales que influyeron en el resultado de los </w:t>
      </w:r>
      <w:r w:rsidR="00197921" w:rsidRPr="008E0803">
        <w:rPr>
          <w:rFonts w:ascii="Arial" w:hAnsi="Arial" w:cs="Arial"/>
          <w:bCs/>
        </w:rPr>
        <w:t>gastos ejercidos</w:t>
      </w:r>
      <w:r w:rsidR="00197921" w:rsidRPr="009879F6">
        <w:rPr>
          <w:rFonts w:ascii="Arial" w:hAnsi="Arial" w:cs="Arial"/>
          <w:bCs/>
        </w:rPr>
        <w:t xml:space="preserve"> por la entidad fiscalizada</w:t>
      </w:r>
      <w:r w:rsidR="00197921">
        <w:rPr>
          <w:rFonts w:ascii="Arial" w:hAnsi="Arial" w:cs="Arial"/>
          <w:bCs/>
        </w:rPr>
        <w:t>.</w:t>
      </w:r>
    </w:p>
    <w:p w:rsidR="00675F09" w:rsidRPr="000E7791" w:rsidRDefault="00675F09" w:rsidP="005A7E6B">
      <w:pPr>
        <w:spacing w:line="360" w:lineRule="auto"/>
        <w:ind w:right="49"/>
        <w:jc w:val="both"/>
        <w:rPr>
          <w:rFonts w:ascii="Arial" w:hAnsi="Arial" w:cs="Arial"/>
          <w:bCs/>
        </w:rPr>
      </w:pPr>
    </w:p>
    <w:p w:rsidR="001075DF" w:rsidRPr="00B92116" w:rsidRDefault="00345C1A" w:rsidP="005A7E6B">
      <w:pPr>
        <w:tabs>
          <w:tab w:val="left" w:pos="9356"/>
        </w:tabs>
        <w:spacing w:line="360" w:lineRule="auto"/>
        <w:ind w:right="49"/>
        <w:jc w:val="both"/>
        <w:rPr>
          <w:rFonts w:ascii="Arial" w:hAnsi="Arial" w:cs="Arial"/>
          <w:bCs/>
        </w:rPr>
      </w:pPr>
      <w:r w:rsidRPr="000E7791">
        <w:rPr>
          <w:rFonts w:ascii="Arial" w:hAnsi="Arial" w:cs="Arial"/>
          <w:b/>
          <w:bCs/>
        </w:rPr>
        <w:t xml:space="preserve">B.- El Proceso de Vigilancia; </w:t>
      </w:r>
      <w:r w:rsidR="00197921" w:rsidRPr="00197921">
        <w:rPr>
          <w:rFonts w:ascii="Arial" w:hAnsi="Arial" w:cs="Arial"/>
          <w:bCs/>
        </w:rPr>
        <w:t xml:space="preserve">que es desarrollado por la Legislatura del Estado con apoyo de la Auditoría Superior del Estado, cuya función es la revisión y fiscalización superior de la gestión financiera, teniendo carácter de externa y por lo tanto se efectúa de manera </w:t>
      </w:r>
      <w:r w:rsidR="00197921" w:rsidRPr="00197921">
        <w:rPr>
          <w:rFonts w:ascii="Arial" w:hAnsi="Arial" w:cs="Arial"/>
          <w:bCs/>
        </w:rPr>
        <w:lastRenderedPageBreak/>
        <w:t>independiente y autónoma de cualquier otra forma de control o fiscalización que realicen los órganos internos de control,</w:t>
      </w:r>
      <w:bookmarkStart w:id="2" w:name="_Hlk11404101"/>
      <w:r w:rsidR="00197921" w:rsidRPr="00197921">
        <w:rPr>
          <w:rFonts w:ascii="Arial" w:hAnsi="Arial" w:cs="Arial"/>
          <w:bCs/>
        </w:rPr>
        <w:t xml:space="preserve"> ejecutándose una vez que el programa anual de auditoría esté aprobado y publicado en su página de internet, para efectos de comprobar el cumplimiento de las </w:t>
      </w:r>
      <w:bookmarkStart w:id="3" w:name="_Hlk11355006"/>
      <w:r w:rsidR="00197921" w:rsidRPr="00197921">
        <w:rPr>
          <w:rFonts w:ascii="Arial" w:hAnsi="Arial" w:cs="Arial"/>
          <w:bCs/>
        </w:rPr>
        <w:t>disposiciones legales y normativas aplicables</w:t>
      </w:r>
      <w:bookmarkEnd w:id="3"/>
      <w:r w:rsidR="00197921" w:rsidRPr="00197921">
        <w:rPr>
          <w:rFonts w:ascii="Arial" w:hAnsi="Arial" w:cs="Arial"/>
          <w:bCs/>
        </w:rPr>
        <w:t>, en cuanto a</w:t>
      </w:r>
      <w:r w:rsidR="00EE709A">
        <w:rPr>
          <w:rFonts w:ascii="Arial" w:hAnsi="Arial" w:cs="Arial"/>
          <w:bCs/>
        </w:rPr>
        <w:t xml:space="preserve"> </w:t>
      </w:r>
      <w:r w:rsidR="00197921" w:rsidRPr="00197921">
        <w:rPr>
          <w:rFonts w:ascii="Arial" w:hAnsi="Arial" w:cs="Arial"/>
          <w:bCs/>
        </w:rPr>
        <w:t>l</w:t>
      </w:r>
      <w:r w:rsidR="00EE709A">
        <w:rPr>
          <w:rFonts w:ascii="Arial" w:hAnsi="Arial" w:cs="Arial"/>
          <w:bCs/>
        </w:rPr>
        <w:t>a a</w:t>
      </w:r>
      <w:r w:rsidR="00197921" w:rsidRPr="00197921">
        <w:rPr>
          <w:rFonts w:ascii="Arial" w:hAnsi="Arial" w:cs="Arial"/>
          <w:bCs/>
        </w:rPr>
        <w:t>plicación de los gastos públicos,</w:t>
      </w:r>
      <w:bookmarkEnd w:id="2"/>
      <w:r w:rsidR="00197921" w:rsidRPr="00197921">
        <w:rPr>
          <w:rFonts w:ascii="Arial" w:hAnsi="Arial" w:cs="Arial"/>
          <w:bCs/>
        </w:rPr>
        <w:t xml:space="preserve"> y todo lo relacionado con la actividad financiera-administrativa de la </w:t>
      </w:r>
      <w:r w:rsidR="00197921" w:rsidRPr="00197921">
        <w:rPr>
          <w:rFonts w:ascii="Arial" w:hAnsi="Arial" w:cs="Arial"/>
          <w:b/>
          <w:bCs/>
        </w:rPr>
        <w:t>Oficialía Mayor.</w:t>
      </w:r>
    </w:p>
    <w:p w:rsidR="00E95869" w:rsidRPr="00B92116" w:rsidRDefault="00E95869" w:rsidP="005A7E6B">
      <w:pPr>
        <w:spacing w:line="360" w:lineRule="auto"/>
        <w:ind w:right="49"/>
        <w:jc w:val="both"/>
        <w:rPr>
          <w:rFonts w:ascii="Arial" w:hAnsi="Arial" w:cs="Arial"/>
          <w:bCs/>
        </w:rPr>
      </w:pPr>
    </w:p>
    <w:p w:rsidR="00197921" w:rsidRPr="009879F6" w:rsidRDefault="00197921" w:rsidP="005A7E6B">
      <w:pPr>
        <w:spacing w:line="360" w:lineRule="auto"/>
        <w:ind w:right="49"/>
        <w:jc w:val="both"/>
        <w:rPr>
          <w:rFonts w:ascii="Arial" w:hAnsi="Arial" w:cs="Arial"/>
        </w:rPr>
      </w:pPr>
      <w:r w:rsidRPr="009879F6">
        <w:rPr>
          <w:rFonts w:ascii="Arial" w:hAnsi="Arial" w:cs="Arial"/>
        </w:rPr>
        <w:t xml:space="preserve">En la Cuenta Pública </w:t>
      </w:r>
      <w:r w:rsidRPr="00C438AB">
        <w:rPr>
          <w:rFonts w:ascii="Arial" w:hAnsi="Arial" w:cs="Arial"/>
          <w:iCs/>
        </w:rPr>
        <w:t>del</w:t>
      </w:r>
      <w:r w:rsidRPr="004408EB">
        <w:rPr>
          <w:rFonts w:ascii="Arial" w:hAnsi="Arial" w:cs="Arial"/>
          <w:i/>
          <w:iCs/>
        </w:rPr>
        <w:t xml:space="preserve"> </w:t>
      </w:r>
      <w:r w:rsidRPr="00376936">
        <w:rPr>
          <w:rFonts w:ascii="Arial" w:hAnsi="Arial" w:cs="Arial"/>
          <w:b/>
          <w:iCs/>
        </w:rPr>
        <w:t>H. Poder Ejecutivo del Gobierno del Estado Libre y Soberano</w:t>
      </w:r>
      <w:r w:rsidRPr="00376936">
        <w:rPr>
          <w:rFonts w:ascii="Arial" w:hAnsi="Arial" w:cs="Arial"/>
          <w:b/>
          <w:bCs/>
          <w:iCs/>
        </w:rPr>
        <w:t xml:space="preserve"> de Quintana Roo</w:t>
      </w:r>
      <w:r w:rsidRPr="004408EB">
        <w:rPr>
          <w:rFonts w:ascii="Arial" w:hAnsi="Arial" w:cs="Arial"/>
          <w:b/>
          <w:bCs/>
          <w:i/>
          <w:iCs/>
        </w:rPr>
        <w:t>,</w:t>
      </w:r>
      <w:r w:rsidRPr="009879F6">
        <w:rPr>
          <w:rFonts w:ascii="Arial" w:hAnsi="Arial" w:cs="Arial"/>
        </w:rPr>
        <w:t xml:space="preserve"> correspondiente al ejercicio fiscal </w:t>
      </w:r>
      <w:r w:rsidRPr="008E0803">
        <w:rPr>
          <w:rFonts w:ascii="Arial" w:hAnsi="Arial" w:cs="Arial"/>
          <w:bCs/>
        </w:rPr>
        <w:t>202</w:t>
      </w:r>
      <w:r w:rsidR="002E62A4">
        <w:rPr>
          <w:rFonts w:ascii="Arial" w:hAnsi="Arial" w:cs="Arial"/>
          <w:bCs/>
        </w:rPr>
        <w:t>1</w:t>
      </w:r>
      <w:r w:rsidRPr="008E0803">
        <w:rPr>
          <w:rFonts w:ascii="Arial" w:hAnsi="Arial" w:cs="Arial"/>
        </w:rPr>
        <w:t>,</w:t>
      </w:r>
      <w:r w:rsidRPr="009879F6">
        <w:rPr>
          <w:rFonts w:ascii="Arial" w:hAnsi="Arial" w:cs="Arial"/>
        </w:rPr>
        <w:t xml:space="preserve"> </w:t>
      </w:r>
      <w:r w:rsidRPr="002F0B0A">
        <w:rPr>
          <w:rFonts w:ascii="Arial" w:hAnsi="Arial" w:cs="Arial"/>
          <w:iCs/>
        </w:rPr>
        <w:t xml:space="preserve">se encuentra reflejada la </w:t>
      </w:r>
      <w:r w:rsidRPr="008E0803">
        <w:rPr>
          <w:rFonts w:ascii="Arial" w:hAnsi="Arial" w:cs="Arial"/>
          <w:iCs/>
        </w:rPr>
        <w:t>recaudación del ingreso, el ejercicio del gasto público y el financiamiento obtenido de la Administración Pública Central, integrada por el Despacho del Gobernador del Estado y las Dependencias, dentro de las cuales está la</w:t>
      </w:r>
      <w:r w:rsidRPr="008E0803">
        <w:t xml:space="preserve"> </w:t>
      </w:r>
      <w:r w:rsidRPr="008E0803">
        <w:rPr>
          <w:rFonts w:ascii="Arial" w:hAnsi="Arial" w:cs="Arial"/>
          <w:b/>
          <w:iCs/>
        </w:rPr>
        <w:t>Oficialía Mayor</w:t>
      </w:r>
      <w:r>
        <w:rPr>
          <w:rFonts w:ascii="Arial" w:hAnsi="Arial" w:cs="Arial"/>
          <w:iCs/>
        </w:rPr>
        <w:t xml:space="preserve">, </w:t>
      </w:r>
      <w:r w:rsidRPr="00A3469C">
        <w:rPr>
          <w:rFonts w:ascii="Arial" w:hAnsi="Arial" w:cs="Arial"/>
          <w:iCs/>
        </w:rPr>
        <w:t>registrando la obtención y aplicación de recursos</w:t>
      </w:r>
      <w:r w:rsidRPr="00A3469C">
        <w:t xml:space="preserve"> </w:t>
      </w:r>
      <w:r w:rsidRPr="008E0803">
        <w:rPr>
          <w:rFonts w:ascii="Arial" w:hAnsi="Arial" w:cs="Arial"/>
          <w:iCs/>
        </w:rPr>
        <w:t>estatales, federales y derivados de financiamientos.</w:t>
      </w:r>
      <w:r w:rsidRPr="009879F6">
        <w:rPr>
          <w:rFonts w:ascii="Arial" w:hAnsi="Arial" w:cs="Arial"/>
        </w:rPr>
        <w:t xml:space="preserve"> La Cuenta Pública fue entregada </w:t>
      </w:r>
      <w:r w:rsidRPr="008E0803">
        <w:rPr>
          <w:rFonts w:ascii="Arial" w:hAnsi="Arial" w:cs="Arial"/>
        </w:rPr>
        <w:t xml:space="preserve">a la Auditoría Superior del Estado, en fecha </w:t>
      </w:r>
      <w:r w:rsidR="008C7A22">
        <w:rPr>
          <w:rFonts w:ascii="Arial" w:hAnsi="Arial" w:cs="Arial"/>
        </w:rPr>
        <w:t>0</w:t>
      </w:r>
      <w:r w:rsidRPr="008E0803">
        <w:rPr>
          <w:rFonts w:ascii="Arial" w:hAnsi="Arial" w:cs="Arial"/>
        </w:rPr>
        <w:t xml:space="preserve">9 de </w:t>
      </w:r>
      <w:r w:rsidR="008C7A22">
        <w:rPr>
          <w:rFonts w:ascii="Arial" w:hAnsi="Arial" w:cs="Arial"/>
        </w:rPr>
        <w:t>marzo</w:t>
      </w:r>
      <w:r w:rsidRPr="008E0803">
        <w:rPr>
          <w:rFonts w:ascii="Arial" w:hAnsi="Arial" w:cs="Arial"/>
        </w:rPr>
        <w:t xml:space="preserve"> de 202</w:t>
      </w:r>
      <w:r w:rsidR="002E62A4">
        <w:rPr>
          <w:rFonts w:ascii="Arial" w:hAnsi="Arial" w:cs="Arial"/>
        </w:rPr>
        <w:t>2</w:t>
      </w:r>
      <w:r w:rsidRPr="008E0803">
        <w:rPr>
          <w:rFonts w:ascii="Arial" w:hAnsi="Arial" w:cs="Arial"/>
        </w:rPr>
        <w:t>, con oficio No. SEFIPLAN/DS/000</w:t>
      </w:r>
      <w:r w:rsidR="008C7A22">
        <w:rPr>
          <w:rFonts w:ascii="Arial" w:hAnsi="Arial" w:cs="Arial"/>
        </w:rPr>
        <w:t>26</w:t>
      </w:r>
      <w:r w:rsidRPr="008E0803">
        <w:rPr>
          <w:rFonts w:ascii="Arial" w:hAnsi="Arial" w:cs="Arial"/>
        </w:rPr>
        <w:t>0/I</w:t>
      </w:r>
      <w:r w:rsidR="008C7A22">
        <w:rPr>
          <w:rFonts w:ascii="Arial" w:hAnsi="Arial" w:cs="Arial"/>
        </w:rPr>
        <w:t>II</w:t>
      </w:r>
      <w:r w:rsidRPr="008E0803">
        <w:rPr>
          <w:rFonts w:ascii="Arial" w:hAnsi="Arial" w:cs="Arial"/>
        </w:rPr>
        <w:t>/202</w:t>
      </w:r>
      <w:r w:rsidR="008C7A22">
        <w:rPr>
          <w:rFonts w:ascii="Arial" w:hAnsi="Arial" w:cs="Arial"/>
        </w:rPr>
        <w:t>2</w:t>
      </w:r>
      <w:r w:rsidRPr="008E0803">
        <w:rPr>
          <w:rFonts w:ascii="Arial" w:hAnsi="Arial" w:cs="Arial"/>
        </w:rPr>
        <w:t>.</w:t>
      </w:r>
    </w:p>
    <w:p w:rsidR="00920993" w:rsidRPr="00C913BA" w:rsidRDefault="00920993" w:rsidP="005A7E6B">
      <w:pPr>
        <w:spacing w:line="360" w:lineRule="auto"/>
        <w:ind w:right="49"/>
        <w:jc w:val="both"/>
        <w:rPr>
          <w:rFonts w:ascii="Arial" w:hAnsi="Arial" w:cs="Arial"/>
          <w:iCs/>
        </w:rPr>
      </w:pPr>
    </w:p>
    <w:p w:rsidR="007D0A34" w:rsidRPr="009879F6" w:rsidRDefault="00197921" w:rsidP="005A7E6B">
      <w:pPr>
        <w:spacing w:line="360" w:lineRule="auto"/>
        <w:ind w:right="49"/>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3D3901">
        <w:rPr>
          <w:rFonts w:ascii="Arial" w:hAnsi="Arial" w:cs="Arial"/>
          <w:bCs/>
        </w:rPr>
        <w:t>artículos 8, 19 fracción I</w:t>
      </w:r>
      <w:r w:rsidR="0005461B">
        <w:rPr>
          <w:rFonts w:ascii="Arial" w:hAnsi="Arial" w:cs="Arial"/>
          <w:bCs/>
        </w:rPr>
        <w:t>,</w:t>
      </w:r>
      <w:r w:rsidRPr="003D3901">
        <w:rPr>
          <w:rFonts w:ascii="Arial" w:hAnsi="Arial" w:cs="Arial"/>
          <w:bCs/>
        </w:rPr>
        <w:t xml:space="preserve"> y 86 fracción IV, de la Ley de Fiscalización y Rendición de Cuentas del Estado de Quintana Roo,</w:t>
      </w:r>
      <w:r w:rsidRPr="004408EB">
        <w:rPr>
          <w:rFonts w:ascii="Arial" w:hAnsi="Arial" w:cs="Arial"/>
          <w:bCs/>
        </w:rPr>
        <w:t xml:space="preserve"> aprobó en fecha </w:t>
      </w:r>
      <w:r w:rsidR="008C7A22">
        <w:rPr>
          <w:rFonts w:ascii="Arial" w:hAnsi="Arial" w:cs="Arial"/>
          <w:bCs/>
        </w:rPr>
        <w:t>15</w:t>
      </w:r>
      <w:r w:rsidRPr="00B00737">
        <w:rPr>
          <w:rFonts w:ascii="Arial" w:hAnsi="Arial" w:cs="Arial"/>
          <w:bCs/>
        </w:rPr>
        <w:t xml:space="preserve"> de </w:t>
      </w:r>
      <w:r w:rsidR="008C7A22">
        <w:rPr>
          <w:rFonts w:ascii="Arial" w:hAnsi="Arial" w:cs="Arial"/>
          <w:bCs/>
        </w:rPr>
        <w:t>febrer</w:t>
      </w:r>
      <w:r w:rsidRPr="00B00737">
        <w:rPr>
          <w:rFonts w:ascii="Arial" w:hAnsi="Arial" w:cs="Arial"/>
          <w:bCs/>
        </w:rPr>
        <w:t>o de 202</w:t>
      </w:r>
      <w:r w:rsidR="008C7A22">
        <w:rPr>
          <w:rFonts w:ascii="Arial" w:hAnsi="Arial" w:cs="Arial"/>
          <w:bCs/>
        </w:rPr>
        <w:t>2</w:t>
      </w:r>
      <w:r w:rsidRPr="00B00737">
        <w:rPr>
          <w:rFonts w:ascii="Arial" w:hAnsi="Arial" w:cs="Arial"/>
          <w:bCs/>
        </w:rPr>
        <w:t xml:space="preserve"> mediante acuerdo administrativo, el Programa Anual de Auditorías, Visitas e Inspecciones (PAAVI), corres</w:t>
      </w:r>
      <w:r w:rsidR="008C7A22">
        <w:rPr>
          <w:rFonts w:ascii="Arial" w:hAnsi="Arial" w:cs="Arial"/>
          <w:bCs/>
        </w:rPr>
        <w:t>pondiente al año 2022</w:t>
      </w:r>
      <w:r w:rsidRPr="00B00737">
        <w:rPr>
          <w:rFonts w:ascii="Arial" w:hAnsi="Arial" w:cs="Arial"/>
          <w:bCs/>
        </w:rPr>
        <w:t>,</w:t>
      </w:r>
      <w:r w:rsidRPr="009879F6">
        <w:rPr>
          <w:rFonts w:ascii="Arial" w:hAnsi="Arial" w:cs="Arial"/>
          <w:bCs/>
        </w:rPr>
        <w:t xml:space="preserve"> para la fiscalización superior de la Cuenta Pública </w:t>
      </w:r>
      <w:r w:rsidRPr="00B00737">
        <w:rPr>
          <w:rFonts w:ascii="Arial" w:hAnsi="Arial" w:cs="Arial"/>
          <w:bCs/>
        </w:rPr>
        <w:t>202</w:t>
      </w:r>
      <w:r w:rsidR="008C7A22">
        <w:rPr>
          <w:rFonts w:ascii="Arial" w:hAnsi="Arial" w:cs="Arial"/>
          <w:bCs/>
        </w:rPr>
        <w:t>1</w:t>
      </w:r>
      <w:r w:rsidRPr="00B00737">
        <w:rPr>
          <w:rFonts w:ascii="Arial" w:hAnsi="Arial" w:cs="Arial"/>
          <w:bCs/>
        </w:rPr>
        <w:t>, el</w:t>
      </w:r>
      <w:r w:rsidRPr="009879F6">
        <w:rPr>
          <w:rFonts w:ascii="Arial" w:hAnsi="Arial" w:cs="Arial"/>
          <w:bCs/>
        </w:rPr>
        <w:t xml:space="preserve"> cual fue expedido y publicado en el portal web de la Auditoría Superior del Estado de Quintana Roo</w:t>
      </w:r>
      <w:r w:rsidR="0087515D" w:rsidRPr="009879F6">
        <w:rPr>
          <w:rFonts w:ascii="Arial" w:hAnsi="Arial" w:cs="Arial"/>
          <w:bCs/>
        </w:rPr>
        <w:t>.</w:t>
      </w:r>
    </w:p>
    <w:p w:rsidR="003816E0" w:rsidRDefault="003816E0" w:rsidP="005A7E6B">
      <w:pPr>
        <w:spacing w:line="360" w:lineRule="auto"/>
        <w:ind w:right="49"/>
        <w:jc w:val="both"/>
        <w:rPr>
          <w:rFonts w:ascii="Arial" w:hAnsi="Arial" w:cs="Arial"/>
        </w:rPr>
      </w:pPr>
    </w:p>
    <w:p w:rsidR="00A8203F" w:rsidRDefault="00A8203F" w:rsidP="005A7E6B">
      <w:pPr>
        <w:spacing w:line="360" w:lineRule="auto"/>
        <w:ind w:right="49"/>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D41155">
        <w:rPr>
          <w:rFonts w:ascii="Arial" w:hAnsi="Arial" w:cs="Arial"/>
        </w:rPr>
        <w:t>artículos 2, 3, 4, 5, 6 fracciones I, II y XX,</w:t>
      </w:r>
      <w:r w:rsidR="004866AD">
        <w:rPr>
          <w:rFonts w:ascii="Arial" w:hAnsi="Arial" w:cs="Arial"/>
        </w:rPr>
        <w:t xml:space="preserve"> </w:t>
      </w:r>
      <w:r w:rsidRPr="00D41155">
        <w:rPr>
          <w:rFonts w:ascii="Arial" w:hAnsi="Arial" w:cs="Arial"/>
        </w:rPr>
        <w:t>16, 17, 19 fracciones I, VI, VII, VIII, XII, XV, XXVI y XXVIII, 22 en su último párrafo, 38, 40, 41, 42 y 86 fracciones I, XVII, XXII y XXXVI de la Ley de Fiscalización y Rendición de Cuentas del Estado de Quintana Roo</w:t>
      </w:r>
      <w:r w:rsidRPr="004408EB">
        <w:rPr>
          <w:rFonts w:ascii="Arial" w:hAnsi="Arial" w:cs="Arial"/>
        </w:rPr>
        <w:t>, se tiene a bien presentar el Informe Individual de Auditoría</w:t>
      </w:r>
      <w:r>
        <w:rPr>
          <w:rFonts w:ascii="Arial" w:hAnsi="Arial" w:cs="Arial"/>
        </w:rPr>
        <w:t xml:space="preserve"> </w:t>
      </w:r>
      <w:r w:rsidRPr="004408EB">
        <w:rPr>
          <w:rFonts w:ascii="Arial" w:hAnsi="Arial" w:cs="Arial"/>
        </w:rPr>
        <w:lastRenderedPageBreak/>
        <w:t>obtenido con relación a la Cuenta Pública</w:t>
      </w:r>
      <w:r w:rsidRPr="004408EB">
        <w:rPr>
          <w:rFonts w:ascii="Arial" w:hAnsi="Arial" w:cs="Arial"/>
          <w:bCs/>
        </w:rPr>
        <w:t xml:space="preserve"> de la </w:t>
      </w:r>
      <w:r w:rsidRPr="00B00737">
        <w:rPr>
          <w:rFonts w:ascii="Arial" w:hAnsi="Arial" w:cs="Arial"/>
          <w:b/>
          <w:bCs/>
        </w:rPr>
        <w:t>Oficialía Mayor</w:t>
      </w:r>
      <w:r w:rsidRPr="00B00737">
        <w:rPr>
          <w:rFonts w:ascii="Arial" w:hAnsi="Arial" w:cs="Arial"/>
        </w:rPr>
        <w:t>, correspondiente al</w:t>
      </w:r>
      <w:r w:rsidRPr="00B00737">
        <w:rPr>
          <w:rFonts w:ascii="Arial" w:hAnsi="Arial" w:cs="Arial"/>
          <w:bCs/>
        </w:rPr>
        <w:t xml:space="preserve"> ejercicio fiscal 202</w:t>
      </w:r>
      <w:r w:rsidR="0081686A">
        <w:rPr>
          <w:rFonts w:ascii="Arial" w:hAnsi="Arial" w:cs="Arial"/>
          <w:bCs/>
        </w:rPr>
        <w:t>1</w:t>
      </w:r>
      <w:r w:rsidRPr="00B00737">
        <w:rPr>
          <w:rFonts w:ascii="Arial" w:hAnsi="Arial" w:cs="Arial"/>
        </w:rPr>
        <w:t>.</w:t>
      </w:r>
    </w:p>
    <w:p w:rsidR="00DC0367" w:rsidRDefault="00DC0367" w:rsidP="005A7E6B">
      <w:pPr>
        <w:ind w:right="49"/>
        <w:rPr>
          <w:rFonts w:ascii="Arial" w:hAnsi="Arial" w:cs="Arial"/>
        </w:rPr>
      </w:pPr>
    </w:p>
    <w:p w:rsidR="00430423" w:rsidRPr="00A05588" w:rsidRDefault="00430423" w:rsidP="005A7E6B">
      <w:pPr>
        <w:spacing w:line="360" w:lineRule="auto"/>
        <w:ind w:right="49"/>
        <w:rPr>
          <w:rFonts w:ascii="Arial" w:hAnsi="Arial" w:cs="Arial"/>
          <w:b/>
          <w:bCs/>
        </w:rPr>
      </w:pPr>
      <w:r w:rsidRPr="00A05588">
        <w:rPr>
          <w:rFonts w:ascii="Arial" w:hAnsi="Arial" w:cs="Arial"/>
          <w:b/>
          <w:bCs/>
        </w:rPr>
        <w:t>ANTECEDENTES DE LA ENTIDAD FISCALIZADA</w:t>
      </w:r>
    </w:p>
    <w:p w:rsidR="00A35B86" w:rsidRPr="00A05588" w:rsidRDefault="00A35B86" w:rsidP="005A7E6B">
      <w:pPr>
        <w:spacing w:line="360" w:lineRule="auto"/>
        <w:ind w:right="49"/>
        <w:rPr>
          <w:rFonts w:ascii="Arial" w:hAnsi="Arial" w:cs="Arial"/>
          <w:b/>
          <w:bCs/>
        </w:rPr>
      </w:pPr>
    </w:p>
    <w:p w:rsidR="00E3658B" w:rsidRPr="00A05588" w:rsidRDefault="00E3658B" w:rsidP="005A7E6B">
      <w:pPr>
        <w:spacing w:line="360" w:lineRule="auto"/>
        <w:ind w:right="49"/>
        <w:jc w:val="both"/>
        <w:rPr>
          <w:rFonts w:ascii="Arial" w:hAnsi="Arial" w:cs="Arial"/>
          <w:b/>
        </w:rPr>
      </w:pPr>
      <w:r w:rsidRPr="00A05588">
        <w:rPr>
          <w:rFonts w:ascii="Arial" w:hAnsi="Arial" w:cs="Arial"/>
          <w:b/>
        </w:rPr>
        <w:t>D</w:t>
      </w:r>
      <w:r w:rsidR="002913A5">
        <w:rPr>
          <w:rFonts w:ascii="Arial" w:hAnsi="Arial" w:cs="Arial"/>
          <w:b/>
        </w:rPr>
        <w:t>e su Creación y Objeto</w:t>
      </w:r>
    </w:p>
    <w:p w:rsidR="00E3712E" w:rsidRDefault="00E3712E" w:rsidP="005A7E6B">
      <w:pPr>
        <w:spacing w:line="360" w:lineRule="auto"/>
        <w:ind w:right="49"/>
        <w:jc w:val="both"/>
        <w:rPr>
          <w:rFonts w:ascii="Arial" w:hAnsi="Arial" w:cs="Arial"/>
        </w:rPr>
      </w:pPr>
    </w:p>
    <w:p w:rsidR="00EE709A" w:rsidRPr="00EE709A" w:rsidRDefault="00EE709A" w:rsidP="005A7E6B">
      <w:pPr>
        <w:spacing w:line="360" w:lineRule="auto"/>
        <w:ind w:right="49"/>
        <w:jc w:val="both"/>
        <w:rPr>
          <w:rFonts w:ascii="Arial" w:hAnsi="Arial" w:cs="Arial"/>
        </w:rPr>
      </w:pPr>
      <w:r w:rsidRPr="00EE709A">
        <w:rPr>
          <w:rFonts w:ascii="Arial" w:hAnsi="Arial" w:cs="Arial"/>
        </w:rPr>
        <w:t xml:space="preserve">La </w:t>
      </w:r>
      <w:r w:rsidRPr="00450035">
        <w:rPr>
          <w:rFonts w:ascii="Arial" w:hAnsi="Arial" w:cs="Arial"/>
          <w:b/>
        </w:rPr>
        <w:t>Oficialía Mayor</w:t>
      </w:r>
      <w:r w:rsidRPr="00EE709A">
        <w:rPr>
          <w:rFonts w:ascii="Arial" w:hAnsi="Arial" w:cs="Arial"/>
        </w:rPr>
        <w:t xml:space="preserve"> </w:t>
      </w:r>
      <w:r w:rsidR="005A7E6B">
        <w:rPr>
          <w:rFonts w:ascii="Arial" w:hAnsi="Arial" w:cs="Arial"/>
        </w:rPr>
        <w:t>tiene</w:t>
      </w:r>
      <w:r w:rsidRPr="00EE709A">
        <w:rPr>
          <w:rFonts w:ascii="Arial" w:hAnsi="Arial" w:cs="Arial"/>
        </w:rPr>
        <w:t xml:space="preserve"> sus orígenes el 31 de mayo de 1976, como lo estableció la entonces Ley Orgánica del Poder Ejecutivo del Estado de Quintana Roo, publicada en el Periódico Oficial del Estado</w:t>
      </w:r>
      <w:r w:rsidR="00A44C34">
        <w:rPr>
          <w:rFonts w:ascii="Arial" w:hAnsi="Arial" w:cs="Arial"/>
        </w:rPr>
        <w:t xml:space="preserve"> de Quintana Roo</w:t>
      </w:r>
      <w:r w:rsidRPr="00EE709A">
        <w:rPr>
          <w:rFonts w:ascii="Arial" w:hAnsi="Arial" w:cs="Arial"/>
        </w:rPr>
        <w:t xml:space="preserve"> en la misma fecha, y cuyo objeto es auxiliar al Titular del Poder Ejecutivo para el despacho, estudio y planeación de los asuntos que competan al sector que encabeza. </w:t>
      </w:r>
    </w:p>
    <w:p w:rsidR="00EE709A" w:rsidRPr="00EE709A" w:rsidRDefault="00EE709A" w:rsidP="005A7E6B">
      <w:pPr>
        <w:spacing w:line="360" w:lineRule="auto"/>
        <w:ind w:right="49"/>
        <w:jc w:val="both"/>
        <w:rPr>
          <w:rFonts w:ascii="Arial" w:hAnsi="Arial" w:cs="Arial"/>
        </w:rPr>
      </w:pPr>
    </w:p>
    <w:p w:rsidR="00EE709A" w:rsidRPr="00EE709A" w:rsidRDefault="00EE709A" w:rsidP="005A7E6B">
      <w:pPr>
        <w:spacing w:line="360" w:lineRule="auto"/>
        <w:ind w:right="49"/>
        <w:jc w:val="both"/>
        <w:rPr>
          <w:rFonts w:ascii="Arial" w:hAnsi="Arial" w:cs="Arial"/>
        </w:rPr>
      </w:pPr>
      <w:r w:rsidRPr="00EE709A">
        <w:rPr>
          <w:rFonts w:ascii="Arial" w:hAnsi="Arial" w:cs="Arial"/>
        </w:rPr>
        <w:t>A través de los años se fue transformando de acuerdo a la dinámica de crecimiento del Estado. El 23 de junio de 2017 se publica la Ley Orgánica de la Administración Pública del Estado de Quintana Roo y se fortalecieron sus atribuciones, en cuanto a proporcionar los servicios de administración, en coordinación con aquellas dependencias que tengan unidades administrativas y de representación regional, para que cumplan sus objetivos bajo criterios de eficiencia, productividad y ahorro en el gasto público que propicie mayor cercanía y mejor calidad de servicios a la población, entre otras.</w:t>
      </w:r>
    </w:p>
    <w:p w:rsidR="00EE709A" w:rsidRPr="00EE709A" w:rsidRDefault="00EE709A" w:rsidP="005A7E6B">
      <w:pPr>
        <w:spacing w:line="360" w:lineRule="auto"/>
        <w:ind w:right="49"/>
        <w:jc w:val="both"/>
        <w:rPr>
          <w:rFonts w:ascii="Arial" w:hAnsi="Arial" w:cs="Arial"/>
        </w:rPr>
      </w:pPr>
    </w:p>
    <w:p w:rsidR="0045531C" w:rsidRPr="00EE709A" w:rsidRDefault="00EE709A" w:rsidP="005A7E6B">
      <w:pPr>
        <w:spacing w:line="360" w:lineRule="auto"/>
        <w:ind w:right="49"/>
        <w:jc w:val="both"/>
        <w:rPr>
          <w:rFonts w:ascii="Arial" w:hAnsi="Arial" w:cs="Arial"/>
        </w:rPr>
      </w:pPr>
      <w:r w:rsidRPr="00EE709A">
        <w:rPr>
          <w:rFonts w:ascii="Arial" w:hAnsi="Arial" w:cs="Arial"/>
        </w:rPr>
        <w:t>Con fecha 16 de julio de 2021, se publicó en el Periódico Oficial</w:t>
      </w:r>
      <w:r w:rsidR="00B070E0">
        <w:rPr>
          <w:rFonts w:ascii="Arial" w:hAnsi="Arial" w:cs="Arial"/>
        </w:rPr>
        <w:t xml:space="preserve"> del Estado de Quintana Roo</w:t>
      </w:r>
      <w:r w:rsidRPr="00EE709A">
        <w:rPr>
          <w:rFonts w:ascii="Arial" w:hAnsi="Arial" w:cs="Arial"/>
        </w:rPr>
        <w:t xml:space="preserve">, el Decreto 133 expedido por la XVI Legislatura Constitucional del Estado Libre y Soberano de Quintana Roo, por el que se reforman, adicionan y derogan diversas disposiciones normativas de carácter administrativo del Estado; como consecuencia de dichas reformas se modificó el ámbito de competencia de la Sefiplan, al habérsele transferido las atribuciones que correspondían a la entonces </w:t>
      </w:r>
      <w:r w:rsidRPr="00450035">
        <w:rPr>
          <w:rFonts w:ascii="Arial" w:hAnsi="Arial" w:cs="Arial"/>
          <w:b/>
        </w:rPr>
        <w:t>Oficialía Mayor</w:t>
      </w:r>
      <w:r w:rsidRPr="00EE709A">
        <w:rPr>
          <w:rFonts w:ascii="Arial" w:hAnsi="Arial" w:cs="Arial"/>
        </w:rPr>
        <w:t>.</w:t>
      </w:r>
      <w:r w:rsidR="0045531C">
        <w:rPr>
          <w:rFonts w:ascii="Arial" w:hAnsi="Arial" w:cs="Arial"/>
          <w:b/>
          <w:bCs/>
        </w:rPr>
        <w:br w:type="page"/>
      </w:r>
    </w:p>
    <w:p w:rsidR="00C47B98" w:rsidRPr="009879F6" w:rsidRDefault="00C47B98" w:rsidP="005A7E6B">
      <w:pPr>
        <w:spacing w:line="360" w:lineRule="auto"/>
        <w:ind w:right="49"/>
        <w:jc w:val="both"/>
        <w:rPr>
          <w:rFonts w:ascii="Arial" w:hAnsi="Arial" w:cs="Arial"/>
          <w:b/>
          <w:bCs/>
        </w:rPr>
      </w:pPr>
      <w:r w:rsidRPr="009879F6">
        <w:rPr>
          <w:rFonts w:ascii="Arial" w:hAnsi="Arial" w:cs="Arial"/>
          <w:b/>
          <w:bCs/>
        </w:rPr>
        <w:lastRenderedPageBreak/>
        <w:t>I. INFORME INDIVIDUAL DE AUDITOR</w:t>
      </w:r>
      <w:r w:rsidR="007115E0" w:rsidRPr="009879F6">
        <w:rPr>
          <w:rFonts w:ascii="Arial" w:hAnsi="Arial" w:cs="Arial"/>
          <w:b/>
          <w:bCs/>
        </w:rPr>
        <w:t>Í</w:t>
      </w:r>
      <w:r w:rsidRPr="009879F6">
        <w:rPr>
          <w:rFonts w:ascii="Arial" w:hAnsi="Arial" w:cs="Arial"/>
          <w:b/>
          <w:bCs/>
        </w:rPr>
        <w:t xml:space="preserve">A RELATIVO A </w:t>
      </w:r>
      <w:r w:rsidR="0045531C" w:rsidRPr="00B00737">
        <w:rPr>
          <w:rFonts w:ascii="Arial" w:hAnsi="Arial" w:cs="Arial"/>
          <w:b/>
          <w:bCs/>
        </w:rPr>
        <w:t>EGRESOS</w:t>
      </w:r>
    </w:p>
    <w:p w:rsidR="00C47B98" w:rsidRPr="005A7E6B" w:rsidRDefault="00C47B98" w:rsidP="005A7E6B">
      <w:pPr>
        <w:spacing w:line="360" w:lineRule="auto"/>
        <w:ind w:right="49"/>
        <w:jc w:val="both"/>
        <w:rPr>
          <w:rFonts w:ascii="Arial" w:hAnsi="Arial" w:cs="Arial"/>
          <w:b/>
          <w:bCs/>
          <w:sz w:val="22"/>
        </w:rPr>
      </w:pPr>
    </w:p>
    <w:p w:rsidR="00926E86" w:rsidRPr="009879F6" w:rsidRDefault="00926E86" w:rsidP="005A7E6B">
      <w:pPr>
        <w:spacing w:line="360" w:lineRule="auto"/>
        <w:ind w:right="49"/>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3A721E" w:rsidRPr="005A7E6B" w:rsidRDefault="003A721E" w:rsidP="005A7E6B">
      <w:pPr>
        <w:spacing w:line="360" w:lineRule="auto"/>
        <w:ind w:right="49"/>
        <w:jc w:val="both"/>
        <w:rPr>
          <w:rFonts w:ascii="Arial" w:hAnsi="Arial" w:cs="Arial"/>
          <w:b/>
          <w:bCs/>
          <w:sz w:val="22"/>
        </w:rPr>
      </w:pPr>
    </w:p>
    <w:p w:rsidR="00AA50F2" w:rsidRDefault="00FF74D2" w:rsidP="005A7E6B">
      <w:pPr>
        <w:spacing w:line="360" w:lineRule="auto"/>
        <w:ind w:right="49"/>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rsidR="0045531C" w:rsidRPr="005A7E6B" w:rsidRDefault="0045531C" w:rsidP="005A7E6B">
      <w:pPr>
        <w:spacing w:line="360" w:lineRule="auto"/>
        <w:ind w:right="49"/>
        <w:jc w:val="both"/>
        <w:rPr>
          <w:rFonts w:ascii="Arial" w:hAnsi="Arial" w:cs="Arial"/>
          <w:b/>
          <w:bCs/>
          <w:sz w:val="22"/>
        </w:rPr>
      </w:pPr>
    </w:p>
    <w:p w:rsidR="0045531C" w:rsidRPr="009879F6" w:rsidRDefault="0045531C" w:rsidP="005A7E6B">
      <w:pPr>
        <w:tabs>
          <w:tab w:val="left" w:pos="1040"/>
          <w:tab w:val="left" w:pos="9639"/>
        </w:tabs>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 la </w:t>
      </w:r>
      <w:r w:rsidRPr="00525BCF">
        <w:rPr>
          <w:rFonts w:ascii="Arial" w:hAnsi="Arial" w:cs="Arial"/>
          <w:b/>
        </w:rPr>
        <w:t>Oficialía Mayor</w:t>
      </w:r>
      <w:r w:rsidRPr="009879F6">
        <w:rPr>
          <w:rFonts w:ascii="Arial" w:hAnsi="Arial" w:cs="Arial"/>
        </w:rPr>
        <w:t>, de manera especial y enunciativa mas no limitativa, fue la siguiente:</w:t>
      </w:r>
    </w:p>
    <w:p w:rsidR="00AA50F2" w:rsidRPr="005A7E6B" w:rsidRDefault="00AA50F2" w:rsidP="005A7E6B">
      <w:pPr>
        <w:spacing w:line="360" w:lineRule="auto"/>
        <w:ind w:right="49"/>
        <w:jc w:val="both"/>
        <w:rPr>
          <w:rFonts w:ascii="Arial" w:hAnsi="Arial" w:cs="Arial"/>
          <w:sz w:val="22"/>
        </w:rPr>
      </w:pPr>
    </w:p>
    <w:tbl>
      <w:tblPr>
        <w:tblW w:w="4927" w:type="pct"/>
        <w:jc w:val="center"/>
        <w:tblLayout w:type="fixed"/>
        <w:tblCellMar>
          <w:left w:w="70" w:type="dxa"/>
          <w:right w:w="70" w:type="dxa"/>
        </w:tblCellMar>
        <w:tblLook w:val="04A0" w:firstRow="1" w:lastRow="0" w:firstColumn="1" w:lastColumn="0" w:noHBand="0" w:noVBand="1"/>
      </w:tblPr>
      <w:tblGrid>
        <w:gridCol w:w="4111"/>
        <w:gridCol w:w="5436"/>
      </w:tblGrid>
      <w:tr w:rsidR="00AA50F2" w:rsidRPr="009879F6" w:rsidTr="005A7E6B">
        <w:trPr>
          <w:trHeight w:val="678"/>
          <w:tblHeader/>
          <w:jc w:val="center"/>
        </w:trPr>
        <w:tc>
          <w:tcPr>
            <w:tcW w:w="2153" w:type="pct"/>
            <w:shd w:val="clear" w:color="auto" w:fill="auto"/>
          </w:tcPr>
          <w:p w:rsidR="00AA50F2" w:rsidRPr="009879F6" w:rsidRDefault="0045531C" w:rsidP="005A7E6B">
            <w:pPr>
              <w:spacing w:line="360" w:lineRule="auto"/>
              <w:ind w:right="49"/>
              <w:jc w:val="both"/>
              <w:rPr>
                <w:rFonts w:ascii="Arial" w:hAnsi="Arial" w:cs="Arial"/>
                <w:b/>
                <w:bCs/>
              </w:rPr>
            </w:pPr>
            <w:r>
              <w:rPr>
                <w:rFonts w:ascii="Arial" w:hAnsi="Arial" w:cs="Arial"/>
                <w:b/>
                <w:bCs/>
              </w:rPr>
              <w:t>2</w:t>
            </w:r>
            <w:r w:rsidR="0081686A">
              <w:rPr>
                <w:rFonts w:ascii="Arial" w:hAnsi="Arial" w:cs="Arial"/>
                <w:b/>
                <w:bCs/>
              </w:rPr>
              <w:t>1</w:t>
            </w:r>
            <w:r>
              <w:rPr>
                <w:rFonts w:ascii="Arial" w:hAnsi="Arial" w:cs="Arial"/>
                <w:b/>
                <w:bCs/>
              </w:rPr>
              <w:t>-AEMF-B-GOB-005-010</w:t>
            </w:r>
          </w:p>
        </w:tc>
        <w:tc>
          <w:tcPr>
            <w:tcW w:w="2847" w:type="pct"/>
            <w:shd w:val="clear" w:color="auto" w:fill="auto"/>
          </w:tcPr>
          <w:p w:rsidR="00AA50F2" w:rsidRPr="009879F6" w:rsidRDefault="0045531C" w:rsidP="005A7E6B">
            <w:pPr>
              <w:spacing w:line="360" w:lineRule="auto"/>
              <w:ind w:right="49"/>
              <w:jc w:val="both"/>
              <w:rPr>
                <w:rFonts w:ascii="Arial" w:hAnsi="Arial" w:cs="Arial"/>
                <w:bCs/>
              </w:rPr>
            </w:pPr>
            <w:r w:rsidRPr="009879F6">
              <w:rPr>
                <w:rFonts w:ascii="Arial" w:hAnsi="Arial" w:cs="Arial"/>
                <w:bCs/>
              </w:rPr>
              <w:t>“</w:t>
            </w:r>
            <w:r>
              <w:rPr>
                <w:rFonts w:ascii="Arial" w:hAnsi="Arial" w:cs="Arial"/>
                <w:bCs/>
              </w:rPr>
              <w:t>Auditoría de Cumplimiento Financiero de Egresos Ejercidos”</w:t>
            </w:r>
          </w:p>
        </w:tc>
      </w:tr>
    </w:tbl>
    <w:p w:rsidR="00202093" w:rsidRPr="005A7E6B" w:rsidRDefault="00202093" w:rsidP="005A7E6B">
      <w:pPr>
        <w:spacing w:line="360" w:lineRule="auto"/>
        <w:ind w:right="49"/>
        <w:jc w:val="both"/>
        <w:rPr>
          <w:rFonts w:ascii="Arial" w:hAnsi="Arial" w:cs="Arial"/>
          <w:b/>
          <w:bCs/>
          <w:sz w:val="22"/>
        </w:rPr>
      </w:pPr>
    </w:p>
    <w:p w:rsidR="00AA50F2" w:rsidRPr="009879F6" w:rsidRDefault="00FF74D2" w:rsidP="005A7E6B">
      <w:pPr>
        <w:spacing w:line="360" w:lineRule="auto"/>
        <w:ind w:right="49"/>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AA50F2" w:rsidRPr="005A7E6B" w:rsidRDefault="00AA50F2" w:rsidP="005A7E6B">
      <w:pPr>
        <w:spacing w:line="360" w:lineRule="auto"/>
        <w:ind w:right="49"/>
        <w:jc w:val="both"/>
        <w:rPr>
          <w:rFonts w:ascii="Arial" w:hAnsi="Arial" w:cs="Arial"/>
          <w:bCs/>
          <w:sz w:val="22"/>
        </w:rPr>
      </w:pPr>
    </w:p>
    <w:p w:rsidR="0045531C" w:rsidRDefault="0045531C" w:rsidP="005A7E6B">
      <w:pPr>
        <w:spacing w:line="360" w:lineRule="auto"/>
        <w:ind w:right="49"/>
        <w:jc w:val="both"/>
        <w:rPr>
          <w:rFonts w:ascii="Arial" w:hAnsi="Arial" w:cs="Arial"/>
          <w:bCs/>
        </w:rPr>
      </w:pPr>
      <w:r w:rsidRPr="0076567A">
        <w:rPr>
          <w:rFonts w:ascii="Arial" w:hAnsi="Arial" w:cs="Arial"/>
          <w:bCs/>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p>
    <w:p w:rsidR="00AA50F2" w:rsidRPr="005A7E6B" w:rsidRDefault="00AA50F2" w:rsidP="005A7E6B">
      <w:pPr>
        <w:spacing w:line="360" w:lineRule="auto"/>
        <w:ind w:right="49"/>
        <w:jc w:val="both"/>
        <w:rPr>
          <w:rFonts w:ascii="Arial" w:hAnsi="Arial" w:cs="Arial"/>
          <w:bCs/>
          <w:sz w:val="22"/>
        </w:rPr>
      </w:pPr>
    </w:p>
    <w:p w:rsidR="00AA50F2" w:rsidRPr="00AA50F2" w:rsidRDefault="00FF74D2" w:rsidP="005A7E6B">
      <w:pPr>
        <w:spacing w:line="360" w:lineRule="auto"/>
        <w:ind w:right="49"/>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rsidR="00AA50F2" w:rsidRPr="005A7E6B" w:rsidRDefault="00AA50F2" w:rsidP="005A7E6B">
      <w:pPr>
        <w:spacing w:line="360" w:lineRule="auto"/>
        <w:ind w:right="49"/>
        <w:jc w:val="both"/>
        <w:rPr>
          <w:rFonts w:ascii="Arial" w:hAnsi="Arial" w:cs="Arial"/>
          <w:sz w:val="22"/>
        </w:rPr>
      </w:pPr>
    </w:p>
    <w:p w:rsidR="00AA50F2" w:rsidRPr="009879F6" w:rsidRDefault="00E34202" w:rsidP="005A7E6B">
      <w:pPr>
        <w:spacing w:line="360" w:lineRule="auto"/>
        <w:ind w:right="49"/>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45531C" w:rsidRPr="0045531C">
        <w:rPr>
          <w:rFonts w:ascii="Arial" w:hAnsi="Arial" w:cs="Arial"/>
        </w:rPr>
        <w:t>$</w:t>
      </w:r>
      <w:r w:rsidR="00220973">
        <w:rPr>
          <w:rFonts w:ascii="Arial" w:hAnsi="Arial" w:cs="Arial"/>
        </w:rPr>
        <w:t>204</w:t>
      </w:r>
      <w:r w:rsidR="0045531C" w:rsidRPr="0045531C">
        <w:rPr>
          <w:rFonts w:ascii="Arial" w:hAnsi="Arial" w:cs="Arial"/>
        </w:rPr>
        <w:t>,</w:t>
      </w:r>
      <w:r w:rsidR="00220973">
        <w:rPr>
          <w:rFonts w:ascii="Arial" w:hAnsi="Arial" w:cs="Arial"/>
        </w:rPr>
        <w:t>58</w:t>
      </w:r>
      <w:r w:rsidR="0045531C" w:rsidRPr="0045531C">
        <w:rPr>
          <w:rFonts w:ascii="Arial" w:hAnsi="Arial" w:cs="Arial"/>
        </w:rPr>
        <w:t>6,</w:t>
      </w:r>
      <w:r w:rsidR="00220973">
        <w:rPr>
          <w:rFonts w:ascii="Arial" w:hAnsi="Arial" w:cs="Arial"/>
        </w:rPr>
        <w:t>880</w:t>
      </w:r>
      <w:r w:rsidR="0045531C" w:rsidRPr="0045531C">
        <w:rPr>
          <w:rFonts w:ascii="Arial" w:hAnsi="Arial" w:cs="Arial"/>
        </w:rPr>
        <w:t>.</w:t>
      </w:r>
      <w:r w:rsidR="00220973">
        <w:rPr>
          <w:rFonts w:ascii="Arial" w:hAnsi="Arial" w:cs="Arial"/>
        </w:rPr>
        <w:t>07</w:t>
      </w:r>
    </w:p>
    <w:p w:rsidR="00A720AA" w:rsidRPr="005A7E6B" w:rsidRDefault="00A720AA" w:rsidP="005A7E6B">
      <w:pPr>
        <w:spacing w:line="360" w:lineRule="auto"/>
        <w:ind w:right="49"/>
        <w:rPr>
          <w:rFonts w:ascii="Arial" w:hAnsi="Arial" w:cs="Arial"/>
          <w:sz w:val="22"/>
        </w:rPr>
      </w:pPr>
      <w:bookmarkStart w:id="4" w:name="_Toc518907881"/>
      <w:bookmarkStart w:id="5" w:name="_Toc520196704"/>
    </w:p>
    <w:p w:rsidR="00A720AA" w:rsidRPr="009879F6" w:rsidRDefault="00A720AA" w:rsidP="005A7E6B">
      <w:pPr>
        <w:spacing w:line="360" w:lineRule="auto"/>
        <w:ind w:right="49"/>
        <w:rPr>
          <w:rFonts w:ascii="Arial" w:hAnsi="Arial" w:cs="Arial"/>
        </w:rPr>
      </w:pPr>
      <w:r w:rsidRPr="009879F6">
        <w:rPr>
          <w:rFonts w:ascii="Arial" w:hAnsi="Arial" w:cs="Arial"/>
          <w:b/>
        </w:rPr>
        <w:t xml:space="preserve">Población Objetivo: </w:t>
      </w:r>
      <w:r w:rsidR="0045531C" w:rsidRPr="0045531C">
        <w:rPr>
          <w:rFonts w:ascii="Arial" w:hAnsi="Arial" w:cs="Arial"/>
        </w:rPr>
        <w:t>$1</w:t>
      </w:r>
      <w:r w:rsidR="00220973">
        <w:rPr>
          <w:rFonts w:ascii="Arial" w:hAnsi="Arial" w:cs="Arial"/>
        </w:rPr>
        <w:t>22</w:t>
      </w:r>
      <w:r w:rsidR="0045531C" w:rsidRPr="0045531C">
        <w:rPr>
          <w:rFonts w:ascii="Arial" w:hAnsi="Arial" w:cs="Arial"/>
        </w:rPr>
        <w:t>,4</w:t>
      </w:r>
      <w:r w:rsidR="00220973">
        <w:rPr>
          <w:rFonts w:ascii="Arial" w:hAnsi="Arial" w:cs="Arial"/>
        </w:rPr>
        <w:t>54</w:t>
      </w:r>
      <w:r w:rsidR="0045531C" w:rsidRPr="0045531C">
        <w:rPr>
          <w:rFonts w:ascii="Arial" w:hAnsi="Arial" w:cs="Arial"/>
        </w:rPr>
        <w:t>,</w:t>
      </w:r>
      <w:r w:rsidR="00220973">
        <w:rPr>
          <w:rFonts w:ascii="Arial" w:hAnsi="Arial" w:cs="Arial"/>
        </w:rPr>
        <w:t>518</w:t>
      </w:r>
      <w:r w:rsidR="0045531C" w:rsidRPr="0045531C">
        <w:rPr>
          <w:rFonts w:ascii="Arial" w:hAnsi="Arial" w:cs="Arial"/>
        </w:rPr>
        <w:t>.</w:t>
      </w:r>
      <w:r w:rsidR="00220973">
        <w:rPr>
          <w:rFonts w:ascii="Arial" w:hAnsi="Arial" w:cs="Arial"/>
        </w:rPr>
        <w:t>08</w:t>
      </w:r>
    </w:p>
    <w:p w:rsidR="00E34202" w:rsidRPr="005A7E6B" w:rsidRDefault="00E34202" w:rsidP="005A7E6B">
      <w:pPr>
        <w:spacing w:line="360" w:lineRule="auto"/>
        <w:ind w:right="49"/>
        <w:rPr>
          <w:rFonts w:ascii="Arial" w:hAnsi="Arial" w:cs="Arial"/>
          <w:sz w:val="22"/>
        </w:rPr>
      </w:pPr>
    </w:p>
    <w:p w:rsidR="00AA50F2" w:rsidRDefault="00AA50F2" w:rsidP="005A7E6B">
      <w:pPr>
        <w:spacing w:line="360" w:lineRule="auto"/>
        <w:ind w:right="49"/>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0045531C" w:rsidRPr="0045531C">
        <w:rPr>
          <w:rFonts w:ascii="Arial" w:hAnsi="Arial" w:cs="Arial"/>
        </w:rPr>
        <w:t>$</w:t>
      </w:r>
      <w:r w:rsidR="001B1E64">
        <w:rPr>
          <w:rFonts w:ascii="Arial" w:hAnsi="Arial" w:cs="Arial"/>
        </w:rPr>
        <w:t>80</w:t>
      </w:r>
      <w:r w:rsidR="0045531C" w:rsidRPr="0045531C">
        <w:rPr>
          <w:rFonts w:ascii="Arial" w:hAnsi="Arial" w:cs="Arial"/>
        </w:rPr>
        <w:t>,</w:t>
      </w:r>
      <w:r w:rsidR="001B1E64">
        <w:rPr>
          <w:rFonts w:ascii="Arial" w:hAnsi="Arial" w:cs="Arial"/>
        </w:rPr>
        <w:t>928</w:t>
      </w:r>
      <w:r w:rsidR="0045531C" w:rsidRPr="0045531C">
        <w:rPr>
          <w:rFonts w:ascii="Arial" w:hAnsi="Arial" w:cs="Arial"/>
        </w:rPr>
        <w:t>,</w:t>
      </w:r>
      <w:r w:rsidR="00220973">
        <w:rPr>
          <w:rFonts w:ascii="Arial" w:hAnsi="Arial" w:cs="Arial"/>
        </w:rPr>
        <w:t>7</w:t>
      </w:r>
      <w:r w:rsidR="0045531C" w:rsidRPr="0045531C">
        <w:rPr>
          <w:rFonts w:ascii="Arial" w:hAnsi="Arial" w:cs="Arial"/>
        </w:rPr>
        <w:t>9</w:t>
      </w:r>
      <w:r w:rsidR="001B1E64">
        <w:rPr>
          <w:rFonts w:ascii="Arial" w:hAnsi="Arial" w:cs="Arial"/>
        </w:rPr>
        <w:t>8</w:t>
      </w:r>
      <w:r w:rsidR="0045531C" w:rsidRPr="0045531C">
        <w:rPr>
          <w:rFonts w:ascii="Arial" w:hAnsi="Arial" w:cs="Arial"/>
        </w:rPr>
        <w:t>.</w:t>
      </w:r>
      <w:r w:rsidR="00220973">
        <w:rPr>
          <w:rFonts w:ascii="Arial" w:hAnsi="Arial" w:cs="Arial"/>
        </w:rPr>
        <w:t>94</w:t>
      </w:r>
    </w:p>
    <w:p w:rsidR="00220973" w:rsidRPr="005A7E6B" w:rsidRDefault="00220973" w:rsidP="005A7E6B">
      <w:pPr>
        <w:spacing w:line="360" w:lineRule="auto"/>
        <w:ind w:right="49"/>
        <w:rPr>
          <w:rFonts w:ascii="Arial" w:hAnsi="Arial" w:cs="Arial"/>
          <w:sz w:val="22"/>
        </w:rPr>
      </w:pPr>
    </w:p>
    <w:p w:rsidR="00AA50F2" w:rsidRPr="009879F6" w:rsidRDefault="00FA4D20" w:rsidP="005A7E6B">
      <w:pPr>
        <w:spacing w:line="360" w:lineRule="auto"/>
        <w:ind w:right="49"/>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220973">
        <w:rPr>
          <w:rFonts w:ascii="Arial" w:hAnsi="Arial" w:cs="Arial"/>
        </w:rPr>
        <w:t>6</w:t>
      </w:r>
      <w:r w:rsidR="001B1E64">
        <w:rPr>
          <w:rFonts w:ascii="Arial" w:hAnsi="Arial" w:cs="Arial"/>
        </w:rPr>
        <w:t>6.09</w:t>
      </w:r>
      <w:r w:rsidR="0045531C" w:rsidRPr="0045531C">
        <w:rPr>
          <w:rFonts w:ascii="Arial" w:hAnsi="Arial" w:cs="Arial"/>
        </w:rPr>
        <w:t>%</w:t>
      </w:r>
    </w:p>
    <w:p w:rsidR="0045531C" w:rsidRDefault="0045531C" w:rsidP="005A7E6B">
      <w:pPr>
        <w:spacing w:line="360" w:lineRule="auto"/>
        <w:ind w:right="49"/>
        <w:jc w:val="both"/>
        <w:rPr>
          <w:rFonts w:ascii="Arial" w:hAnsi="Arial" w:cs="Arial"/>
        </w:rPr>
      </w:pPr>
      <w:r w:rsidRPr="00423743">
        <w:rPr>
          <w:rFonts w:ascii="Arial" w:hAnsi="Arial" w:cs="Arial"/>
        </w:rPr>
        <w:lastRenderedPageBreak/>
        <w:t xml:space="preserve">En el total del Universo están considerados los recursos federales por la cantidad de </w:t>
      </w:r>
      <w:r w:rsidRPr="007605D9">
        <w:rPr>
          <w:rFonts w:ascii="Arial" w:hAnsi="Arial" w:cs="Arial"/>
        </w:rPr>
        <w:t>$</w:t>
      </w:r>
      <w:r w:rsidR="0005461B" w:rsidRPr="0005461B">
        <w:rPr>
          <w:rFonts w:ascii="Arial" w:hAnsi="Arial" w:cs="Arial"/>
        </w:rPr>
        <w:t>82,132,361.99</w:t>
      </w:r>
      <w:r w:rsidRPr="007605D9">
        <w:rPr>
          <w:rFonts w:ascii="Arial" w:hAnsi="Arial" w:cs="Arial"/>
        </w:rPr>
        <w:t>,</w:t>
      </w:r>
      <w:r w:rsidRPr="00423743">
        <w:rPr>
          <w:rFonts w:ascii="Arial" w:hAnsi="Arial" w:cs="Arial"/>
        </w:rPr>
        <w:t xml:space="preserve"> los cuales no se contemplaron en el monto de la muestra auditada, quedando integrada la población objetivo únicamente por recursos </w:t>
      </w:r>
      <w:r w:rsidRPr="007605D9">
        <w:rPr>
          <w:rFonts w:ascii="Arial" w:hAnsi="Arial" w:cs="Arial"/>
        </w:rPr>
        <w:t>estatales.</w:t>
      </w:r>
    </w:p>
    <w:p w:rsidR="007E7538" w:rsidRDefault="007E7538" w:rsidP="005A7E6B">
      <w:pPr>
        <w:spacing w:line="360" w:lineRule="auto"/>
        <w:ind w:right="49"/>
        <w:jc w:val="both"/>
        <w:rPr>
          <w:rFonts w:ascii="Arial" w:hAnsi="Arial" w:cs="Arial"/>
        </w:rPr>
      </w:pPr>
    </w:p>
    <w:p w:rsidR="0045531C" w:rsidRPr="00F74279" w:rsidRDefault="0045531C" w:rsidP="005A7E6B">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sidRPr="007605D9">
        <w:rPr>
          <w:rFonts w:ascii="Arial" w:hAnsi="Arial" w:cs="Arial"/>
        </w:rPr>
        <w:t>egresos devengados que forman parte del Estado Analítico del Ejercicio del Presupuesto de Egresos por Objeto del Gasto emitido por la Sefiplan,</w:t>
      </w:r>
      <w:r w:rsidRPr="009879F6">
        <w:rPr>
          <w:rFonts w:ascii="Arial" w:hAnsi="Arial" w:cs="Arial"/>
        </w:rPr>
        <w:t xml:space="preserve"> por el período comprendido del 1º de enero al 31 de diciembre de </w:t>
      </w:r>
      <w:r>
        <w:rPr>
          <w:rFonts w:ascii="Arial" w:hAnsi="Arial" w:cs="Arial"/>
          <w:bCs/>
        </w:rPr>
        <w:t>202</w:t>
      </w:r>
      <w:r w:rsidR="00DC0367">
        <w:rPr>
          <w:rFonts w:ascii="Arial" w:hAnsi="Arial" w:cs="Arial"/>
          <w:bCs/>
        </w:rPr>
        <w:t>1</w:t>
      </w:r>
      <w:r w:rsidRPr="009879F6">
        <w:rPr>
          <w:rFonts w:ascii="Arial" w:hAnsi="Arial" w:cs="Arial"/>
        </w:rPr>
        <w:t>, como se presenta en la siguiente tabla:</w:t>
      </w:r>
    </w:p>
    <w:p w:rsidR="00AA50F2" w:rsidRDefault="00AA50F2" w:rsidP="005A7E6B">
      <w:pPr>
        <w:spacing w:line="360" w:lineRule="auto"/>
        <w:ind w:right="49"/>
        <w:jc w:val="both"/>
        <w:rPr>
          <w:rFonts w:ascii="Arial" w:hAnsi="Arial" w:cs="Arial"/>
          <w:bCs/>
        </w:rPr>
      </w:pPr>
    </w:p>
    <w:p w:rsidR="003A721E" w:rsidRDefault="00FF74D2" w:rsidP="005A7E6B">
      <w:pPr>
        <w:spacing w:line="360" w:lineRule="auto"/>
        <w:ind w:right="49"/>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5274CB" w:rsidRDefault="005274CB" w:rsidP="005A7E6B">
      <w:pPr>
        <w:tabs>
          <w:tab w:val="left" w:pos="9498"/>
        </w:tabs>
        <w:spacing w:line="360" w:lineRule="auto"/>
        <w:ind w:right="49"/>
        <w:jc w:val="both"/>
        <w:rPr>
          <w:rFonts w:ascii="Arial" w:hAnsi="Arial" w:cs="Arial"/>
          <w:bCs/>
        </w:rPr>
      </w:pPr>
    </w:p>
    <w:p w:rsidR="002E1AEF" w:rsidRDefault="000108F9" w:rsidP="005A7E6B">
      <w:pPr>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2D4D1A">
        <w:rPr>
          <w:rFonts w:ascii="Arial" w:hAnsi="Arial" w:cs="Arial"/>
        </w:rPr>
        <w:t>egresos devengados</w:t>
      </w:r>
      <w:r w:rsidRPr="002D4D1A">
        <w:rPr>
          <w:rFonts w:ascii="Arial" w:hAnsi="Arial" w:cs="Arial"/>
          <w:bCs/>
        </w:rPr>
        <w:t>,</w:t>
      </w:r>
      <w:r w:rsidRPr="009879F6">
        <w:rPr>
          <w:rFonts w:ascii="Arial" w:hAnsi="Arial" w:cs="Arial"/>
          <w:bCs/>
        </w:rPr>
        <w:t xml:space="preserve">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0108F9" w:rsidRPr="009879F6" w:rsidRDefault="000108F9" w:rsidP="005A7E6B">
      <w:pPr>
        <w:spacing w:line="360" w:lineRule="auto"/>
        <w:ind w:right="49"/>
        <w:jc w:val="both"/>
        <w:rPr>
          <w:rFonts w:ascii="Arial" w:hAnsi="Arial" w:cs="Arial"/>
          <w:bCs/>
        </w:rPr>
      </w:pPr>
    </w:p>
    <w:p w:rsidR="000108F9" w:rsidRDefault="000108F9" w:rsidP="005A7E6B">
      <w:pPr>
        <w:spacing w:line="360" w:lineRule="auto"/>
        <w:ind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Pr="0050774F">
        <w:rPr>
          <w:rFonts w:ascii="Arial" w:hAnsi="Arial" w:cs="Arial"/>
          <w:b/>
          <w:bCs/>
        </w:rPr>
        <w:t>Oficialía Mayor</w:t>
      </w:r>
      <w:r w:rsidRPr="0050774F">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w:t>
      </w:r>
      <w:r>
        <w:rPr>
          <w:rFonts w:ascii="Arial" w:hAnsi="Arial" w:cs="Arial"/>
          <w:bCs/>
        </w:rPr>
        <w:t>los</w:t>
      </w:r>
      <w:r w:rsidRPr="000E7791">
        <w:rPr>
          <w:rFonts w:ascii="Arial" w:hAnsi="Arial" w:cs="Arial"/>
          <w:bCs/>
        </w:rPr>
        <w:t xml:space="preserve"> estados contables y presupuestarios</w:t>
      </w:r>
      <w:r>
        <w:rPr>
          <w:rFonts w:ascii="Arial" w:hAnsi="Arial" w:cs="Arial"/>
          <w:bCs/>
        </w:rPr>
        <w:t xml:space="preserve"> emitidos por la Sefiplan,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50774F">
        <w:rPr>
          <w:rFonts w:ascii="Arial" w:hAnsi="Arial" w:cs="Arial"/>
        </w:rPr>
        <w:t>histórica</w:t>
      </w:r>
      <w:r w:rsidRPr="0050774F">
        <w:rPr>
          <w:rFonts w:ascii="Arial" w:hAnsi="Arial" w:cs="Arial"/>
          <w:bCs/>
        </w:rPr>
        <w:t>, que se encuentra en los antecedentes de las auditorías practicadas</w:t>
      </w:r>
      <w:r w:rsidRPr="0009398E">
        <w:rPr>
          <w:rFonts w:ascii="Arial" w:hAnsi="Arial" w:cs="Arial"/>
          <w:bCs/>
        </w:rPr>
        <w:t xml:space="preserve"> </w:t>
      </w:r>
      <w:r w:rsidRPr="00313CE5">
        <w:rPr>
          <w:rFonts w:ascii="Arial" w:hAnsi="Arial" w:cs="Arial"/>
          <w:bCs/>
        </w:rPr>
        <w:lastRenderedPageBreak/>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1747A8" w:rsidRDefault="001747A8" w:rsidP="005A7E6B">
      <w:pPr>
        <w:spacing w:line="360" w:lineRule="auto"/>
        <w:ind w:right="49"/>
        <w:jc w:val="both"/>
        <w:rPr>
          <w:rFonts w:ascii="Arial" w:hAnsi="Arial" w:cs="Arial"/>
          <w:bCs/>
        </w:rPr>
      </w:pPr>
    </w:p>
    <w:p w:rsidR="000108F9" w:rsidRDefault="000108F9" w:rsidP="005A7E6B">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DC0367" w:rsidRDefault="00DC0367" w:rsidP="005A7E6B">
      <w:pPr>
        <w:spacing w:line="360" w:lineRule="auto"/>
        <w:ind w:right="49"/>
        <w:jc w:val="both"/>
        <w:rPr>
          <w:rFonts w:ascii="Arial" w:hAnsi="Arial" w:cs="Arial"/>
          <w:b/>
        </w:rPr>
      </w:pPr>
    </w:p>
    <w:p w:rsidR="008D4630" w:rsidRPr="008D4630" w:rsidRDefault="00183903" w:rsidP="005A7E6B">
      <w:pPr>
        <w:spacing w:line="360" w:lineRule="auto"/>
        <w:ind w:right="49"/>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8D4630" w:rsidRPr="008D4630" w:rsidRDefault="008D4630" w:rsidP="005A7E6B">
      <w:pPr>
        <w:spacing w:line="360" w:lineRule="auto"/>
        <w:ind w:right="49"/>
        <w:jc w:val="both"/>
        <w:rPr>
          <w:rFonts w:ascii="Arial" w:hAnsi="Arial" w:cs="Arial"/>
          <w:b/>
        </w:rPr>
      </w:pPr>
    </w:p>
    <w:p w:rsidR="00853DA5" w:rsidRDefault="000108F9" w:rsidP="005A7E6B">
      <w:pPr>
        <w:spacing w:line="360" w:lineRule="auto"/>
        <w:ind w:right="49"/>
        <w:jc w:val="both"/>
        <w:rPr>
          <w:rFonts w:ascii="Arial" w:hAnsi="Arial" w:cs="Arial"/>
          <w:b/>
        </w:rPr>
      </w:pPr>
      <w:r>
        <w:rPr>
          <w:rFonts w:ascii="Arial" w:hAnsi="Arial" w:cs="Arial"/>
        </w:rPr>
        <w:t>Se revisó</w:t>
      </w:r>
      <w:r w:rsidRPr="009879F6">
        <w:rPr>
          <w:rFonts w:ascii="Arial" w:hAnsi="Arial" w:cs="Arial"/>
        </w:rPr>
        <w:t xml:space="preserve"> la </w:t>
      </w:r>
      <w:r w:rsidRPr="0050774F">
        <w:rPr>
          <w:rFonts w:ascii="Arial" w:hAnsi="Arial" w:cs="Arial"/>
          <w:bCs/>
        </w:rPr>
        <w:t xml:space="preserve">Subsecretaría de Administración, Subsecretaría de Recursos Humanos y Subsecretaría de Recursos Materiales y Servicios Generales </w:t>
      </w:r>
      <w:r w:rsidRPr="0050774F">
        <w:rPr>
          <w:rFonts w:ascii="Arial" w:hAnsi="Arial" w:cs="Arial"/>
        </w:rPr>
        <w:t xml:space="preserve">de la </w:t>
      </w:r>
      <w:r w:rsidRPr="0050774F">
        <w:rPr>
          <w:rFonts w:ascii="Arial" w:hAnsi="Arial" w:cs="Arial"/>
          <w:b/>
          <w:bCs/>
        </w:rPr>
        <w:t>Oficialía Mayor</w:t>
      </w:r>
      <w:r w:rsidR="008610C0" w:rsidRPr="008D4630">
        <w:rPr>
          <w:rFonts w:ascii="Arial" w:hAnsi="Arial" w:cs="Arial"/>
          <w:b/>
        </w:rPr>
        <w:t>.</w:t>
      </w:r>
    </w:p>
    <w:p w:rsidR="00853DA5" w:rsidRDefault="00853DA5" w:rsidP="005A7E6B">
      <w:pPr>
        <w:spacing w:line="360" w:lineRule="auto"/>
        <w:ind w:right="49"/>
        <w:jc w:val="both"/>
        <w:rPr>
          <w:rFonts w:ascii="Arial" w:hAnsi="Arial" w:cs="Arial"/>
          <w:b/>
        </w:rPr>
      </w:pPr>
    </w:p>
    <w:p w:rsidR="00E66F94" w:rsidRDefault="0005461B" w:rsidP="005A7E6B">
      <w:pPr>
        <w:spacing w:line="360" w:lineRule="auto"/>
        <w:ind w:right="49"/>
        <w:jc w:val="both"/>
        <w:rPr>
          <w:rFonts w:ascii="Arial" w:hAnsi="Arial" w:cs="Arial"/>
          <w:b/>
        </w:rPr>
      </w:pPr>
      <w:r>
        <w:rPr>
          <w:rFonts w:ascii="Arial" w:hAnsi="Arial" w:cs="Arial"/>
          <w:b/>
        </w:rPr>
        <w:t xml:space="preserve">F. </w:t>
      </w:r>
      <w:r w:rsidR="008610C0"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E66F94" w:rsidRDefault="00E66F94" w:rsidP="005A7E6B">
      <w:pPr>
        <w:spacing w:line="360" w:lineRule="auto"/>
        <w:ind w:right="49"/>
        <w:jc w:val="both"/>
        <w:rPr>
          <w:rFonts w:ascii="Arial" w:hAnsi="Arial" w:cs="Arial"/>
          <w:b/>
        </w:rPr>
      </w:pPr>
    </w:p>
    <w:p w:rsidR="00E66F94" w:rsidRPr="00C47B98" w:rsidRDefault="000108F9" w:rsidP="005A7E6B">
      <w:pPr>
        <w:tabs>
          <w:tab w:val="left" w:pos="9356"/>
        </w:tabs>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w:t>
      </w:r>
      <w:r w:rsidRPr="00C47B98">
        <w:rPr>
          <w:rFonts w:ascii="Arial" w:hAnsi="Arial" w:cs="Arial"/>
          <w:bCs/>
        </w:rPr>
        <w:lastRenderedPageBreak/>
        <w:t xml:space="preserve">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E66F94" w:rsidRPr="00C47B98" w:rsidRDefault="00E66F94" w:rsidP="005A7E6B">
      <w:pPr>
        <w:spacing w:line="360" w:lineRule="auto"/>
        <w:ind w:right="49"/>
        <w:jc w:val="both"/>
        <w:rPr>
          <w:rFonts w:ascii="Arial" w:hAnsi="Arial" w:cs="Arial"/>
          <w:bCs/>
        </w:rPr>
      </w:pPr>
    </w:p>
    <w:p w:rsidR="00E66F94" w:rsidRPr="00C47B98" w:rsidRDefault="000108F9" w:rsidP="005A7E6B">
      <w:pPr>
        <w:tabs>
          <w:tab w:val="left" w:pos="9498"/>
        </w:tabs>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w:t>
      </w:r>
    </w:p>
    <w:p w:rsidR="00E66F94" w:rsidRPr="00C47B98" w:rsidRDefault="00E66F94" w:rsidP="005A7E6B">
      <w:pPr>
        <w:spacing w:line="360" w:lineRule="auto"/>
        <w:ind w:right="49"/>
        <w:jc w:val="both"/>
        <w:rPr>
          <w:rFonts w:ascii="Arial" w:hAnsi="Arial" w:cs="Arial"/>
          <w:bCs/>
        </w:rPr>
      </w:pPr>
    </w:p>
    <w:p w:rsidR="00E66F94" w:rsidRPr="00C47B98" w:rsidRDefault="000108F9" w:rsidP="005A7E6B">
      <w:pPr>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E66F94" w:rsidRPr="00C47B98" w:rsidRDefault="00E66F94" w:rsidP="005A7E6B">
      <w:pPr>
        <w:spacing w:line="360" w:lineRule="auto"/>
        <w:ind w:right="49"/>
        <w:jc w:val="both"/>
        <w:rPr>
          <w:rFonts w:ascii="Arial" w:hAnsi="Arial" w:cs="Arial"/>
          <w:bCs/>
        </w:rPr>
      </w:pPr>
    </w:p>
    <w:p w:rsidR="000108F9" w:rsidRDefault="000108F9" w:rsidP="005A7E6B">
      <w:pPr>
        <w:tabs>
          <w:tab w:val="left" w:pos="9639"/>
        </w:tabs>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356C6D" w:rsidRDefault="00356C6D" w:rsidP="005A7E6B">
      <w:pPr>
        <w:spacing w:line="360" w:lineRule="auto"/>
        <w:ind w:right="49"/>
        <w:jc w:val="both"/>
        <w:rPr>
          <w:rFonts w:ascii="Arial" w:hAnsi="Arial" w:cs="Arial"/>
          <w:bCs/>
        </w:rPr>
      </w:pPr>
    </w:p>
    <w:p w:rsidR="000108F9" w:rsidRDefault="000108F9" w:rsidP="005A7E6B">
      <w:pPr>
        <w:spacing w:line="360" w:lineRule="auto"/>
        <w:ind w:right="49"/>
        <w:jc w:val="both"/>
        <w:rPr>
          <w:rFonts w:ascii="Arial" w:hAnsi="Arial" w:cs="Arial"/>
        </w:rPr>
      </w:pPr>
      <w:r w:rsidRPr="00CA2D4A">
        <w:rPr>
          <w:rFonts w:ascii="Arial" w:hAnsi="Arial" w:cs="Arial"/>
        </w:rPr>
        <w:t>1. Verificar que los controles internos implementados permitieron la adecuada gestión administrativa para el desarrollo eficiente de las operaciones, la obtención de información confiable y oportuna.</w:t>
      </w:r>
    </w:p>
    <w:p w:rsidR="00DC0367" w:rsidRDefault="00DC0367" w:rsidP="005A7E6B">
      <w:pPr>
        <w:spacing w:line="360" w:lineRule="auto"/>
        <w:ind w:right="49"/>
        <w:jc w:val="both"/>
        <w:rPr>
          <w:rFonts w:ascii="Arial" w:hAnsi="Arial" w:cs="Arial"/>
        </w:rPr>
      </w:pPr>
    </w:p>
    <w:p w:rsidR="000108F9" w:rsidRDefault="000108F9" w:rsidP="005A7E6B">
      <w:pPr>
        <w:spacing w:line="360" w:lineRule="auto"/>
        <w:ind w:right="49"/>
        <w:jc w:val="both"/>
        <w:rPr>
          <w:rFonts w:ascii="Arial" w:hAnsi="Arial" w:cs="Arial"/>
        </w:rPr>
      </w:pPr>
      <w:r>
        <w:rPr>
          <w:rFonts w:ascii="Arial" w:hAnsi="Arial" w:cs="Arial"/>
        </w:rPr>
        <w:lastRenderedPageBreak/>
        <w:t xml:space="preserve">2. </w:t>
      </w:r>
      <w:r w:rsidR="003646F1" w:rsidRPr="003646F1">
        <w:rPr>
          <w:rFonts w:ascii="Arial" w:hAnsi="Arial" w:cs="Arial"/>
        </w:rPr>
        <w:t>Comprobar que el ejercicio del presupuesto se ajustó a los montos aprobados; que las modificaciones presupuestales tuvieron sustento financiero y que se encuentre correspondido.</w:t>
      </w:r>
    </w:p>
    <w:p w:rsidR="00985862" w:rsidRPr="00C853DF" w:rsidRDefault="00985862" w:rsidP="005A7E6B">
      <w:pPr>
        <w:spacing w:line="360" w:lineRule="auto"/>
        <w:ind w:right="49"/>
        <w:jc w:val="both"/>
        <w:rPr>
          <w:rFonts w:ascii="Arial" w:hAnsi="Arial" w:cs="Arial"/>
          <w:bCs/>
        </w:rPr>
      </w:pPr>
    </w:p>
    <w:p w:rsidR="000108F9" w:rsidRDefault="000108F9" w:rsidP="005A7E6B">
      <w:pPr>
        <w:spacing w:line="360" w:lineRule="auto"/>
        <w:ind w:right="49"/>
        <w:jc w:val="both"/>
        <w:rPr>
          <w:rFonts w:ascii="Arial" w:hAnsi="Arial" w:cs="Arial"/>
        </w:rPr>
      </w:pPr>
      <w:r>
        <w:rPr>
          <w:rFonts w:ascii="Arial" w:hAnsi="Arial" w:cs="Arial"/>
        </w:rPr>
        <w:t xml:space="preserve">3. </w:t>
      </w:r>
      <w:r w:rsidR="003646F1" w:rsidRPr="003646F1">
        <w:rPr>
          <w:rFonts w:ascii="Arial" w:hAnsi="Arial" w:cs="Arial"/>
        </w:rPr>
        <w:t>Verificar el origen y destino de los gastos a comprobar, así como que su asignación haya sido de acuerdo con los lineamientos establecidos.</w:t>
      </w:r>
    </w:p>
    <w:p w:rsidR="00C96B44" w:rsidRPr="00C853DF" w:rsidRDefault="00C96B44" w:rsidP="005A7E6B">
      <w:pPr>
        <w:spacing w:line="360" w:lineRule="auto"/>
        <w:ind w:right="49"/>
        <w:jc w:val="both"/>
        <w:rPr>
          <w:rFonts w:ascii="Arial" w:hAnsi="Arial" w:cs="Arial"/>
        </w:rPr>
      </w:pPr>
    </w:p>
    <w:p w:rsidR="00C96B44" w:rsidRDefault="00C96B44" w:rsidP="005A7E6B">
      <w:pPr>
        <w:spacing w:line="360" w:lineRule="auto"/>
        <w:ind w:right="49"/>
        <w:jc w:val="both"/>
        <w:rPr>
          <w:rFonts w:ascii="Arial" w:hAnsi="Arial" w:cs="Arial"/>
        </w:rPr>
      </w:pPr>
      <w:r>
        <w:rPr>
          <w:rFonts w:ascii="Arial" w:hAnsi="Arial" w:cs="Arial"/>
        </w:rPr>
        <w:t xml:space="preserve">4. </w:t>
      </w:r>
      <w:r w:rsidR="001B1E64" w:rsidRPr="001B1E64">
        <w:rPr>
          <w:rFonts w:ascii="Arial" w:hAnsi="Arial" w:cs="Arial"/>
        </w:rPr>
        <w:t>Verificar la correcta aplicación, justificación y comprobación del gasto de ayudas sociales.</w:t>
      </w:r>
    </w:p>
    <w:p w:rsidR="00C96B44" w:rsidRPr="00C853DF" w:rsidRDefault="00C96B44" w:rsidP="005A7E6B">
      <w:pPr>
        <w:spacing w:line="360" w:lineRule="auto"/>
        <w:ind w:right="49"/>
        <w:jc w:val="both"/>
        <w:rPr>
          <w:rFonts w:ascii="Arial" w:hAnsi="Arial" w:cs="Arial"/>
        </w:rPr>
      </w:pPr>
    </w:p>
    <w:p w:rsidR="000108F9" w:rsidRDefault="00C96B44" w:rsidP="005A7E6B">
      <w:pPr>
        <w:spacing w:line="360" w:lineRule="auto"/>
        <w:ind w:right="49"/>
        <w:jc w:val="both"/>
        <w:rPr>
          <w:rFonts w:ascii="Arial" w:hAnsi="Arial" w:cs="Arial"/>
        </w:rPr>
      </w:pPr>
      <w:r>
        <w:rPr>
          <w:rFonts w:ascii="Arial" w:hAnsi="Arial" w:cs="Arial"/>
        </w:rPr>
        <w:t>5</w:t>
      </w:r>
      <w:r w:rsidR="000108F9">
        <w:rPr>
          <w:rFonts w:ascii="Arial" w:hAnsi="Arial" w:cs="Arial"/>
        </w:rPr>
        <w:t xml:space="preserve">. </w:t>
      </w:r>
      <w:r w:rsidR="003646F1" w:rsidRPr="003646F1">
        <w:rPr>
          <w:rFonts w:ascii="Arial" w:hAnsi="Arial" w:cs="Arial"/>
        </w:rPr>
        <w:t>Examinar que se comprobó y justificó el gasto por los diferentes conceptos considerados en el presupuesto de egresos.</w:t>
      </w:r>
    </w:p>
    <w:p w:rsidR="000108F9" w:rsidRPr="00C853DF" w:rsidRDefault="000108F9" w:rsidP="005A7E6B">
      <w:pPr>
        <w:spacing w:line="360" w:lineRule="auto"/>
        <w:ind w:right="49"/>
        <w:jc w:val="both"/>
        <w:rPr>
          <w:rFonts w:ascii="Arial" w:hAnsi="Arial" w:cs="Arial"/>
        </w:rPr>
      </w:pPr>
    </w:p>
    <w:p w:rsidR="000108F9" w:rsidRDefault="00C96B44" w:rsidP="005A7E6B">
      <w:pPr>
        <w:spacing w:line="360" w:lineRule="auto"/>
        <w:ind w:right="49"/>
        <w:jc w:val="both"/>
        <w:rPr>
          <w:rFonts w:ascii="Arial" w:hAnsi="Arial" w:cs="Arial"/>
        </w:rPr>
      </w:pPr>
      <w:r>
        <w:rPr>
          <w:rFonts w:ascii="Arial" w:hAnsi="Arial" w:cs="Arial"/>
        </w:rPr>
        <w:t>6</w:t>
      </w:r>
      <w:r w:rsidR="000108F9">
        <w:rPr>
          <w:rFonts w:ascii="Arial" w:hAnsi="Arial" w:cs="Arial"/>
        </w:rPr>
        <w:t xml:space="preserve">. </w:t>
      </w:r>
      <w:r w:rsidR="003646F1" w:rsidRPr="003646F1">
        <w:rPr>
          <w:rFonts w:ascii="Arial" w:hAnsi="Arial" w:cs="Arial"/>
        </w:rPr>
        <w:t>Verificar que los procedimientos para la adquisición de bienes y servicios cumplieron con lo dispuesto en la normatividad aplicable</w:t>
      </w:r>
      <w:r w:rsidR="000108F9" w:rsidRPr="00D0505E">
        <w:rPr>
          <w:rFonts w:ascii="Arial" w:hAnsi="Arial" w:cs="Arial"/>
        </w:rPr>
        <w:t>.</w:t>
      </w:r>
    </w:p>
    <w:p w:rsidR="000108F9" w:rsidRPr="00C853DF" w:rsidRDefault="000108F9" w:rsidP="005A7E6B">
      <w:pPr>
        <w:spacing w:line="360" w:lineRule="auto"/>
        <w:ind w:right="49"/>
        <w:jc w:val="both"/>
        <w:rPr>
          <w:rFonts w:ascii="Arial" w:hAnsi="Arial" w:cs="Arial"/>
        </w:rPr>
      </w:pPr>
    </w:p>
    <w:p w:rsidR="00F74932" w:rsidRDefault="00F74932" w:rsidP="005A7E6B">
      <w:pPr>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0108F9" w:rsidRDefault="000108F9" w:rsidP="005A7E6B">
      <w:pPr>
        <w:spacing w:line="360" w:lineRule="auto"/>
        <w:ind w:right="49"/>
        <w:jc w:val="both"/>
        <w:rPr>
          <w:rFonts w:ascii="Arial" w:hAnsi="Arial" w:cs="Arial"/>
          <w:bCs/>
        </w:rPr>
      </w:pPr>
    </w:p>
    <w:p w:rsidR="00974042" w:rsidRPr="002E2A36" w:rsidRDefault="008610C0" w:rsidP="005A7E6B">
      <w:pPr>
        <w:spacing w:line="360" w:lineRule="auto"/>
        <w:ind w:right="49"/>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rsidR="00D1152D" w:rsidRPr="002E2A36" w:rsidRDefault="00D1152D" w:rsidP="005A7E6B">
      <w:pPr>
        <w:spacing w:line="360" w:lineRule="auto"/>
        <w:ind w:right="49"/>
        <w:jc w:val="both"/>
        <w:rPr>
          <w:rFonts w:ascii="Arial" w:hAnsi="Arial" w:cs="Arial"/>
          <w:bCs/>
        </w:rPr>
      </w:pPr>
    </w:p>
    <w:p w:rsidR="00855650" w:rsidRDefault="00F74932" w:rsidP="005A7E6B">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A0466F">
        <w:rPr>
          <w:rFonts w:ascii="Arial" w:hAnsi="Arial" w:cs="Arial"/>
          <w:bCs/>
        </w:rPr>
        <w:lastRenderedPageBreak/>
        <w:t>número ASEQROO/ASE/AEMF/0</w:t>
      </w:r>
      <w:r w:rsidR="00853DA5" w:rsidRPr="00A0466F">
        <w:rPr>
          <w:rFonts w:ascii="Arial" w:hAnsi="Arial" w:cs="Arial"/>
          <w:bCs/>
        </w:rPr>
        <w:t>602/04/2022</w:t>
      </w:r>
      <w:r w:rsidRPr="00A0466F">
        <w:rPr>
          <w:rFonts w:ascii="Arial" w:hAnsi="Arial" w:cs="Arial"/>
          <w:bCs/>
        </w:rPr>
        <w:t>, siendo</w:t>
      </w:r>
      <w:r w:rsidRPr="0004250B">
        <w:rPr>
          <w:rFonts w:ascii="Arial" w:hAnsi="Arial" w:cs="Arial"/>
          <w:bCs/>
        </w:rPr>
        <w:t xml:space="preserve"> los servidores públicos a cargo de coordinar y supervisar la auditoría, los siguientes:</w:t>
      </w:r>
    </w:p>
    <w:p w:rsidR="00855650" w:rsidRDefault="00855650" w:rsidP="005A7E6B">
      <w:pPr>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rsidTr="002367AD">
        <w:trPr>
          <w:tblHeader/>
          <w:jc w:val="center"/>
        </w:trPr>
        <w:tc>
          <w:tcPr>
            <w:tcW w:w="6374" w:type="dxa"/>
            <w:shd w:val="clear" w:color="auto" w:fill="D0CECE" w:themeFill="background2" w:themeFillShade="E6"/>
          </w:tcPr>
          <w:p w:rsidR="00855650" w:rsidRPr="00845B1A" w:rsidRDefault="00855650" w:rsidP="005A7E6B">
            <w:pPr>
              <w:spacing w:line="360" w:lineRule="auto"/>
              <w:ind w:right="49"/>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855650" w:rsidRPr="00845B1A" w:rsidRDefault="00855650" w:rsidP="005A7E6B">
            <w:pPr>
              <w:spacing w:line="360" w:lineRule="auto"/>
              <w:ind w:right="49"/>
              <w:jc w:val="center"/>
              <w:rPr>
                <w:rFonts w:ascii="Arial" w:hAnsi="Arial" w:cs="Arial"/>
                <w:b/>
                <w:bCs/>
              </w:rPr>
            </w:pPr>
            <w:r w:rsidRPr="00845B1A">
              <w:rPr>
                <w:rFonts w:ascii="Arial" w:hAnsi="Arial" w:cs="Arial"/>
                <w:b/>
                <w:bCs/>
              </w:rPr>
              <w:t>Cargo</w:t>
            </w:r>
          </w:p>
        </w:tc>
      </w:tr>
      <w:tr w:rsidR="00F74932" w:rsidRPr="00845B1A" w:rsidTr="002367AD">
        <w:trPr>
          <w:jc w:val="center"/>
        </w:trPr>
        <w:tc>
          <w:tcPr>
            <w:tcW w:w="6374" w:type="dxa"/>
            <w:shd w:val="clear" w:color="auto" w:fill="auto"/>
          </w:tcPr>
          <w:p w:rsidR="00F74932" w:rsidRPr="00F74932" w:rsidRDefault="00F74932" w:rsidP="005A7E6B">
            <w:pPr>
              <w:spacing w:line="360" w:lineRule="auto"/>
              <w:ind w:right="49"/>
              <w:rPr>
                <w:rFonts w:ascii="Arial" w:hAnsi="Arial" w:cs="Arial"/>
                <w:bCs/>
              </w:rPr>
            </w:pPr>
            <w:r w:rsidRPr="00F74932">
              <w:rPr>
                <w:rFonts w:ascii="Arial" w:hAnsi="Arial" w:cs="Arial"/>
                <w:bCs/>
              </w:rPr>
              <w:t>M.E.S.P. Iván Josué Valdez Frías</w:t>
            </w:r>
          </w:p>
        </w:tc>
        <w:tc>
          <w:tcPr>
            <w:tcW w:w="2977" w:type="dxa"/>
            <w:shd w:val="clear" w:color="auto" w:fill="auto"/>
          </w:tcPr>
          <w:p w:rsidR="00F74932" w:rsidRPr="00F74932" w:rsidRDefault="00F74932" w:rsidP="005A7E6B">
            <w:pPr>
              <w:spacing w:line="360" w:lineRule="auto"/>
              <w:ind w:right="49"/>
              <w:jc w:val="center"/>
              <w:rPr>
                <w:rFonts w:ascii="Arial" w:hAnsi="Arial" w:cs="Arial"/>
                <w:bCs/>
              </w:rPr>
            </w:pPr>
            <w:r w:rsidRPr="00F74932">
              <w:rPr>
                <w:rFonts w:ascii="Arial" w:hAnsi="Arial" w:cs="Arial"/>
                <w:bCs/>
              </w:rPr>
              <w:t>Coordinador</w:t>
            </w:r>
          </w:p>
        </w:tc>
      </w:tr>
      <w:tr w:rsidR="00F74932" w:rsidRPr="00845B1A" w:rsidTr="002367AD">
        <w:trPr>
          <w:jc w:val="center"/>
        </w:trPr>
        <w:tc>
          <w:tcPr>
            <w:tcW w:w="6374" w:type="dxa"/>
            <w:shd w:val="clear" w:color="auto" w:fill="auto"/>
          </w:tcPr>
          <w:p w:rsidR="00F74932" w:rsidRPr="00F74932" w:rsidRDefault="00853DA5" w:rsidP="005A7E6B">
            <w:pPr>
              <w:spacing w:line="360" w:lineRule="auto"/>
              <w:ind w:right="49"/>
              <w:rPr>
                <w:rFonts w:ascii="Arial" w:hAnsi="Arial" w:cs="Arial"/>
                <w:bCs/>
              </w:rPr>
            </w:pPr>
            <w:r>
              <w:rPr>
                <w:rFonts w:ascii="Arial" w:hAnsi="Arial" w:cs="Arial"/>
                <w:bCs/>
              </w:rPr>
              <w:t>M</w:t>
            </w:r>
            <w:r w:rsidR="00F74932" w:rsidRPr="00F74932">
              <w:rPr>
                <w:rFonts w:ascii="Arial" w:hAnsi="Arial" w:cs="Arial"/>
                <w:bCs/>
              </w:rPr>
              <w:t>.</w:t>
            </w:r>
            <w:r>
              <w:rPr>
                <w:rFonts w:ascii="Arial" w:hAnsi="Arial" w:cs="Arial"/>
                <w:bCs/>
              </w:rPr>
              <w:t xml:space="preserve"> en </w:t>
            </w:r>
            <w:r w:rsidR="00F74932" w:rsidRPr="00F74932">
              <w:rPr>
                <w:rFonts w:ascii="Arial" w:hAnsi="Arial" w:cs="Arial"/>
                <w:bCs/>
              </w:rPr>
              <w:t>A</w:t>
            </w:r>
            <w:r>
              <w:rPr>
                <w:rFonts w:ascii="Arial" w:hAnsi="Arial" w:cs="Arial"/>
                <w:bCs/>
              </w:rPr>
              <w:t>ud</w:t>
            </w:r>
            <w:r w:rsidR="00F74932" w:rsidRPr="00F74932">
              <w:rPr>
                <w:rFonts w:ascii="Arial" w:hAnsi="Arial" w:cs="Arial"/>
                <w:bCs/>
              </w:rPr>
              <w:t>. Beatriz Adriana Irola Ramírez</w:t>
            </w:r>
          </w:p>
        </w:tc>
        <w:tc>
          <w:tcPr>
            <w:tcW w:w="2977" w:type="dxa"/>
            <w:shd w:val="clear" w:color="auto" w:fill="auto"/>
          </w:tcPr>
          <w:p w:rsidR="00F74932" w:rsidRPr="00F74932" w:rsidRDefault="00F74932" w:rsidP="005A7E6B">
            <w:pPr>
              <w:spacing w:line="360" w:lineRule="auto"/>
              <w:ind w:right="49"/>
              <w:jc w:val="center"/>
              <w:rPr>
                <w:rFonts w:ascii="Arial" w:hAnsi="Arial" w:cs="Arial"/>
                <w:bCs/>
              </w:rPr>
            </w:pPr>
            <w:r w:rsidRPr="00F74932">
              <w:rPr>
                <w:rFonts w:ascii="Arial" w:hAnsi="Arial" w:cs="Arial"/>
                <w:bCs/>
              </w:rPr>
              <w:t>Supervisora</w:t>
            </w:r>
          </w:p>
        </w:tc>
      </w:tr>
    </w:tbl>
    <w:p w:rsidR="002E1AEF" w:rsidRDefault="002E1AEF" w:rsidP="005A7E6B">
      <w:pPr>
        <w:spacing w:line="360" w:lineRule="auto"/>
        <w:ind w:right="49"/>
        <w:jc w:val="both"/>
        <w:rPr>
          <w:rFonts w:ascii="Arial" w:hAnsi="Arial" w:cs="Arial"/>
          <w:b/>
        </w:rPr>
      </w:pPr>
    </w:p>
    <w:p w:rsidR="00615C7A" w:rsidRPr="00845B1A" w:rsidRDefault="005F7A39" w:rsidP="005A7E6B">
      <w:pPr>
        <w:spacing w:line="360" w:lineRule="auto"/>
        <w:ind w:right="49"/>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5E4A7A" w:rsidRPr="00845B1A" w:rsidRDefault="005E4A7A" w:rsidP="005A7E6B">
      <w:pPr>
        <w:spacing w:line="360" w:lineRule="auto"/>
        <w:ind w:right="49"/>
        <w:jc w:val="both"/>
        <w:rPr>
          <w:rFonts w:ascii="Arial" w:hAnsi="Arial" w:cs="Arial"/>
        </w:rPr>
      </w:pPr>
    </w:p>
    <w:p w:rsidR="00F74932" w:rsidRPr="00845B1A" w:rsidRDefault="00F74932" w:rsidP="005A7E6B">
      <w:pPr>
        <w:spacing w:line="360" w:lineRule="auto"/>
        <w:ind w:right="49"/>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Pr="009C34A1">
        <w:rPr>
          <w:rFonts w:ascii="Arial" w:hAnsi="Arial" w:cs="Arial"/>
        </w:rPr>
        <w:t>el Presupuesto de Egresos del Gobierno del Estado de Quintana Roo, para el ejercicio fiscal 202</w:t>
      </w:r>
      <w:r w:rsidR="00853DA5">
        <w:rPr>
          <w:rFonts w:ascii="Arial" w:hAnsi="Arial" w:cs="Arial"/>
        </w:rPr>
        <w:t>1</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0F3999" w:rsidRPr="00845B1A" w:rsidRDefault="000F3999" w:rsidP="005A7E6B">
      <w:pPr>
        <w:spacing w:line="360" w:lineRule="auto"/>
        <w:ind w:right="49"/>
        <w:jc w:val="both"/>
        <w:rPr>
          <w:rFonts w:ascii="Arial" w:hAnsi="Arial" w:cs="Arial"/>
        </w:rPr>
      </w:pPr>
    </w:p>
    <w:p w:rsidR="00F87946" w:rsidRDefault="00212E90" w:rsidP="005A7E6B">
      <w:pPr>
        <w:spacing w:line="360" w:lineRule="auto"/>
        <w:ind w:right="49"/>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rsidR="00F74932" w:rsidRPr="00845B1A" w:rsidRDefault="00F74932" w:rsidP="005A7E6B">
      <w:pPr>
        <w:spacing w:line="360" w:lineRule="auto"/>
        <w:ind w:right="49"/>
        <w:jc w:val="both"/>
        <w:rPr>
          <w:rFonts w:ascii="Arial" w:hAnsi="Arial" w:cs="Arial"/>
          <w:b/>
        </w:rPr>
      </w:pPr>
    </w:p>
    <w:p w:rsidR="00F74932" w:rsidRDefault="00F74932" w:rsidP="005A7E6B">
      <w:pPr>
        <w:tabs>
          <w:tab w:val="left" w:pos="2160"/>
        </w:tabs>
        <w:spacing w:line="360" w:lineRule="auto"/>
        <w:ind w:right="49"/>
        <w:jc w:val="both"/>
        <w:rPr>
          <w:rFonts w:ascii="Arial" w:hAnsi="Arial" w:cs="Arial"/>
        </w:rPr>
      </w:pPr>
      <w:r w:rsidRPr="009C34A1">
        <w:rPr>
          <w:rFonts w:ascii="Arial" w:hAnsi="Arial" w:cs="Arial"/>
        </w:rPr>
        <w:t>Se constató el cumplimiento de la Ley General de Contabilidad Gubernamental, el Presupuesto de Egresos del Gobierno del Estado de Quintana Ro</w:t>
      </w:r>
      <w:r w:rsidR="00C517C3">
        <w:rPr>
          <w:rFonts w:ascii="Arial" w:hAnsi="Arial" w:cs="Arial"/>
        </w:rPr>
        <w:t>o, para el ejercicio fiscal 2021</w:t>
      </w:r>
      <w:r w:rsidRPr="009C34A1">
        <w:rPr>
          <w:rFonts w:ascii="Arial" w:hAnsi="Arial" w:cs="Arial"/>
        </w:rPr>
        <w:t>, así como de lo emitido por el Consejo Nacional de Armonización Contable (CONAC), y demás disposiciones legales y normativas aplicables.</w:t>
      </w:r>
    </w:p>
    <w:p w:rsidR="00C73F8E" w:rsidRDefault="00C73F8E" w:rsidP="005A7E6B">
      <w:pPr>
        <w:spacing w:line="360" w:lineRule="auto"/>
        <w:ind w:right="49"/>
        <w:jc w:val="both"/>
        <w:rPr>
          <w:rFonts w:ascii="Arial" w:hAnsi="Arial" w:cs="Arial"/>
          <w:b/>
        </w:rPr>
      </w:pPr>
    </w:p>
    <w:p w:rsidR="00CF692F" w:rsidRDefault="00CF692F" w:rsidP="005A7E6B">
      <w:pPr>
        <w:spacing w:line="360" w:lineRule="auto"/>
        <w:ind w:right="49"/>
        <w:jc w:val="both"/>
        <w:rPr>
          <w:rFonts w:ascii="Arial" w:hAnsi="Arial" w:cs="Arial"/>
          <w:b/>
        </w:rPr>
      </w:pPr>
    </w:p>
    <w:p w:rsidR="00CF692F" w:rsidRDefault="00CF692F" w:rsidP="005A7E6B">
      <w:pPr>
        <w:spacing w:line="360" w:lineRule="auto"/>
        <w:ind w:right="49"/>
        <w:jc w:val="both"/>
        <w:rPr>
          <w:rFonts w:ascii="Arial" w:hAnsi="Arial" w:cs="Arial"/>
          <w:b/>
        </w:rPr>
      </w:pPr>
    </w:p>
    <w:p w:rsidR="00F326F4" w:rsidRPr="00A05588" w:rsidRDefault="00B93E82" w:rsidP="005A7E6B">
      <w:pPr>
        <w:spacing w:line="360" w:lineRule="auto"/>
        <w:ind w:right="49"/>
        <w:jc w:val="both"/>
        <w:rPr>
          <w:rFonts w:ascii="Arial" w:hAnsi="Arial" w:cs="Arial"/>
          <w:b/>
        </w:rPr>
      </w:pPr>
      <w:r>
        <w:rPr>
          <w:rFonts w:ascii="Arial" w:hAnsi="Arial" w:cs="Arial"/>
          <w:b/>
        </w:rPr>
        <w:lastRenderedPageBreak/>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Default="008443FB" w:rsidP="005A7E6B">
      <w:pPr>
        <w:spacing w:line="360" w:lineRule="auto"/>
        <w:ind w:right="49"/>
        <w:jc w:val="both"/>
        <w:rPr>
          <w:rFonts w:ascii="Arial" w:hAnsi="Arial" w:cs="Arial"/>
        </w:rPr>
      </w:pPr>
    </w:p>
    <w:p w:rsidR="00F74932" w:rsidRDefault="00F74932" w:rsidP="005A7E6B">
      <w:pPr>
        <w:spacing w:line="360" w:lineRule="auto"/>
        <w:ind w:right="49"/>
        <w:jc w:val="both"/>
        <w:rPr>
          <w:rFonts w:ascii="Arial" w:hAnsi="Arial" w:cs="Arial"/>
        </w:rPr>
      </w:pPr>
      <w:bookmarkStart w:id="8" w:name="_Hlk11408938"/>
      <w:bookmarkStart w:id="9" w:name="_Hlk11408885"/>
      <w:r w:rsidRPr="009C34A1">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se hizo del conocimiento al ente fiscalizado las observaciones preliminares derivadas de la aplicación de los procedimientos de revisión y fiscalización, las cuales se atendieron en su totalidad y de manera opor</w:t>
      </w:r>
      <w:r w:rsidR="004F41C9">
        <w:rPr>
          <w:rFonts w:ascii="Arial" w:hAnsi="Arial" w:cs="Arial"/>
        </w:rPr>
        <w:t xml:space="preserve">tuna durante la revisión de </w:t>
      </w:r>
      <w:r w:rsidR="004F41C9" w:rsidRPr="005A7D58">
        <w:rPr>
          <w:rFonts w:ascii="Arial" w:hAnsi="Arial" w:cs="Arial"/>
        </w:rPr>
        <w:t xml:space="preserve">la </w:t>
      </w:r>
      <w:r w:rsidR="005C0AE1" w:rsidRPr="005A7D58">
        <w:rPr>
          <w:rFonts w:ascii="Arial" w:hAnsi="Arial" w:cs="Arial"/>
        </w:rPr>
        <w:t>C</w:t>
      </w:r>
      <w:r w:rsidRPr="005A7D58">
        <w:rPr>
          <w:rFonts w:ascii="Arial" w:hAnsi="Arial" w:cs="Arial"/>
        </w:rPr>
        <w:t xml:space="preserve">uenta </w:t>
      </w:r>
      <w:r w:rsidR="005C0AE1" w:rsidRPr="005A7D58">
        <w:rPr>
          <w:rFonts w:ascii="Arial" w:hAnsi="Arial" w:cs="Arial"/>
        </w:rPr>
        <w:t>P</w:t>
      </w:r>
      <w:r w:rsidRPr="005A7D58">
        <w:rPr>
          <w:rFonts w:ascii="Arial" w:hAnsi="Arial" w:cs="Arial"/>
        </w:rPr>
        <w:t>ública,</w:t>
      </w:r>
      <w:r w:rsidRPr="009C34A1">
        <w:rPr>
          <w:rFonts w:ascii="Arial" w:hAnsi="Arial" w:cs="Arial"/>
        </w:rPr>
        <w:t xml:space="preserve"> presentando las justificaciones y aclaraciones respecto de las operaciones financieras mediante los documentos que técnicamente las comprueban y justifican.</w:t>
      </w:r>
    </w:p>
    <w:p w:rsidR="00C853DF" w:rsidRDefault="00C853DF" w:rsidP="005A7E6B">
      <w:pPr>
        <w:tabs>
          <w:tab w:val="left" w:pos="426"/>
        </w:tabs>
        <w:spacing w:line="360" w:lineRule="auto"/>
        <w:ind w:right="49"/>
        <w:rPr>
          <w:rFonts w:ascii="Arial" w:hAnsi="Arial" w:cs="Arial"/>
          <w:b/>
          <w:bCs/>
          <w:szCs w:val="28"/>
          <w:highlight w:val="yellow"/>
        </w:rPr>
      </w:pPr>
      <w:bookmarkStart w:id="10" w:name="_Hlk11419841"/>
      <w:bookmarkEnd w:id="8"/>
      <w:bookmarkEnd w:id="9"/>
    </w:p>
    <w:bookmarkEnd w:id="10"/>
    <w:p w:rsidR="00112484" w:rsidRDefault="00B93E82" w:rsidP="005A7E6B">
      <w:pPr>
        <w:tabs>
          <w:tab w:val="left" w:pos="2160"/>
        </w:tabs>
        <w:spacing w:line="360" w:lineRule="auto"/>
        <w:ind w:right="49"/>
        <w:jc w:val="both"/>
        <w:rPr>
          <w:rFonts w:ascii="Arial" w:hAnsi="Arial" w:cs="Arial"/>
          <w:b/>
        </w:rPr>
      </w:pPr>
      <w:r>
        <w:rPr>
          <w:rFonts w:ascii="Arial" w:hAnsi="Arial" w:cs="Arial"/>
          <w:b/>
        </w:rPr>
        <w:t>I</w:t>
      </w:r>
      <w:r w:rsidR="00F74932">
        <w:rPr>
          <w:rFonts w:ascii="Arial" w:hAnsi="Arial" w:cs="Arial"/>
          <w:b/>
        </w:rPr>
        <w:t>I</w:t>
      </w:r>
      <w:r w:rsidR="00183532">
        <w:rPr>
          <w:rFonts w:ascii="Arial" w:hAnsi="Arial" w:cs="Arial"/>
          <w:b/>
        </w:rPr>
        <w:t xml:space="preserve">. </w:t>
      </w:r>
      <w:r w:rsidR="00BE445E" w:rsidRPr="00B42982">
        <w:rPr>
          <w:rFonts w:ascii="Arial" w:hAnsi="Arial" w:cs="Arial"/>
          <w:b/>
        </w:rPr>
        <w:t>DICTAMEN DEL</w:t>
      </w:r>
      <w:r w:rsidR="008B2C5A">
        <w:rPr>
          <w:rFonts w:ascii="Arial" w:hAnsi="Arial" w:cs="Arial"/>
          <w:b/>
        </w:rPr>
        <w:t xml:space="preserve"> INFORME INDIVIDUAL</w:t>
      </w:r>
      <w:r w:rsidR="00BE445E" w:rsidRPr="00B42982">
        <w:rPr>
          <w:rFonts w:ascii="Arial" w:hAnsi="Arial" w:cs="Arial"/>
          <w:b/>
        </w:rPr>
        <w:t xml:space="preserve"> DE AUDITORÍA</w:t>
      </w:r>
    </w:p>
    <w:p w:rsidR="00BE445E" w:rsidRDefault="00BE445E" w:rsidP="005A7E6B">
      <w:pPr>
        <w:tabs>
          <w:tab w:val="left" w:pos="2160"/>
        </w:tabs>
        <w:spacing w:line="360" w:lineRule="auto"/>
        <w:ind w:right="49"/>
        <w:jc w:val="both"/>
        <w:rPr>
          <w:rFonts w:ascii="Arial" w:hAnsi="Arial" w:cs="Arial"/>
          <w:b/>
        </w:rPr>
      </w:pPr>
    </w:p>
    <w:p w:rsidR="00F74932" w:rsidRDefault="00F74932" w:rsidP="005A7E6B">
      <w:pPr>
        <w:spacing w:line="360" w:lineRule="auto"/>
        <w:ind w:right="49"/>
        <w:jc w:val="both"/>
        <w:rPr>
          <w:rFonts w:ascii="Arial" w:hAnsi="Arial" w:cs="Arial"/>
        </w:rPr>
      </w:pPr>
      <w:r w:rsidRPr="005A7D58">
        <w:rPr>
          <w:rFonts w:ascii="Arial" w:hAnsi="Arial" w:cs="Arial"/>
        </w:rPr>
        <w:t>El presente dictamen se emite el 1</w:t>
      </w:r>
      <w:r w:rsidR="0076312E" w:rsidRPr="005A7D58">
        <w:rPr>
          <w:rFonts w:ascii="Arial" w:hAnsi="Arial" w:cs="Arial"/>
        </w:rPr>
        <w:t>5</w:t>
      </w:r>
      <w:r w:rsidRPr="005A7D58">
        <w:rPr>
          <w:rFonts w:ascii="Arial" w:hAnsi="Arial" w:cs="Arial"/>
        </w:rPr>
        <w:t xml:space="preserve"> de </w:t>
      </w:r>
      <w:r w:rsidR="0076312E" w:rsidRPr="005A7D58">
        <w:rPr>
          <w:rFonts w:ascii="Arial" w:hAnsi="Arial" w:cs="Arial"/>
        </w:rPr>
        <w:t>juni</w:t>
      </w:r>
      <w:r w:rsidRPr="005A7D58">
        <w:rPr>
          <w:rFonts w:ascii="Arial" w:hAnsi="Arial" w:cs="Arial"/>
        </w:rPr>
        <w:t>o de 2022, fecha</w:t>
      </w:r>
      <w:r w:rsidRPr="00E024A3">
        <w:rPr>
          <w:rFonts w:ascii="Arial" w:hAnsi="Arial" w:cs="Arial"/>
        </w:rPr>
        <w:t xml:space="preserve"> de conclusión de los trabajos de auditoría, la cual se practicó sobre la información financiera proporcionada por la entidad fiscalizable, </w:t>
      </w:r>
      <w:r>
        <w:rPr>
          <w:rFonts w:ascii="Arial" w:hAnsi="Arial" w:cs="Arial"/>
        </w:rPr>
        <w:t>emanada</w:t>
      </w:r>
      <w:r w:rsidR="00C853DF">
        <w:rPr>
          <w:rFonts w:ascii="Arial" w:hAnsi="Arial" w:cs="Arial"/>
        </w:rPr>
        <w:t xml:space="preserve"> de</w:t>
      </w:r>
      <w:r w:rsidRPr="00E024A3">
        <w:rPr>
          <w:rFonts w:ascii="Arial" w:hAnsi="Arial" w:cs="Arial"/>
        </w:rPr>
        <w:t xml:space="preserve"> los estados e informes contables y presupuestarios que integran la Cuenta Pública del ejercicio fiscal </w:t>
      </w:r>
      <w:r w:rsidRPr="00142D11">
        <w:rPr>
          <w:rFonts w:ascii="Arial" w:hAnsi="Arial" w:cs="Arial"/>
          <w:bCs/>
        </w:rPr>
        <w:t>202</w:t>
      </w:r>
      <w:r w:rsidR="00853DA5">
        <w:rPr>
          <w:rFonts w:ascii="Arial" w:hAnsi="Arial" w:cs="Arial"/>
          <w:bCs/>
        </w:rPr>
        <w:t>1</w:t>
      </w:r>
      <w:r w:rsidRPr="00142D11">
        <w:rPr>
          <w:rFonts w:ascii="Arial" w:hAnsi="Arial" w:cs="Arial"/>
        </w:rPr>
        <w:t>,</w:t>
      </w:r>
      <w:r>
        <w:rPr>
          <w:rFonts w:ascii="Arial" w:hAnsi="Arial" w:cs="Arial"/>
        </w:rPr>
        <w:t xml:space="preserve"> del H. Poder Ejecutivo del Gobierno del Estado Libre y Soberano de Quintana Roo, que refleja únicamente la información de la Administración Pública Central, que incluye a</w:t>
      </w:r>
      <w:r w:rsidRPr="00E024A3">
        <w:rPr>
          <w:rFonts w:ascii="Arial" w:hAnsi="Arial" w:cs="Arial"/>
        </w:rPr>
        <w:t xml:space="preserve"> la </w:t>
      </w:r>
      <w:r w:rsidRPr="00142D11">
        <w:rPr>
          <w:rFonts w:ascii="Arial" w:hAnsi="Arial" w:cs="Arial"/>
          <w:b/>
          <w:bCs/>
        </w:rPr>
        <w:t>Oficialía Mayor</w:t>
      </w:r>
      <w:r w:rsidRPr="00142D11">
        <w:rPr>
          <w:rFonts w:ascii="Arial" w:hAnsi="Arial" w:cs="Arial"/>
          <w:bCs/>
        </w:rPr>
        <w:t>,</w:t>
      </w:r>
      <w:r w:rsidRPr="00E024A3">
        <w:rPr>
          <w:rFonts w:ascii="Arial" w:hAnsi="Arial" w:cs="Arial"/>
        </w:rPr>
        <w:t xml:space="preserve"> formulados, integrados y presentados por</w:t>
      </w:r>
      <w:r>
        <w:rPr>
          <w:rFonts w:ascii="Arial" w:hAnsi="Arial" w:cs="Arial"/>
        </w:rPr>
        <w:t xml:space="preserve"> la Sefiplan.</w:t>
      </w:r>
    </w:p>
    <w:p w:rsidR="00DC0367" w:rsidRDefault="00DC0367" w:rsidP="005A7E6B">
      <w:pPr>
        <w:spacing w:line="360" w:lineRule="auto"/>
        <w:ind w:right="49"/>
        <w:jc w:val="both"/>
        <w:rPr>
          <w:rFonts w:ascii="Arial" w:hAnsi="Arial" w:cs="Arial"/>
        </w:rPr>
      </w:pPr>
    </w:p>
    <w:p w:rsidR="00F74932" w:rsidRPr="00E024A3" w:rsidRDefault="00F74932" w:rsidP="005A7E6B">
      <w:pPr>
        <w:tabs>
          <w:tab w:val="left" w:pos="9639"/>
        </w:tabs>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E024A3" w:rsidRPr="00E024A3" w:rsidRDefault="00E024A3" w:rsidP="005A7E6B">
      <w:pPr>
        <w:spacing w:line="360" w:lineRule="auto"/>
        <w:ind w:right="49"/>
        <w:jc w:val="both"/>
        <w:rPr>
          <w:rFonts w:ascii="Arial" w:hAnsi="Arial" w:cs="Arial"/>
        </w:rPr>
      </w:pPr>
    </w:p>
    <w:p w:rsidR="00F74932" w:rsidRDefault="00F74932" w:rsidP="005A7E6B">
      <w:pPr>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w:t>
      </w:r>
      <w:r w:rsidRPr="00E024A3">
        <w:rPr>
          <w:rFonts w:ascii="Arial" w:hAnsi="Arial" w:cs="Arial"/>
        </w:rPr>
        <w:lastRenderedPageBreak/>
        <w:t xml:space="preserve">la auditoría sea planeada y realizada de tal manera que permitió obtener una seguridad razonable de que lo revisado, de acuerdo al objetivo y alcance de la auditoría con base en la información financiera de la Cuenta Pública </w:t>
      </w:r>
      <w:r>
        <w:rPr>
          <w:rFonts w:ascii="Arial" w:hAnsi="Arial" w:cs="Arial"/>
        </w:rPr>
        <w:t>relativa a</w:t>
      </w:r>
      <w:r w:rsidRPr="00E024A3">
        <w:rPr>
          <w:rFonts w:ascii="Arial" w:hAnsi="Arial" w:cs="Arial"/>
        </w:rPr>
        <w:t xml:space="preserve"> la 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E024A3" w:rsidRDefault="00E024A3" w:rsidP="005A7E6B">
      <w:pPr>
        <w:spacing w:line="360" w:lineRule="auto"/>
        <w:ind w:right="49"/>
        <w:jc w:val="both"/>
        <w:rPr>
          <w:rFonts w:ascii="Arial" w:hAnsi="Arial" w:cs="Arial"/>
        </w:rPr>
      </w:pPr>
    </w:p>
    <w:p w:rsidR="00E024A3" w:rsidRPr="00E024A3" w:rsidRDefault="00330D63" w:rsidP="005A7E6B">
      <w:pPr>
        <w:spacing w:line="360" w:lineRule="auto"/>
        <w:ind w:right="49"/>
        <w:jc w:val="both"/>
        <w:rPr>
          <w:rFonts w:ascii="Arial" w:hAnsi="Arial" w:cs="Arial"/>
        </w:rPr>
      </w:pPr>
      <w:r w:rsidRPr="00142D11">
        <w:rPr>
          <w:rFonts w:ascii="Arial" w:hAnsi="Arial" w:cs="Arial"/>
        </w:rPr>
        <w:t xml:space="preserve">Con base en los resultados obtenidos en la auditoría practicada número </w:t>
      </w:r>
      <w:r w:rsidR="00853DA5">
        <w:rPr>
          <w:rFonts w:ascii="Arial" w:hAnsi="Arial" w:cs="Arial"/>
          <w:b/>
        </w:rPr>
        <w:t>21</w:t>
      </w:r>
      <w:r w:rsidRPr="00142D11">
        <w:rPr>
          <w:rFonts w:ascii="Arial" w:hAnsi="Arial" w:cs="Arial"/>
          <w:b/>
        </w:rPr>
        <w:t>-AEMF-B-GOB-005-010</w:t>
      </w:r>
      <w:r>
        <w:rPr>
          <w:rFonts w:ascii="Arial" w:hAnsi="Arial" w:cs="Arial"/>
        </w:rPr>
        <w:t xml:space="preserve">, denominada </w:t>
      </w:r>
      <w:r w:rsidRPr="00142D11">
        <w:rPr>
          <w:rFonts w:ascii="Arial" w:hAnsi="Arial" w:cs="Arial"/>
        </w:rPr>
        <w:t>“</w:t>
      </w:r>
      <w:r>
        <w:rPr>
          <w:rFonts w:ascii="Arial" w:hAnsi="Arial" w:cs="Arial"/>
        </w:rPr>
        <w:t>Auditoría de Cumplimiento Financiero de Egresos Ejercidos</w:t>
      </w:r>
      <w:r w:rsidRPr="00142D11">
        <w:rPr>
          <w:rFonts w:ascii="Arial" w:hAnsi="Arial" w:cs="Arial"/>
        </w:rPr>
        <w:t xml:space="preserve">”, cuyo objetivo fue </w:t>
      </w:r>
      <w:r w:rsidRPr="00BA783F">
        <w:rPr>
          <w:rFonts w:ascii="Arial" w:hAnsi="Arial" w:cs="Arial"/>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r w:rsidRPr="00142D11">
        <w:rPr>
          <w:rFonts w:ascii="Arial" w:hAnsi="Arial" w:cs="Arial"/>
        </w:rPr>
        <w:t xml:space="preserve"> para verificar que el presupuesto asignado, se haya ejercido y registrado conforme a los montos aprobados, y específicamente, respecto de la muestra auditada señalada en el apartado relativo al alcance, en nuestra opinión se concluye que en términos generales, la </w:t>
      </w:r>
      <w:r w:rsidRPr="00BA783F">
        <w:rPr>
          <w:rFonts w:ascii="Arial" w:hAnsi="Arial" w:cs="Arial"/>
          <w:b/>
        </w:rPr>
        <w:t>Oficialía Mayor</w:t>
      </w:r>
      <w:r w:rsidRPr="00142D11">
        <w:rPr>
          <w:rFonts w:ascii="Arial" w:hAnsi="Arial" w:cs="Arial"/>
        </w:rPr>
        <w:t xml:space="preserve"> cumplió con las disposiciones legales y normativas que son aplicables en la materia</w:t>
      </w:r>
      <w:r>
        <w:rPr>
          <w:rFonts w:ascii="Arial" w:hAnsi="Arial" w:cs="Arial"/>
        </w:rPr>
        <w:t>.</w:t>
      </w:r>
    </w:p>
    <w:p w:rsidR="00330D63" w:rsidRDefault="00330D63" w:rsidP="005A7E6B">
      <w:pPr>
        <w:tabs>
          <w:tab w:val="left" w:pos="9639"/>
        </w:tabs>
        <w:spacing w:line="360" w:lineRule="auto"/>
        <w:ind w:right="49"/>
        <w:jc w:val="both"/>
        <w:rPr>
          <w:rFonts w:ascii="Arial" w:hAnsi="Arial" w:cs="Arial"/>
        </w:rPr>
      </w:pPr>
      <w:r w:rsidRPr="005A647A">
        <w:rPr>
          <w:rFonts w:ascii="Arial" w:hAnsi="Arial" w:cs="Arial"/>
        </w:rPr>
        <w:lastRenderedPageBreak/>
        <w:t>El Informe Individual de Auditoría quedará formalmente notificado al ente fiscalizado, de acuerdo a la Ley de Fiscalización y Rendición de Cuentas del Estado de Quintana Roo, mediante el acta circunstanciada de término de auditoría, visita e inspección.</w:t>
      </w:r>
    </w:p>
    <w:p w:rsidR="00EB2A70" w:rsidRDefault="00EB2A70" w:rsidP="005A7E6B">
      <w:pPr>
        <w:spacing w:line="360" w:lineRule="auto"/>
        <w:ind w:right="49"/>
        <w:jc w:val="both"/>
        <w:rPr>
          <w:rFonts w:ascii="Arial" w:hAnsi="Arial" w:cs="Arial"/>
        </w:rPr>
      </w:pPr>
    </w:p>
    <w:p w:rsidR="005670DA" w:rsidRPr="00E024A3" w:rsidRDefault="005670DA" w:rsidP="005A7E6B">
      <w:pPr>
        <w:spacing w:line="360" w:lineRule="auto"/>
        <w:ind w:right="49"/>
        <w:jc w:val="both"/>
        <w:rPr>
          <w:rFonts w:ascii="Arial" w:hAnsi="Arial" w:cs="Arial"/>
        </w:rPr>
      </w:pPr>
    </w:p>
    <w:p w:rsidR="00330D63" w:rsidRPr="00E024A3" w:rsidRDefault="00330D63" w:rsidP="005A7E6B">
      <w:pPr>
        <w:spacing w:line="360" w:lineRule="auto"/>
        <w:ind w:right="49"/>
        <w:jc w:val="center"/>
        <w:rPr>
          <w:rFonts w:ascii="Arial" w:hAnsi="Arial" w:cs="Arial"/>
          <w:b/>
        </w:rPr>
      </w:pPr>
      <w:r w:rsidRPr="00E024A3">
        <w:rPr>
          <w:rFonts w:ascii="Arial" w:hAnsi="Arial" w:cs="Arial"/>
          <w:b/>
        </w:rPr>
        <w:t>EL AUDITOR SUPERIOR DEL ESTADO</w:t>
      </w:r>
    </w:p>
    <w:p w:rsidR="00330D63" w:rsidRPr="00E024A3" w:rsidRDefault="00330D63" w:rsidP="005A7E6B">
      <w:pPr>
        <w:spacing w:line="360" w:lineRule="auto"/>
        <w:ind w:right="49"/>
        <w:jc w:val="center"/>
        <w:rPr>
          <w:rFonts w:ascii="Arial" w:hAnsi="Arial" w:cs="Arial"/>
          <w:b/>
        </w:rPr>
      </w:pPr>
    </w:p>
    <w:p w:rsidR="00330D63" w:rsidRDefault="00330D63" w:rsidP="005A7E6B">
      <w:pPr>
        <w:spacing w:line="360" w:lineRule="auto"/>
        <w:ind w:right="49"/>
        <w:jc w:val="center"/>
        <w:rPr>
          <w:rFonts w:ascii="Arial" w:hAnsi="Arial" w:cs="Arial"/>
          <w:b/>
        </w:rPr>
      </w:pPr>
    </w:p>
    <w:p w:rsidR="00424E40" w:rsidRDefault="00424E40" w:rsidP="005A7E6B">
      <w:pPr>
        <w:spacing w:line="360" w:lineRule="auto"/>
        <w:ind w:right="49"/>
        <w:jc w:val="center"/>
        <w:rPr>
          <w:rFonts w:ascii="Arial" w:hAnsi="Arial" w:cs="Arial"/>
          <w:b/>
        </w:rPr>
      </w:pPr>
    </w:p>
    <w:p w:rsidR="00022147" w:rsidRPr="00016302" w:rsidRDefault="00330D63" w:rsidP="00CF692F">
      <w:pPr>
        <w:spacing w:line="360" w:lineRule="auto"/>
        <w:ind w:right="49"/>
        <w:jc w:val="center"/>
        <w:rPr>
          <w:rFonts w:ascii="Arial" w:hAnsi="Arial" w:cs="Arial"/>
          <w:sz w:val="20"/>
          <w:szCs w:val="20"/>
        </w:rPr>
      </w:pPr>
      <w:r>
        <w:rPr>
          <w:rFonts w:ascii="Arial" w:hAnsi="Arial" w:cs="Arial"/>
          <w:b/>
        </w:rPr>
        <w:t>M.</w:t>
      </w:r>
      <w:r w:rsidR="00CF692F">
        <w:rPr>
          <w:rFonts w:ascii="Arial" w:hAnsi="Arial" w:cs="Arial"/>
          <w:b/>
        </w:rPr>
        <w:t xml:space="preserve"> EN AUD. MANUEL PALACIOS HERRERA</w:t>
      </w:r>
    </w:p>
    <w:sectPr w:rsidR="00022147" w:rsidRPr="00016302"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280" w:rsidRDefault="00524280">
      <w:r>
        <w:separator/>
      </w:r>
    </w:p>
  </w:endnote>
  <w:endnote w:type="continuationSeparator" w:id="0">
    <w:p w:rsidR="00524280" w:rsidRDefault="00524280">
      <w:r>
        <w:continuationSeparator/>
      </w:r>
    </w:p>
  </w:endnote>
  <w:endnote w:type="continuationNotice" w:id="1">
    <w:p w:rsidR="00524280" w:rsidRDefault="00524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197921" w:rsidRPr="00D875E2" w:rsidTr="00D85C61">
      <w:tc>
        <w:tcPr>
          <w:tcW w:w="10395" w:type="dxa"/>
          <w:shd w:val="clear" w:color="auto" w:fill="auto"/>
        </w:tcPr>
        <w:p w:rsidR="00197921" w:rsidRPr="00D875E2" w:rsidRDefault="00197921" w:rsidP="00FD32C2">
          <w:pPr>
            <w:rPr>
              <w:rStyle w:val="nfasis"/>
              <w:i w:val="0"/>
              <w:iCs w:val="0"/>
            </w:rPr>
          </w:pPr>
        </w:p>
      </w:tc>
    </w:tr>
  </w:tbl>
  <w:p w:rsidR="00197921" w:rsidRPr="00B516B6" w:rsidRDefault="00197921">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7732C8">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7732C8">
      <w:rPr>
        <w:rFonts w:ascii="Arial" w:hAnsi="Arial" w:cs="Arial"/>
        <w:b/>
        <w:bCs/>
        <w:noProof/>
        <w:sz w:val="18"/>
        <w:szCs w:val="18"/>
      </w:rPr>
      <w:t>13</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280" w:rsidRDefault="00524280">
      <w:r>
        <w:separator/>
      </w:r>
    </w:p>
  </w:footnote>
  <w:footnote w:type="continuationSeparator" w:id="0">
    <w:p w:rsidR="00524280" w:rsidRDefault="00524280">
      <w:r>
        <w:continuationSeparator/>
      </w:r>
    </w:p>
  </w:footnote>
  <w:footnote w:type="continuationNotice" w:id="1">
    <w:p w:rsidR="00524280" w:rsidRDefault="0052428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16" w:type="dxa"/>
      <w:tblCellMar>
        <w:left w:w="70" w:type="dxa"/>
        <w:right w:w="70" w:type="dxa"/>
      </w:tblCellMar>
      <w:tblLook w:val="04A0" w:firstRow="1" w:lastRow="0" w:firstColumn="1" w:lastColumn="0" w:noHBand="0" w:noVBand="1"/>
    </w:tblPr>
    <w:tblGrid>
      <w:gridCol w:w="2147"/>
      <w:gridCol w:w="5517"/>
      <w:gridCol w:w="2052"/>
    </w:tblGrid>
    <w:tr w:rsidR="00CF692F" w:rsidRPr="006F757C" w:rsidTr="005A7D58">
      <w:trPr>
        <w:trHeight w:val="214"/>
      </w:trPr>
      <w:tc>
        <w:tcPr>
          <w:tcW w:w="2147" w:type="dxa"/>
          <w:vAlign w:val="center"/>
        </w:tcPr>
        <w:p w:rsidR="00CF692F" w:rsidRPr="00CF3DF4" w:rsidRDefault="00CF692F" w:rsidP="003C2FE7">
          <w:pPr>
            <w:tabs>
              <w:tab w:val="center" w:pos="4419"/>
              <w:tab w:val="right" w:pos="8838"/>
            </w:tabs>
            <w:jc w:val="center"/>
            <w:rPr>
              <w:rFonts w:ascii="Arial" w:hAnsi="Arial" w:cs="Arial"/>
              <w:noProof/>
              <w:sz w:val="18"/>
              <w:szCs w:val="18"/>
              <w:lang w:eastAsia="es-MX"/>
            </w:rPr>
          </w:pPr>
        </w:p>
      </w:tc>
      <w:tc>
        <w:tcPr>
          <w:tcW w:w="5517" w:type="dxa"/>
          <w:vAlign w:val="center"/>
        </w:tcPr>
        <w:p w:rsidR="00CF692F" w:rsidRPr="00CF3DF4" w:rsidRDefault="00CF692F" w:rsidP="003C2FE7">
          <w:pPr>
            <w:tabs>
              <w:tab w:val="center" w:pos="4419"/>
              <w:tab w:val="right" w:pos="8838"/>
            </w:tabs>
            <w:jc w:val="center"/>
            <w:rPr>
              <w:rFonts w:ascii="Arial" w:hAnsi="Arial" w:cs="Arial"/>
              <w:sz w:val="18"/>
              <w:szCs w:val="18"/>
            </w:rPr>
          </w:pPr>
        </w:p>
      </w:tc>
      <w:tc>
        <w:tcPr>
          <w:tcW w:w="2052" w:type="dxa"/>
          <w:vAlign w:val="center"/>
        </w:tcPr>
        <w:p w:rsidR="00CF692F" w:rsidRPr="00207E4F" w:rsidRDefault="00CF692F" w:rsidP="00207E4F">
          <w:pPr>
            <w:tabs>
              <w:tab w:val="center" w:pos="4419"/>
              <w:tab w:val="right" w:pos="8838"/>
            </w:tabs>
            <w:jc w:val="right"/>
            <w:rPr>
              <w:rFonts w:ascii="Arial" w:hAnsi="Arial" w:cs="Arial"/>
              <w:noProof/>
              <w:sz w:val="16"/>
              <w:szCs w:val="16"/>
              <w:highlight w:val="magenta"/>
              <w:lang w:eastAsia="es-MX"/>
            </w:rPr>
          </w:pPr>
        </w:p>
      </w:tc>
    </w:tr>
    <w:tr w:rsidR="00CF692F" w:rsidRPr="003316E8" w:rsidTr="005A7D58">
      <w:trPr>
        <w:trHeight w:val="1987"/>
      </w:trPr>
      <w:tc>
        <w:tcPr>
          <w:tcW w:w="2147" w:type="dxa"/>
          <w:vAlign w:val="center"/>
          <w:hideMark/>
        </w:tcPr>
        <w:p w:rsidR="00CF692F" w:rsidRPr="003316E8" w:rsidRDefault="00CF692F" w:rsidP="003C2FE7">
          <w:pPr>
            <w:tabs>
              <w:tab w:val="center" w:pos="4419"/>
              <w:tab w:val="right" w:pos="8838"/>
            </w:tabs>
            <w:jc w:val="center"/>
          </w:pPr>
          <w:r>
            <w:rPr>
              <w:noProof/>
              <w:lang w:eastAsia="es-MX"/>
            </w:rPr>
            <w:drawing>
              <wp:inline distT="0" distB="0" distL="0" distR="0" wp14:anchorId="299ABBE2" wp14:editId="3026A7D7">
                <wp:extent cx="885825" cy="1231240"/>
                <wp:effectExtent l="0" t="0" r="0" b="762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517" w:type="dxa"/>
          <w:vAlign w:val="center"/>
          <w:hideMark/>
        </w:tcPr>
        <w:p w:rsidR="00CF692F" w:rsidRPr="00373686" w:rsidRDefault="00CF692F"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52" w:type="dxa"/>
          <w:vAlign w:val="center"/>
          <w:hideMark/>
        </w:tcPr>
        <w:p w:rsidR="00CF692F" w:rsidRPr="003316E8" w:rsidRDefault="00CF692F"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5601BBAB" wp14:editId="1B8983C9">
                <wp:extent cx="1200150" cy="1190625"/>
                <wp:effectExtent l="0" t="0" r="0" b="0"/>
                <wp:docPr id="42" name="Imagen 4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F692F" w:rsidRPr="003316E8" w:rsidTr="005A7D58">
      <w:trPr>
        <w:trHeight w:val="107"/>
      </w:trPr>
      <w:tc>
        <w:tcPr>
          <w:tcW w:w="2147" w:type="dxa"/>
          <w:tcBorders>
            <w:top w:val="nil"/>
            <w:left w:val="nil"/>
            <w:bottom w:val="thinThickSmallGap" w:sz="24" w:space="0" w:color="auto"/>
            <w:right w:val="nil"/>
          </w:tcBorders>
        </w:tcPr>
        <w:p w:rsidR="00CF692F" w:rsidRPr="003316E8" w:rsidRDefault="00CF692F" w:rsidP="003C2FE7">
          <w:pPr>
            <w:tabs>
              <w:tab w:val="center" w:pos="4419"/>
              <w:tab w:val="right" w:pos="8838"/>
            </w:tabs>
            <w:rPr>
              <w:sz w:val="10"/>
            </w:rPr>
          </w:pPr>
        </w:p>
      </w:tc>
      <w:tc>
        <w:tcPr>
          <w:tcW w:w="5517" w:type="dxa"/>
          <w:tcBorders>
            <w:top w:val="nil"/>
            <w:left w:val="nil"/>
            <w:bottom w:val="thinThickSmallGap" w:sz="24" w:space="0" w:color="auto"/>
            <w:right w:val="nil"/>
          </w:tcBorders>
        </w:tcPr>
        <w:p w:rsidR="00CF692F" w:rsidRPr="003316E8" w:rsidRDefault="00CF692F" w:rsidP="003C2FE7">
          <w:pPr>
            <w:tabs>
              <w:tab w:val="center" w:pos="4419"/>
              <w:tab w:val="right" w:pos="8838"/>
            </w:tabs>
            <w:rPr>
              <w:sz w:val="10"/>
            </w:rPr>
          </w:pPr>
        </w:p>
      </w:tc>
      <w:tc>
        <w:tcPr>
          <w:tcW w:w="2052" w:type="dxa"/>
          <w:tcBorders>
            <w:top w:val="nil"/>
            <w:left w:val="nil"/>
            <w:bottom w:val="thinThickSmallGap" w:sz="24" w:space="0" w:color="auto"/>
            <w:right w:val="nil"/>
          </w:tcBorders>
        </w:tcPr>
        <w:p w:rsidR="00CF692F" w:rsidRPr="003316E8" w:rsidRDefault="00CF692F" w:rsidP="003C2FE7">
          <w:pPr>
            <w:tabs>
              <w:tab w:val="center" w:pos="4419"/>
              <w:tab w:val="right" w:pos="8838"/>
            </w:tabs>
            <w:rPr>
              <w:sz w:val="10"/>
            </w:rPr>
          </w:pPr>
        </w:p>
      </w:tc>
    </w:tr>
  </w:tbl>
  <w:p w:rsidR="00CF692F" w:rsidRPr="003C2FE7" w:rsidRDefault="00CF692F">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7"/>
  </w:num>
  <w:num w:numId="6">
    <w:abstractNumId w:val="7"/>
  </w:num>
  <w:num w:numId="7">
    <w:abstractNumId w:val="16"/>
  </w:num>
  <w:num w:numId="8">
    <w:abstractNumId w:val="9"/>
  </w:num>
  <w:num w:numId="9">
    <w:abstractNumId w:val="18"/>
  </w:num>
  <w:num w:numId="10">
    <w:abstractNumId w:val="2"/>
  </w:num>
  <w:num w:numId="11">
    <w:abstractNumId w:val="19"/>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8F9"/>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302"/>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4E31"/>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3F13"/>
    <w:rsid w:val="00054360"/>
    <w:rsid w:val="0005461B"/>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58"/>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D12"/>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43"/>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337"/>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A04"/>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921"/>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1E64"/>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12"/>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1BB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973"/>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7DA"/>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2B"/>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2A4"/>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333"/>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9A6"/>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694"/>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0D63"/>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0B5"/>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A59"/>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46F1"/>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339"/>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1B5D"/>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18AD"/>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4E40"/>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035"/>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31C"/>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6B0"/>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2AF"/>
    <w:rsid w:val="0048557F"/>
    <w:rsid w:val="004857A7"/>
    <w:rsid w:val="00485962"/>
    <w:rsid w:val="004865E7"/>
    <w:rsid w:val="004866AD"/>
    <w:rsid w:val="0048697E"/>
    <w:rsid w:val="00486F87"/>
    <w:rsid w:val="00486F8E"/>
    <w:rsid w:val="00487614"/>
    <w:rsid w:val="00487A0C"/>
    <w:rsid w:val="00490AC6"/>
    <w:rsid w:val="00490F0E"/>
    <w:rsid w:val="0049112B"/>
    <w:rsid w:val="00491677"/>
    <w:rsid w:val="00491E14"/>
    <w:rsid w:val="0049235A"/>
    <w:rsid w:val="00492F29"/>
    <w:rsid w:val="00493994"/>
    <w:rsid w:val="00493EC7"/>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0BA"/>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80E"/>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1C9"/>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40C"/>
    <w:rsid w:val="00520723"/>
    <w:rsid w:val="00520FEE"/>
    <w:rsid w:val="00521327"/>
    <w:rsid w:val="0052138D"/>
    <w:rsid w:val="0052146F"/>
    <w:rsid w:val="005217B0"/>
    <w:rsid w:val="005229E6"/>
    <w:rsid w:val="00522ECD"/>
    <w:rsid w:val="00522FD8"/>
    <w:rsid w:val="00523466"/>
    <w:rsid w:val="005235B5"/>
    <w:rsid w:val="00524280"/>
    <w:rsid w:val="005246E8"/>
    <w:rsid w:val="00524C66"/>
    <w:rsid w:val="00524C8A"/>
    <w:rsid w:val="00524FE1"/>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534"/>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536A"/>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DA"/>
    <w:rsid w:val="005670E4"/>
    <w:rsid w:val="00567458"/>
    <w:rsid w:val="00567523"/>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24EA"/>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58"/>
    <w:rsid w:val="005A7D84"/>
    <w:rsid w:val="005A7E6B"/>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44BA"/>
    <w:rsid w:val="005B51AD"/>
    <w:rsid w:val="005B526E"/>
    <w:rsid w:val="005B5278"/>
    <w:rsid w:val="005B577D"/>
    <w:rsid w:val="005B595F"/>
    <w:rsid w:val="005B6000"/>
    <w:rsid w:val="005B64A0"/>
    <w:rsid w:val="005B7308"/>
    <w:rsid w:val="005B7FD6"/>
    <w:rsid w:val="005C006D"/>
    <w:rsid w:val="005C0167"/>
    <w:rsid w:val="005C04C4"/>
    <w:rsid w:val="005C0787"/>
    <w:rsid w:val="005C0AE1"/>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167"/>
    <w:rsid w:val="005D5276"/>
    <w:rsid w:val="005D6463"/>
    <w:rsid w:val="005D6C0F"/>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16"/>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5D37"/>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785"/>
    <w:rsid w:val="00714BA2"/>
    <w:rsid w:val="00715049"/>
    <w:rsid w:val="00715096"/>
    <w:rsid w:val="007158E0"/>
    <w:rsid w:val="00715A55"/>
    <w:rsid w:val="00716236"/>
    <w:rsid w:val="00716478"/>
    <w:rsid w:val="00716705"/>
    <w:rsid w:val="00716A92"/>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39B"/>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12E"/>
    <w:rsid w:val="0076390E"/>
    <w:rsid w:val="00763B7A"/>
    <w:rsid w:val="00764871"/>
    <w:rsid w:val="007648C8"/>
    <w:rsid w:val="00764D06"/>
    <w:rsid w:val="00764DF3"/>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2C8"/>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6464"/>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B4"/>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686A"/>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4FC1"/>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3DA5"/>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5A"/>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3C4"/>
    <w:rsid w:val="008C384E"/>
    <w:rsid w:val="008C3AC6"/>
    <w:rsid w:val="008C48AB"/>
    <w:rsid w:val="008C4B28"/>
    <w:rsid w:val="008C4CC3"/>
    <w:rsid w:val="008C4F37"/>
    <w:rsid w:val="008C51DB"/>
    <w:rsid w:val="008C537B"/>
    <w:rsid w:val="008C5A8D"/>
    <w:rsid w:val="008C5C98"/>
    <w:rsid w:val="008C6AF0"/>
    <w:rsid w:val="008C6C5D"/>
    <w:rsid w:val="008C74BC"/>
    <w:rsid w:val="008C7630"/>
    <w:rsid w:val="008C789F"/>
    <w:rsid w:val="008C7A22"/>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5DB5"/>
    <w:rsid w:val="009065A7"/>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11E0"/>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1D"/>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862"/>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1D8"/>
    <w:rsid w:val="009D2849"/>
    <w:rsid w:val="009D3BB6"/>
    <w:rsid w:val="009D4507"/>
    <w:rsid w:val="009D4601"/>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66F"/>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1CEA"/>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958"/>
    <w:rsid w:val="00A34B62"/>
    <w:rsid w:val="00A356B6"/>
    <w:rsid w:val="00A356FA"/>
    <w:rsid w:val="00A35B86"/>
    <w:rsid w:val="00A36004"/>
    <w:rsid w:val="00A37084"/>
    <w:rsid w:val="00A37392"/>
    <w:rsid w:val="00A37B24"/>
    <w:rsid w:val="00A4090A"/>
    <w:rsid w:val="00A409D1"/>
    <w:rsid w:val="00A40CA8"/>
    <w:rsid w:val="00A40F4D"/>
    <w:rsid w:val="00A42B82"/>
    <w:rsid w:val="00A432D5"/>
    <w:rsid w:val="00A44215"/>
    <w:rsid w:val="00A44295"/>
    <w:rsid w:val="00A44365"/>
    <w:rsid w:val="00A447B9"/>
    <w:rsid w:val="00A447CD"/>
    <w:rsid w:val="00A44C34"/>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90D"/>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03F"/>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1"/>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E03"/>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5CCB"/>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0E0"/>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0C3D"/>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7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68D3"/>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543"/>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D78A2"/>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5B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45F"/>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0B66"/>
    <w:rsid w:val="00C513FE"/>
    <w:rsid w:val="00C517C3"/>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3DF"/>
    <w:rsid w:val="00C85D37"/>
    <w:rsid w:val="00C85E88"/>
    <w:rsid w:val="00C8684D"/>
    <w:rsid w:val="00C87250"/>
    <w:rsid w:val="00C87EED"/>
    <w:rsid w:val="00C87FBE"/>
    <w:rsid w:val="00C901E1"/>
    <w:rsid w:val="00C9052D"/>
    <w:rsid w:val="00C906F5"/>
    <w:rsid w:val="00C908E4"/>
    <w:rsid w:val="00C90F66"/>
    <w:rsid w:val="00C913BA"/>
    <w:rsid w:val="00C91EAF"/>
    <w:rsid w:val="00C91FF5"/>
    <w:rsid w:val="00C932EF"/>
    <w:rsid w:val="00C9332F"/>
    <w:rsid w:val="00C93598"/>
    <w:rsid w:val="00C93CF8"/>
    <w:rsid w:val="00C941A5"/>
    <w:rsid w:val="00C9454F"/>
    <w:rsid w:val="00C949EB"/>
    <w:rsid w:val="00C95381"/>
    <w:rsid w:val="00C96B44"/>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DFC"/>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92F"/>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0A80"/>
    <w:rsid w:val="00D111B9"/>
    <w:rsid w:val="00D1152D"/>
    <w:rsid w:val="00D11650"/>
    <w:rsid w:val="00D11C66"/>
    <w:rsid w:val="00D12254"/>
    <w:rsid w:val="00D123A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058"/>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367"/>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4F2"/>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1E4"/>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AB"/>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0B18"/>
    <w:rsid w:val="00E51080"/>
    <w:rsid w:val="00E51697"/>
    <w:rsid w:val="00E51981"/>
    <w:rsid w:val="00E51A25"/>
    <w:rsid w:val="00E5201B"/>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136"/>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A70"/>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AE5"/>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88A"/>
    <w:rsid w:val="00EE69C6"/>
    <w:rsid w:val="00EE6C0B"/>
    <w:rsid w:val="00EE709A"/>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00F"/>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27B1F"/>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635"/>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3F0"/>
    <w:rsid w:val="00F567AF"/>
    <w:rsid w:val="00F56C00"/>
    <w:rsid w:val="00F56CE0"/>
    <w:rsid w:val="00F56E15"/>
    <w:rsid w:val="00F57890"/>
    <w:rsid w:val="00F60012"/>
    <w:rsid w:val="00F60AD9"/>
    <w:rsid w:val="00F60C47"/>
    <w:rsid w:val="00F61162"/>
    <w:rsid w:val="00F61D19"/>
    <w:rsid w:val="00F6218C"/>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932"/>
    <w:rsid w:val="00F74CC1"/>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992"/>
    <w:rsid w:val="00FB7E25"/>
    <w:rsid w:val="00FC0054"/>
    <w:rsid w:val="00FC012D"/>
    <w:rsid w:val="00FC119B"/>
    <w:rsid w:val="00FC19A4"/>
    <w:rsid w:val="00FC26B1"/>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6BCB"/>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95876-A715-42AF-A3D1-CA4E3178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3056</Words>
  <Characters>16808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Geovany Briceño Cuxim</cp:lastModifiedBy>
  <cp:revision>2</cp:revision>
  <cp:lastPrinted>2022-06-16T19:54:00Z</cp:lastPrinted>
  <dcterms:created xsi:type="dcterms:W3CDTF">2022-07-06T19:48:00Z</dcterms:created>
  <dcterms:modified xsi:type="dcterms:W3CDTF">2022-07-06T19:48:00Z</dcterms:modified>
</cp:coreProperties>
</file>